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pacing w:before="200" w:after="80"/>
      </w:pPr>
      <w:r>
        <w:rPr>
          <w:rFonts w:ascii="Arial" w:hAnsi="Arial" w:eastAsia="Arial" w:cs="Arial"/>
          <w:b/>
          <w:color w:val="1F3747"/>
          <w:sz w:val="32"/>
        </w:rPr>
        <w:t>Supplementary Methods</w:t>
      </w:r>
    </w:p>
    <w:p>
      <w:r>
        <w:rPr>
          <w:rFonts w:ascii="Arial" w:hAnsi="Arial" w:eastAsia="Arial" w:cs="Arial"/>
          <w:sz w:val="24"/>
        </w:rPr>
        <w:t>Terminology note: ‘prespecified’ denotes a project-recorded analysis decision made before inspection of the relevant downstream endpoint; it does not denote public preregistration. No public preregistration was claimed.</w:t>
      </w:r>
    </w:p>
    <w:p>
      <w:pPr>
        <w:keepNext/>
        <w:spacing w:before="200" w:after="80"/>
      </w:pPr>
      <w:r>
        <w:rPr>
          <w:rFonts w:ascii="Arial" w:hAnsi="Arial" w:eastAsia="Arial" w:cs="Arial"/>
          <w:b/>
          <w:color w:val="1F3747"/>
          <w:sz w:val="28"/>
        </w:rPr>
        <w:t>1. Data provenance and integrity</w:t>
      </w:r>
    </w:p>
    <w:p>
      <w:r>
        <w:rPr>
          <w:rFonts w:ascii="Arial" w:hAnsi="Arial" w:eastAsia="Arial" w:cs="Arial"/>
          <w:sz w:val="24"/>
        </w:rPr>
        <w:t>Public accessions, repository URLs, download dates, file sizes and available checksums are listed in Supplementary Information 4. Raw files were stored read-only. Compressed repository files were not overwritten; conversion outputs were written to derived-data directories. Large FASTQ, CEL, H5/H5AD, RDS and count-matrix files are not redistributed.</w:t>
      </w:r>
    </w:p>
    <w:p>
      <w:r>
        <w:rPr>
          <w:rFonts w:ascii="Arial" w:hAnsi="Arial" w:eastAsia="Arial" w:cs="Arial"/>
          <w:sz w:val="24"/>
        </w:rPr>
        <w:t>Sample identifiers, donor identifiers, biological tissues, sequencing libraries and technical replicates were separated in the metadata model. Multiple tissues and libraries from the same donor were aggregated within donor and condition before patient-level inference. Files with unresolved patient identity were labeled sample-scoped rather than assigned synthetic patients.</w:t>
      </w:r>
    </w:p>
    <w:p>
      <w:pPr>
        <w:keepNext/>
        <w:spacing w:before="200" w:after="80"/>
      </w:pPr>
      <w:r>
        <w:rPr>
          <w:rFonts w:ascii="Arial" w:hAnsi="Arial" w:eastAsia="Arial" w:cs="Arial"/>
          <w:b/>
          <w:color w:val="1F3747"/>
          <w:sz w:val="28"/>
        </w:rPr>
        <w:t>2. GSE201348 single-cell preprocessing</w:t>
      </w:r>
    </w:p>
    <w:p>
      <w:r>
        <w:rPr>
          <w:rFonts w:ascii="Arial" w:hAnsi="Arial" w:eastAsia="Arial" w:cs="Arial"/>
          <w:sz w:val="24"/>
        </w:rPr>
        <w:t>Each GSE201348 single-nucleus library was read and quality controlled independently. The final primary hard gate required 400&lt;nFeature&lt;4,000, nCount&lt;10,000 and mitochondrial proportion&lt;5%. The previously approved 100-count/100-feature setting for GSM6061701 was retained only as a pilot sensitivity setting and was not mixed into the primary object. After primary hard QC and doublet removal, that library contributed 172 nuclei and remained flagged as low depth/high risk. Ribosomal proportion was recorded but was not an exclusion criterion by itself. scDblFinder was applied per eligible library after hard filtering. Three of 72 libraries had fewer than 100 nuclei after hard QC and were excluded; the final object retained 201,649 nuclei from 69 libraries, 67 tissues and all 14 donors.</w:t>
      </w:r>
    </w:p>
    <w:p>
      <w:r>
        <w:rPr>
          <w:rFonts w:ascii="Arial" w:hAnsi="Arial" w:eastAsia="Arial" w:cs="Arial"/>
          <w:sz w:val="24"/>
        </w:rPr>
        <w:t>Normalization, variable-feature selection and principal components were generated with Seurat. Harmony was used only in the integrated low-dimensional representation. Raw counts, donor, tissue, library, lesion stage and hereditary-status fields were retained. Integration was audited by comparing donor, library, stage and hereditary-status mixing before and after correction.</w:t>
      </w:r>
    </w:p>
    <w:p>
      <w:pPr>
        <w:keepNext/>
        <w:spacing w:before="200" w:after="80"/>
      </w:pPr>
      <w:r>
        <w:rPr>
          <w:rFonts w:ascii="Arial" w:hAnsi="Arial" w:eastAsia="Arial" w:cs="Arial"/>
          <w:b/>
          <w:color w:val="1F3747"/>
          <w:sz w:val="28"/>
        </w:rPr>
        <w:t>3. Cell-type and epithelial-state annotation</w:t>
      </w:r>
    </w:p>
    <w:p>
      <w:r>
        <w:rPr>
          <w:rFonts w:ascii="Arial" w:hAnsi="Arial" w:eastAsia="Arial" w:cs="Arial"/>
          <w:sz w:val="24"/>
        </w:rPr>
        <w:t>Major lineages were assigned from positive and exclusionary marker combinations. The broad panels included epithelial (EPCAM, KRT8, KRT18, KRT19), T/NK, B/plasma, myeloid, fibroblast, endothelial and mast-cell markers. Source-study annotations and automated labels were auxiliary.</w:t>
      </w:r>
    </w:p>
    <w:p>
      <w:r>
        <w:rPr>
          <w:rFonts w:ascii="Arial" w:hAnsi="Arial" w:eastAsia="Arial" w:cs="Arial"/>
          <w:sz w:val="24"/>
        </w:rPr>
        <w:t>Epithelial cells were reclustered and assigned broad states using recorded marker evidence. The principal state panels were:</w:t>
      </w:r>
    </w:p>
    <w:p>
      <w:r>
        <w:rPr>
          <w:rFonts w:ascii="Arial" w:hAnsi="Arial" w:eastAsia="Arial" w:cs="Arial"/>
          <w:sz w:val="24"/>
        </w:rPr>
        <w:t>Stem/progenitor: LGR5, ASCL2, SMOC2, RGMB, SOX9, OLFM4 and CD44;</w:t>
      </w:r>
    </w:p>
    <w:p>
      <w:r>
        <w:rPr>
          <w:rFonts w:ascii="Arial" w:hAnsi="Arial" w:eastAsia="Arial" w:cs="Arial"/>
          <w:sz w:val="24"/>
        </w:rPr>
        <w:t>Cycling: MKI67, TOP2A, UBE2C, CENPF, CDC20, TICRR and CDC25C;</w:t>
      </w:r>
    </w:p>
    <w:p>
      <w:r>
        <w:rPr>
          <w:rFonts w:ascii="Arial" w:hAnsi="Arial" w:eastAsia="Arial" w:cs="Arial"/>
          <w:sz w:val="24"/>
        </w:rPr>
        <w:t>Absorptive: KRT20, CA1, CA2, ALDOB, FABP1, SI, SLC26A2 and GUCA2A;</w:t>
      </w:r>
    </w:p>
    <w:p>
      <w:r>
        <w:rPr>
          <w:rFonts w:ascii="Arial" w:hAnsi="Arial" w:eastAsia="Arial" w:cs="Arial"/>
          <w:sz w:val="24"/>
        </w:rPr>
        <w:t>BEST4-positive: BEST4, OTOP2, OTOP3, CA7, SLC26A3 and GUCA2A;</w:t>
      </w:r>
    </w:p>
    <w:p>
      <w:r>
        <w:rPr>
          <w:rFonts w:ascii="Arial" w:hAnsi="Arial" w:eastAsia="Arial" w:cs="Arial"/>
          <w:sz w:val="24"/>
        </w:rPr>
        <w:t>Goblet/secretory: MUC2, SPINK4, CLCA1, FCGBP, AGR2, RETNLB, ITLN1 and LRRC26;</w:t>
      </w:r>
    </w:p>
    <w:p>
      <w:r>
        <w:rPr>
          <w:rFonts w:ascii="Arial" w:hAnsi="Arial" w:eastAsia="Arial" w:cs="Arial"/>
          <w:sz w:val="24"/>
        </w:rPr>
        <w:t>Enteroendocrine: CHGA, CHGB, SCGN, FEV, NEUROD1, PCSK1N, PYY and GCG;</w:t>
      </w:r>
    </w:p>
    <w:p>
      <w:r>
        <w:rPr>
          <w:rFonts w:ascii="Arial" w:hAnsi="Arial" w:eastAsia="Arial" w:cs="Arial"/>
          <w:sz w:val="24"/>
        </w:rPr>
        <w:t>Tuft: POU2F3, TRPM5, IL17RB, AVIL, GNG13, LRMP and SH2D6.</w:t>
      </w:r>
    </w:p>
    <w:p>
      <w:r>
        <w:rPr>
          <w:rFonts w:ascii="Arial" w:hAnsi="Arial" w:eastAsia="Arial" w:cs="Arial"/>
          <w:sz w:val="24"/>
        </w:rPr>
        <w:t>CopyKAT was run per tissue as auxiliary copy-number evidence. Malignancy was not assigned solely from tumor origin or EPCAM expression. Annotation figures are descriptive and do not use cells as biological replicates.</w:t>
      </w:r>
    </w:p>
    <w:p>
      <w:r>
        <w:rPr>
          <w:rFonts w:ascii="Arial" w:hAnsi="Arial" w:eastAsia="Arial" w:cs="Arial"/>
          <w:sz w:val="24"/>
        </w:rPr>
        <w:t>The audit compared the canonical 36 M02 genes with the recorded marker evidence. ASCL2 overlapped the broad Stem/progenitor panel; NKD1 and APCDD1 overlapped cluster-level state evidence. This overlap is disclosed as a dependence between compartment definition and module characterization. It was not used to alter labels after results were seen.</w:t>
      </w:r>
    </w:p>
    <w:p>
      <w:pPr>
        <w:keepNext/>
        <w:spacing w:before="200" w:after="80"/>
      </w:pPr>
      <w:r>
        <w:rPr>
          <w:rFonts w:ascii="Arial" w:hAnsi="Arial" w:eastAsia="Arial" w:cs="Arial"/>
          <w:b/>
          <w:color w:val="1F3747"/>
          <w:sz w:val="28"/>
        </w:rPr>
        <w:t>4. Donor-level primary screen</w:t>
      </w:r>
    </w:p>
    <w:p>
      <w:r>
        <w:rPr>
          <w:rFonts w:ascii="Arial" w:hAnsi="Arial" w:eastAsia="Arial" w:cs="Arial"/>
          <w:sz w:val="24"/>
        </w:rPr>
        <w:t>Raw counts were summed by donor×stage×epithelial state. Pseudobulks required at least 20 cells and at least 10,000 raw UMI. States required at least three donors in each modeled stage. edgeR filterByExpr and TMM normalization were followed by limma-voom. Repeated observations from a donor were handled with duplicateCorrelation; the donor was the blocking variable. FAP status was included only where the design remained estimable. Location covariates were not forced into models that combined sites within donor-stage aggregates or had missing design cells.</w:t>
      </w:r>
    </w:p>
    <w:p>
      <w:r>
        <w:rPr>
          <w:rFonts w:ascii="Arial" w:hAnsi="Arial" w:eastAsia="Arial" w:cs="Arial"/>
          <w:sz w:val="24"/>
        </w:rPr>
        <w:t>Contrasts were normal versus adenoma, adenoma versus cancer and normal versus cancer. Positive effects indicate higher expression in the later stage. Two-sided P values were adjusted by the Benjamini-Hochberg method within each state/contrast family. The normal-versus-adenoma contrast and FDR&lt;0.05 were the primary discovery rule.</w:t>
      </w:r>
    </w:p>
    <w:p>
      <w:pPr>
        <w:keepNext/>
        <w:spacing w:before="200" w:after="80"/>
      </w:pPr>
      <w:r>
        <w:rPr>
          <w:rFonts w:ascii="Arial" w:hAnsi="Arial" w:eastAsia="Arial" w:cs="Arial"/>
          <w:b/>
          <w:color w:val="1F3747"/>
          <w:sz w:val="28"/>
        </w:rPr>
        <w:t>5. Post-hoc module-generation workflow</w:t>
      </w:r>
    </w:p>
    <w:p>
      <w:r>
        <w:rPr>
          <w:rFonts w:ascii="Arial" w:hAnsi="Arial" w:eastAsia="Arial" w:cs="Arial"/>
          <w:sz w:val="24"/>
        </w:rPr>
        <w:t>The negative gene-level result was finalized before the exploratory amendment. Module generation then proceeded in two steps.</w:t>
      </w:r>
    </w:p>
    <w:p>
      <w:pPr>
        <w:keepNext/>
        <w:spacing w:before="200" w:after="80"/>
      </w:pPr>
      <w:r>
        <w:rPr>
          <w:rFonts w:ascii="Arial" w:hAnsi="Arial" w:eastAsia="Arial" w:cs="Arial"/>
          <w:b/>
          <w:color w:val="1F3747"/>
          <w:sz w:val="24"/>
        </w:rPr>
        <w:t>5.1 Stage-label-blind covariance construction</w:t>
      </w:r>
    </w:p>
    <w:p>
      <w:r>
        <w:rPr>
          <w:rFonts w:ascii="Arial" w:hAnsi="Arial" w:eastAsia="Arial" w:cs="Arial"/>
          <w:sz w:val="24"/>
        </w:rPr>
        <w:t>Within each epithelial state, at most 1,000 high-variability genes were selected without stage labels. Spearman gene-gene correlation was clustered into at most 20 groups. Testable groups required at least 10 genes and median within-module correlation≥0.20. Module scores were means of standardized expression values.</w:t>
      </w:r>
    </w:p>
    <w:p>
      <w:pPr>
        <w:keepNext/>
        <w:spacing w:before="200" w:after="80"/>
      </w:pPr>
      <w:r>
        <w:rPr>
          <w:rFonts w:ascii="Arial" w:hAnsi="Arial" w:eastAsia="Arial" w:cs="Arial"/>
          <w:b/>
          <w:color w:val="1F3747"/>
          <w:sz w:val="24"/>
        </w:rPr>
        <w:t>5.2 Stage-aware and FAP-aware candidate filtering</w:t>
      </w:r>
    </w:p>
    <w:p>
      <w:r>
        <w:rPr>
          <w:rFonts w:ascii="Arial" w:hAnsi="Arial" w:eastAsia="Arial" w:cs="Arial"/>
          <w:sz w:val="24"/>
        </w:rPr>
        <w:t>The later filter used lesion stage and paired FAP information. A module was retained only when all of the following were satisfied:</w:t>
      </w:r>
    </w:p>
    <w:p>
      <w:r>
        <w:rPr>
          <w:rFonts w:ascii="Arial" w:hAnsi="Arial" w:eastAsia="Arial" w:cs="Arial"/>
          <w:sz w:val="24"/>
        </w:rPr>
        <w:t>normal-to-adenoma module FDR≤0.05;</w:t>
      </w:r>
    </w:p>
    <w:p>
      <w:r>
        <w:rPr>
          <w:rFonts w:ascii="Arial" w:hAnsi="Arial" w:eastAsia="Arial" w:cs="Arial"/>
          <w:sz w:val="24"/>
        </w:rPr>
        <w:t>absolute standardized normal-to-adenoma effect≥0.50;</w:t>
      </w:r>
    </w:p>
    <w:p>
      <w:r>
        <w:rPr>
          <w:rFonts w:ascii="Arial" w:hAnsi="Arial" w:eastAsia="Arial" w:cs="Arial"/>
          <w:sz w:val="24"/>
        </w:rPr>
        <w:t>cancer-to-normal effect had the same sign and at least 80% of the early effect magnitude;</w:t>
      </w:r>
    </w:p>
    <w:p>
      <w:r>
        <w:rPr>
          <w:rFonts w:ascii="Arial" w:hAnsi="Arial" w:eastAsia="Arial" w:cs="Arial"/>
          <w:sz w:val="24"/>
        </w:rPr>
        <w:t>cancer-to-adenoma effect had the same sign or absolute magnitude≤0.20;</w:t>
      </w:r>
    </w:p>
    <w:p>
      <w:r>
        <w:rPr>
          <w:rFonts w:ascii="Arial" w:hAnsi="Arial" w:eastAsia="Arial" w:cs="Arial"/>
          <w:sz w:val="24"/>
        </w:rPr>
        <w:t>paired FAP effect had the same direction;</w:t>
      </w:r>
    </w:p>
    <w:p>
      <w:r>
        <w:rPr>
          <w:rFonts w:ascii="Arial" w:hAnsi="Arial" w:eastAsia="Arial" w:cs="Arial"/>
          <w:sz w:val="24"/>
        </w:rPr>
        <w:t>leave-one-donor-out sign stability≥0.75.</w:t>
      </w:r>
    </w:p>
    <w:p>
      <w:r>
        <w:rPr>
          <w:rFonts w:ascii="Arial" w:hAnsi="Arial" w:eastAsia="Arial" w:cs="Arial"/>
          <w:sz w:val="24"/>
        </w:rPr>
        <w:t>Six modules passed. Because paired FAP direction was part of this filter, subsequent statistics in the same four FAP donors are conditional on selection. M02 was selected from the six as a post-hoc candidate for downstream assessment. Its 36 genes received equal weight 1/36. The canonical membership was documented before specified downstream runs, but no public preregistration existed.</w:t>
      </w:r>
    </w:p>
    <w:p>
      <w:pPr>
        <w:keepNext/>
        <w:spacing w:before="200" w:after="80"/>
      </w:pPr>
      <w:r>
        <w:rPr>
          <w:rFonts w:ascii="Arial" w:hAnsi="Arial" w:eastAsia="Arial" w:cs="Arial"/>
          <w:b/>
          <w:color w:val="1F3747"/>
          <w:sz w:val="28"/>
        </w:rPr>
        <w:t>6. M02 composition and influence audits</w:t>
      </w:r>
    </w:p>
    <w:p>
      <w:r>
        <w:rPr>
          <w:rFonts w:ascii="Arial" w:hAnsi="Arial" w:eastAsia="Arial" w:cs="Arial"/>
          <w:sz w:val="24"/>
        </w:rPr>
        <w:t>Canonical symbols were converted with the g:Profiler API. Functional overrepresentation used the 1,000 unique genes entering Stem/progenitor covariance modules as the custom background, g:SCS correction and g:Profiler database e114_eg62_p19_27110d83. Broad gene categories were descriptive, non-exclusive analyst labels and were not used in selection.</w:t>
      </w:r>
    </w:p>
    <w:p>
      <w:r>
        <w:rPr>
          <w:rFonts w:ascii="Arial" w:hAnsi="Arial" w:eastAsia="Arial" w:cs="Arial"/>
          <w:sz w:val="24"/>
        </w:rPr>
        <w:t>For all epithelium and Stem/progenitor cells, raw counts from each of the four paired FAP donors were aggregated by condition. TMM normalization and log2CPM with prior count 2 were applied within compartment. The equal-weight score was calculated for all 36 genes. Patient differences, gene-level contributions and all 36 leave-one-gene-out scores were retained. These are sensitivity descriptions only.</w:t>
      </w:r>
    </w:p>
    <w:p>
      <w:pPr/>
      <w:r>
        <w:rPr>
          <w:rFonts w:ascii="Arial" w:hAnsi="Arial"/>
          <w:b w:val="0"/>
          <w:sz w:val="22"/>
        </w:rPr>
        <w:t>The same sampled membership was scored in all-epithelial and Stem/progenitor donor-stage pseudobulks. The observed statistic was the mean of four within-donor adenoma-minus-normal differences. We reported the random distribution median, 2.5th and 97.5th percentiles, M02 percentile and plus-one upper-tail fraction. These are descriptive random-gene-set references, not post-selection P values, because paired FAP direction and leave-one-donor-out behavior contributed to candidate filtering. The audit did not alter module membership, weights, donors, compartments or downstream datasets.</w:t>
      </w:r>
    </w:p>
    <w:p>
      <w:pPr/>
      <w:r>
        <w:rPr>
          <w:rFonts w:ascii="Arial" w:hAnsi="Arial"/>
          <w:b w:val="0"/>
          <w:sz w:val="22"/>
        </w:rPr>
        <w:t>For the primary reference, eligible Stem/progenitor pseudobulks were TMM-normalized and transformed to log2CPM with prior count 2. Each source-universe gene was classified by quintiles of mean expression and standard deviation. Every random 36-gene module sampled, without replacement, the same number of genes as M02 from each two-dimensional stratum. A second 10,000-module reference sampled uniformly from the same source universe after excluding M02. Seeds were 20260811 and 20260812, respectively.</w:t>
      </w:r>
    </w:p>
    <w:p>
      <w:pPr/>
      <w:r>
        <w:rPr>
          <w:rFonts w:ascii="Arial" w:hAnsi="Arial"/>
          <w:b w:val="0"/>
          <w:sz w:val="22"/>
        </w:rPr>
        <w:t>Before output inspection, we froze a plan specifying the 1,000-gene Stem/progenitor source universe, exclusion of the 36 M02 genes from random sampling, matching variables, 10,000 iterations per design, seeds, scoring method and reporting limits. The canonical M02 bundle SHA256 remained d4e34472243b0259650aca3123a5df7e767e9a408a409cef08861937f2360a30.</w:t>
      </w:r>
    </w:p>
    <w:p>
      <w:pPr/>
      <w:r>
        <w:rPr>
          <w:rFonts w:ascii="Arial" w:hAnsi="Arial"/>
          <w:b/>
          <w:sz w:val="22"/>
        </w:rPr>
        <w:t>6.1 Selection-conditioned random-gene-set resampling</w:t>
      </w:r>
    </w:p>
    <w:p>
      <w:pPr>
        <w:keepNext/>
        <w:spacing w:before="200" w:after="80"/>
      </w:pPr>
      <w:r>
        <w:rPr>
          <w:rFonts w:ascii="Arial" w:hAnsi="Arial" w:eastAsia="Arial" w:cs="Arial"/>
          <w:b/>
          <w:color w:val="1F3747"/>
          <w:sz w:val="28"/>
        </w:rPr>
        <w:t>7. GSE161277 analysis</w:t>
      </w:r>
    </w:p>
    <w:p>
      <w:r>
        <w:rPr>
          <w:rFonts w:ascii="Arial" w:hAnsi="Arial" w:eastAsia="Arial" w:cs="Arial"/>
          <w:sz w:val="24"/>
        </w:rPr>
        <w:t>Captures were quality controlled independently and doublets were assessed per capture. Blood and para-cancer tissues were excluded from the normal-to-adenoma comparison. Multiple adenoma tissues from the same donor were pooled at raw-count aggregation. The inferential table included Patient1, Patient2 and Patient3 only.</w:t>
      </w:r>
    </w:p>
    <w:p>
      <w:r>
        <w:rPr>
          <w:rFonts w:ascii="Arial" w:hAnsi="Arial" w:eastAsia="Arial" w:cs="Arial"/>
          <w:sz w:val="24"/>
        </w:rPr>
        <w:t>Raw epithelial counts were summed by donor and condition, TMM-normalized and transformed to log2CPM with prior count 2. Each of the six previously selected modules was scored without changing membership. Paired donor differences were summarized with a t confidence interval and two-sided P value; BH FDR covered the six-module family. Leave-one-donor-out direction was descriptive. The three cells in the patient-level table, not the number of sequenced cells, defined n.</w:t>
      </w:r>
    </w:p>
    <w:p>
      <w:pPr>
        <w:keepNext/>
        <w:spacing w:before="200" w:after="80"/>
      </w:pPr>
      <w:r>
        <w:rPr>
          <w:rFonts w:ascii="Arial" w:hAnsi="Arial" w:eastAsia="Arial" w:cs="Arial"/>
          <w:b/>
          <w:color w:val="1F3747"/>
          <w:sz w:val="28"/>
        </w:rPr>
        <w:t>8. Bulk-tissue processing and analysis</w:t>
      </w:r>
    </w:p>
    <w:p>
      <w:r>
        <w:rPr>
          <w:rFonts w:ascii="Arial" w:hAnsi="Arial" w:eastAsia="Arial" w:cs="Arial"/>
          <w:sz w:val="24"/>
        </w:rPr>
        <w:t>GSE41657, GSE100179 and GSE8671 were processed independently using platform-appropriate RMA normalization and probe annotation. Multiple probes were summarized under predefined rules. Unmapped genes were reported and not silently replaced. No expression matrices were merged.</w:t>
      </w:r>
    </w:p>
    <w:p>
      <w:r>
        <w:rPr>
          <w:rFonts w:ascii="Arial" w:hAnsi="Arial" w:eastAsia="Arial" w:cs="Arial"/>
          <w:sz w:val="24"/>
        </w:rPr>
        <w:t>GSE41657 and GSE100179 used sample-level regression with HC3 standard errors because patient identifiers could not be reconstructed. GSE8671 used 32 verified matched patient pairs. Original accession-specific effects remained on their platform-specific module-score scales.</w:t>
      </w:r>
    </w:p>
    <w:p>
      <w:r>
        <w:rPr>
          <w:rFonts w:ascii="Arial" w:hAnsi="Arial" w:eastAsia="Arial" w:cs="Arial"/>
          <w:sz w:val="24"/>
        </w:rPr>
        <w:t>The original random-effects synthesis used REML with Knapp-Hartung inference and reported tau2, I2, Q and a prediction interval. The additional scale sensitivity divided each accession effect and standard error by the standard deviation of M02 scores among that accession’s normal and adenoma samples. This is a linear re-expression of the fitted accession effect, not Hedges g and not a pooled-patient model. REML/Knapp-Hartung was primary for the sensitivity; Paule-Mandel and leave-one-accession-out analyses were additional checks. Only three accessions were available, and two remained sample-scoped.</w:t>
      </w:r>
    </w:p>
    <w:p>
      <w:pPr>
        <w:keepNext/>
        <w:spacing w:before="200" w:after="80"/>
      </w:pPr>
      <w:r>
        <w:rPr>
          <w:rFonts w:ascii="Arial" w:hAnsi="Arial" w:eastAsia="Arial" w:cs="Arial"/>
          <w:b/>
          <w:color w:val="1F3747"/>
          <w:sz w:val="28"/>
        </w:rPr>
        <w:t>9. Cancer-context analyses</w:t>
      </w:r>
    </w:p>
    <w:p>
      <w:r>
        <w:rPr>
          <w:rFonts w:ascii="Arial" w:hAnsi="Arial" w:eastAsia="Arial" w:cs="Arial"/>
          <w:sz w:val="24"/>
        </w:rPr>
        <w:t>GSE132465 was analyzed as paired cancer-versus-normal single-cell context only. TCGA-COAD was analyzed for cancer-versus-normal, stage and available molecular strata only. Neither dataset contains an adenoma endpoint and neither contributes evidence for adenoma onset. These results are confined to Supplementary Figure S6 and Table S5/S6.</w:t>
      </w:r>
    </w:p>
    <w:p>
      <w:pPr>
        <w:keepNext/>
        <w:spacing w:before="200" w:after="80"/>
      </w:pPr>
      <w:r>
        <w:rPr>
          <w:rFonts w:ascii="Arial" w:hAnsi="Arial" w:eastAsia="Arial" w:cs="Arial"/>
          <w:b/>
          <w:color w:val="1F3747"/>
          <w:sz w:val="28"/>
        </w:rPr>
        <w:t>10. Stool-RNA transport analysis</w:t>
      </w:r>
    </w:p>
    <w:p>
      <w:r>
        <w:rPr>
          <w:rFonts w:ascii="Arial" w:hAnsi="Arial" w:eastAsia="Arial" w:cs="Arial"/>
          <w:sz w:val="24"/>
        </w:rPr>
        <w:t>GSE99573 training and test partitions were frozen before model fitting. Candidate features were restricted to the previously fixed detectable set. LASSO-logistic regression used nested cross-validation in the training set and the one-standard-error penalty. Model formula, preprocessing, coefficients and threshold were locked before one use of the test set.</w:t>
      </w:r>
    </w:p>
    <w:p>
      <w:r>
        <w:rPr>
          <w:rFonts w:ascii="Arial" w:hAnsi="Arial" w:eastAsia="Arial" w:cs="Arial"/>
          <w:sz w:val="24"/>
        </w:rPr>
        <w:t>The held-out test set was not reopened for selection, no direct M02 score was fit and no coefficient was changed. We summarized the frozen outputs: number of selected non-intercept features, selected coefficients, number of unique predicted probabilities, probability range and AUC. The adenoma and cancer endpoints were intercept only; the composite endpoint selected B4GALT7.</w:t>
      </w:r>
    </w:p>
    <w:p>
      <w:pPr>
        <w:keepNext/>
        <w:spacing w:before="200" w:after="80"/>
      </w:pPr>
      <w:r>
        <w:rPr>
          <w:rFonts w:ascii="Arial" w:hAnsi="Arial" w:eastAsia="Arial" w:cs="Arial"/>
          <w:b/>
          <w:color w:val="1F3747"/>
          <w:sz w:val="28"/>
        </w:rPr>
        <w:t>11. Figshare 29925404 mapping audit</w:t>
      </w:r>
    </w:p>
    <w:p>
      <w:r>
        <w:rPr>
          <w:rFonts w:ascii="Arial" w:hAnsi="Arial" w:eastAsia="Arial" w:cs="Arial"/>
          <w:sz w:val="24"/>
        </w:rPr>
        <w:t>The deposited integer-count matrices and patient/sample map were audited before score calculation. Of 36 canonical genes, 33 were present. AL022068.1, AP001636.3 and LINC01748 were absent. The locked branch required 36/36 for its primary endpoint, which was therefore not estimable.</w:t>
      </w:r>
    </w:p>
    <w:p>
      <w:r>
        <w:rPr>
          <w:rFonts w:ascii="Arial" w:hAnsi="Arial" w:eastAsia="Arial" w:cs="Arial"/>
          <w:sz w:val="24"/>
        </w:rPr>
        <w:t>The code named the reduced-coverage score M02_29OF36_COVERAGE_SENS because 29 was the minimum acceptable mapped count. Inspection confirmed that all mapped canonical genes (33) were averaged. No outcome-based selection of a fixed 29-gene subset occurred. This clarification corrects the label without promoting the sensitivity to a primary endpoint.</w:t>
      </w:r>
    </w:p>
    <w:p>
      <w:pPr>
        <w:keepNext/>
        <w:spacing w:before="200" w:after="80"/>
      </w:pPr>
      <w:r>
        <w:rPr>
          <w:rFonts w:ascii="Arial" w:hAnsi="Arial" w:eastAsia="Arial" w:cs="Arial"/>
          <w:b/>
          <w:color w:val="1F3747"/>
          <w:sz w:val="28"/>
        </w:rPr>
        <w:t>12. Pseudo-spot and spatial technical feasibility</w:t>
      </w:r>
    </w:p>
    <w:p>
      <w:r>
        <w:rPr>
          <w:rFonts w:ascii="Arial" w:hAnsi="Arial" w:eastAsia="Arial" w:cs="Arial"/>
          <w:sz w:val="24"/>
        </w:rPr>
        <w:t>Pseudo-spots were generated from an independent single-cell reference using marker and proportion models that excluded all M02 genes. Simulations varied UMI depth, dropout, epithelial proportion, immune contamination, missing genes, region size, batch shift and spatial aggregation. Correlation, bias, RMSE, calibration and failure rate described technical recoverability only.</w:t>
      </w:r>
    </w:p>
    <w:p>
      <w:r>
        <w:rPr>
          <w:rFonts w:ascii="Arial" w:hAnsi="Arial" w:eastAsia="Arial" w:cs="Arial"/>
          <w:sz w:val="24"/>
        </w:rPr>
        <w:t>For E-GEAD-622, two image-processing pipelines generated region labels without reference to M02. Agreement and region-size thresholds were frozen before score inspection. No independent pathologist gold standard was available. Cases1–3 failed the registration gate; case4 passed. The patient-level plan required at least three eligible paired cases and was not estimable. In case4, the primary and most sensitivity differences were negative, whereas the two-region gene-z difference was effectively zero; the frozen classification was DESCRIPTIVE_METHOD_DEPENDENT. No P values, confidence intervals or spot-level inference were computed.</w:t>
      </w:r>
    </w:p>
    <w:p>
      <w:pPr>
        <w:keepNext/>
        <w:spacing w:before="200" w:after="80"/>
      </w:pPr>
      <w:r>
        <w:rPr>
          <w:rFonts w:ascii="Arial" w:hAnsi="Arial" w:eastAsia="Arial" w:cs="Arial"/>
          <w:b/>
          <w:color w:val="1F3747"/>
          <w:sz w:val="28"/>
        </w:rPr>
        <w:t>13. Software, random seeds and reproducibility</w:t>
      </w:r>
    </w:p>
    <w:p>
      <w:r>
        <w:rPr>
          <w:rFonts w:ascii="Arial" w:hAnsi="Arial" w:eastAsia="Arial" w:cs="Arial"/>
          <w:sz w:val="24"/>
        </w:rPr>
        <w:t>The main server environment used Ubuntu 22.04.5, R 4.3.2, edgeR 4.0.2, limma 3.58.1, Seurat 5.0.2 and SeuratObject 5.0.1. Stage-specific seeds and package snapshots are included in Table S10 and Supplementary Information 4. The statistical audit used the recorded Stage 10C pseudobulk object without changing it. The enrichment query used g:Profiler e114_eg62_p19_27110d83. Final tables were generated from saved TSV/RDS inputs by scripts included in Supplementary Information 4.</w:t>
      </w:r>
    </w:p>
    <w:p>
      <w:r>
        <w:rPr>
          <w:rFonts w:ascii="Arial" w:hAnsi="Arial" w:eastAsia="Arial" w:cs="Arial"/>
          <w:sz w:val="24"/>
        </w:rPr>
        <w:t>SHA256 values are provided for each submission artifact. Absolute private paths, credentials, SSH keys, environment secrets and large raw/derived objects were excluded from the package.</w:t>
      </w:r>
    </w:p>
    <w:sectPr w:rsidR="00FC693F" w:rsidRPr="0006063C" w:rsidSect="00034616">
      <w:footerReference w:type="default" r:id="rId9"/>
      <w:pgSz w:w="12240" w:h="15840"/>
      <w:pgMar w:top="1247" w:right="1361" w:bottom="1247" w:left="136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eastAsia="Arial" w:cs="Arial"/>
        <w:sz w:val="20"/>
      </w:rPr>
      <w:fldChar w:fldCharType="begin"/>
      <w:instrText xml:space="preserve"> PAGE </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Arial" w:hAnsi="Arial" w:eastAsia="Arial"/>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ascii="Arial" w:hAnsi="Arial" w:eastAsia="Arial"/>
      <w:b/>
      <w:bCs/>
      <w:color w:val="1F3747"/>
      <w:sz w:val="32"/>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Arial" w:hAnsi="Arial" w:eastAsia="Arial"/>
      <w:b/>
      <w:bCs/>
      <w:color w:val="1F3747"/>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Arial" w:hAnsi="Arial" w:eastAsia="Arial"/>
      <w:b/>
      <w:bCs/>
      <w:color w:val="1F3747"/>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80" w:line="240" w:lineRule="auto" w:before="200"/>
      <w:contextualSpacing/>
    </w:pPr>
    <w:rPr>
      <w:rFonts w:asciiTheme="majorHAnsi" w:eastAsiaTheme="majorEastAsia" w:hAnsiTheme="majorHAnsi" w:cstheme="majorBidi" w:ascii="Arial" w:hAnsi="Arial" w:eastAsia="Arial"/>
      <w:b/>
      <w:color w:val="1F3747"/>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line="276" w:lineRule="auto"/>
    </w:pPr>
    <w:rPr>
      <w:rFonts w:ascii="Arial" w:hAnsi="Arial" w:eastAsia="Arial"/>
      <w:sz w:val="24"/>
    </w:r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