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283D" w14:textId="3CA2DAA8" w:rsidR="00543449" w:rsidRPr="00BA2EC1" w:rsidRDefault="00516579" w:rsidP="00B74B2F">
      <w:pPr>
        <w:spacing w:line="480" w:lineRule="auto"/>
        <w:jc w:val="both"/>
        <w:rPr>
          <w:rFonts w:ascii="Arial" w:hAnsi="Arial" w:cs="Arial"/>
          <w:b/>
          <w:bCs/>
          <w:sz w:val="22"/>
          <w:szCs w:val="22"/>
        </w:rPr>
      </w:pPr>
      <w:r w:rsidRPr="00516579">
        <w:rPr>
          <w:rFonts w:ascii="Arial" w:hAnsi="Arial" w:cs="Arial"/>
          <w:b/>
          <w:bCs/>
          <w:sz w:val="22"/>
          <w:szCs w:val="22"/>
          <w:u w:val="single"/>
        </w:rPr>
        <w:t>Supplementary Material</w:t>
      </w:r>
      <w:r>
        <w:rPr>
          <w:rFonts w:ascii="Arial" w:hAnsi="Arial" w:cs="Arial"/>
          <w:b/>
          <w:bCs/>
          <w:sz w:val="22"/>
          <w:szCs w:val="22"/>
        </w:rPr>
        <w:t xml:space="preserve"> of ‘</w:t>
      </w:r>
      <w:r w:rsidR="002546AD" w:rsidRPr="00BA2EC1">
        <w:rPr>
          <w:rFonts w:ascii="Arial" w:hAnsi="Arial" w:cs="Arial"/>
          <w:b/>
          <w:bCs/>
          <w:sz w:val="22"/>
          <w:szCs w:val="22"/>
        </w:rPr>
        <w:t>Integrative Multi-Omic</w:t>
      </w:r>
      <w:r w:rsidR="00D73A3F">
        <w:rPr>
          <w:rFonts w:ascii="Arial" w:hAnsi="Arial" w:cs="Arial"/>
          <w:b/>
          <w:bCs/>
          <w:sz w:val="22"/>
          <w:szCs w:val="22"/>
        </w:rPr>
        <w:t>s</w:t>
      </w:r>
      <w:r w:rsidR="002546AD" w:rsidRPr="00BA2EC1">
        <w:rPr>
          <w:rFonts w:ascii="Arial" w:hAnsi="Arial" w:cs="Arial"/>
          <w:b/>
          <w:bCs/>
          <w:sz w:val="22"/>
          <w:szCs w:val="22"/>
        </w:rPr>
        <w:t xml:space="preserve"> Analysis Reveals Biomarkers of Severe Systemic Allergy to Honeybee Venom and Olive Pollen</w:t>
      </w:r>
      <w:r>
        <w:rPr>
          <w:rFonts w:ascii="Arial" w:hAnsi="Arial" w:cs="Arial"/>
          <w:b/>
          <w:bCs/>
          <w:sz w:val="22"/>
          <w:szCs w:val="22"/>
        </w:rPr>
        <w:t>’</w:t>
      </w:r>
    </w:p>
    <w:p w14:paraId="0E701707" w14:textId="71B31460" w:rsidR="00140671" w:rsidRDefault="00D10F43" w:rsidP="00B74B2F">
      <w:pPr>
        <w:spacing w:line="480" w:lineRule="auto"/>
        <w:rPr>
          <w:b/>
          <w:bCs/>
        </w:rPr>
      </w:pPr>
      <w:r>
        <w:rPr>
          <w:rFonts w:ascii="Arial" w:hAnsi="Arial" w:cs="Arial"/>
          <w:b/>
          <w:bCs/>
          <w:sz w:val="22"/>
          <w:szCs w:val="22"/>
        </w:rPr>
        <w:t xml:space="preserve">SUPPLEMENTARY </w:t>
      </w:r>
      <w:r w:rsidR="00EC1483">
        <w:rPr>
          <w:rFonts w:ascii="Arial" w:hAnsi="Arial" w:cs="Arial"/>
          <w:b/>
          <w:bCs/>
          <w:sz w:val="22"/>
          <w:szCs w:val="22"/>
        </w:rPr>
        <w:t>METHODS</w:t>
      </w:r>
    </w:p>
    <w:p w14:paraId="1378E096" w14:textId="77777777" w:rsidR="000C527A" w:rsidRPr="00577FBF" w:rsidRDefault="000C527A" w:rsidP="00B74B2F">
      <w:pPr>
        <w:spacing w:line="480" w:lineRule="auto"/>
        <w:jc w:val="both"/>
        <w:rPr>
          <w:rFonts w:ascii="Arial" w:hAnsi="Arial" w:cs="Arial"/>
          <w:sz w:val="22"/>
          <w:szCs w:val="22"/>
          <w:u w:val="single"/>
        </w:rPr>
      </w:pPr>
      <w:r w:rsidRPr="00577FBF">
        <w:rPr>
          <w:rFonts w:ascii="Arial" w:hAnsi="Arial" w:cs="Arial"/>
          <w:sz w:val="22"/>
          <w:szCs w:val="22"/>
          <w:u w:val="single"/>
        </w:rPr>
        <w:t>Basophil Activation Test (BAT)</w:t>
      </w:r>
    </w:p>
    <w:p w14:paraId="38045A87" w14:textId="4E3CDAF1" w:rsidR="000C527A" w:rsidRPr="00577FBF" w:rsidRDefault="000C527A" w:rsidP="00B74B2F">
      <w:pPr>
        <w:spacing w:line="480" w:lineRule="auto"/>
        <w:jc w:val="both"/>
        <w:rPr>
          <w:rFonts w:ascii="Arial" w:hAnsi="Arial" w:cs="Arial"/>
          <w:sz w:val="22"/>
          <w:szCs w:val="22"/>
        </w:rPr>
      </w:pPr>
      <w:r w:rsidRPr="00140671">
        <w:rPr>
          <w:rFonts w:ascii="Arial" w:hAnsi="Arial" w:cs="Arial"/>
          <w:sz w:val="22"/>
          <w:szCs w:val="22"/>
        </w:rPr>
        <w:t>Basophil activation and sensitization were evaluated against bee venom and olive pollen allergens as described before</w:t>
      </w:r>
      <w:r>
        <w:rPr>
          <w:rFonts w:ascii="Arial" w:hAnsi="Arial" w:cs="Arial"/>
          <w:sz w:val="22"/>
          <w:szCs w:val="22"/>
        </w:rPr>
        <w:fldChar w:fldCharType="begin"/>
      </w:r>
      <w:r>
        <w:rPr>
          <w:rFonts w:ascii="Arial" w:hAnsi="Arial" w:cs="Arial"/>
          <w:sz w:val="22"/>
          <w:szCs w:val="22"/>
        </w:rPr>
        <w:instrText xml:space="preserve"> ADDIN ZOTERO_ITEM CSL_CITATION {"citationID":"VmHaIzVp","properties":{"formattedCitation":"\\super 2\\nosupersub{}","plainCitation":"2","noteIndex":0},"citationItems":[{"id":511,"uris":["http://zotero.org/users/10003360/items/GZZSAI2J"],"itemData":{"id":511,"type":"article-journal","container-title":"The Journal of Allergy and Clinical Immunology","DOI":"10.1016/j.jaci.2013.07.016","ISSN":"1097-6825","issue":"4","journalAbbreviation":"J Allergy Clin Immunol","language":"eng","page":"975-976.e1-5","PMID":"24001803","source":"PubMed","title":"Role of the basophil activation test in the diagnosis of local allergic rhinitis","volume":"132","author":[{"family":"Gómez","given":"Enrique"},{"family":"Campo","given":"Paloma"},{"family":"Rondón","given":"Carmen"},{"family":"Barrionuevo","given":"Esther"},{"family":"Blanca-López","given":"Natalia"},{"family":"Torres","given":"María José"},{"family":"Herrera","given":"Rocío"},{"family":"Galindo","given":"Luisa"},{"family":"Mayorga","given":"Cristobalina"},{"family":"Blanca","given":"Miguel"}],"issued":{"date-parts":[["2013",10]]}}}],"schema":"https://github.com/citation-style-language/schema/raw/master/csl-citation.json"} </w:instrText>
      </w:r>
      <w:r>
        <w:rPr>
          <w:rFonts w:ascii="Arial" w:hAnsi="Arial" w:cs="Arial"/>
          <w:sz w:val="22"/>
          <w:szCs w:val="22"/>
        </w:rPr>
        <w:fldChar w:fldCharType="separate"/>
      </w:r>
      <w:r w:rsidRPr="00EE67CD">
        <w:rPr>
          <w:rFonts w:ascii="Arial" w:hAnsi="Arial" w:cs="Arial"/>
          <w:kern w:val="0"/>
          <w:sz w:val="22"/>
          <w:vertAlign w:val="superscript"/>
        </w:rPr>
        <w:t>2</w:t>
      </w:r>
      <w:r>
        <w:rPr>
          <w:rFonts w:ascii="Arial" w:hAnsi="Arial" w:cs="Arial"/>
          <w:sz w:val="22"/>
          <w:szCs w:val="22"/>
        </w:rPr>
        <w:fldChar w:fldCharType="end"/>
      </w:r>
      <w:r>
        <w:rPr>
          <w:rFonts w:ascii="Arial" w:hAnsi="Arial" w:cs="Arial"/>
          <w:sz w:val="22"/>
          <w:szCs w:val="22"/>
        </w:rPr>
        <w:t>.</w:t>
      </w:r>
      <w:r w:rsidRPr="00140671">
        <w:rPr>
          <w:rFonts w:ascii="Arial" w:hAnsi="Arial" w:cs="Arial"/>
          <w:sz w:val="22"/>
          <w:szCs w:val="22"/>
        </w:rPr>
        <w:t xml:space="preserve"> Heparinized whole blood was incubated with 20 µL of stimulation buffer (1 M HEPES containing 0.78% NaCl, 0.037% KCl, 0.078% CaCl</w:t>
      </w:r>
      <w:r w:rsidRPr="00233546">
        <w:rPr>
          <w:rFonts w:ascii="Cambria Math" w:hAnsi="Cambria Math" w:cs="Cambria Math"/>
          <w:sz w:val="22"/>
          <w:szCs w:val="22"/>
        </w:rPr>
        <w:t>₂</w:t>
      </w:r>
      <w:r w:rsidRPr="00233546">
        <w:rPr>
          <w:rFonts w:ascii="Arial" w:hAnsi="Arial" w:cs="Arial"/>
          <w:sz w:val="22"/>
          <w:szCs w:val="22"/>
        </w:rPr>
        <w:t>, 0.033% MgCl</w:t>
      </w:r>
      <w:r w:rsidRPr="00233546">
        <w:rPr>
          <w:rFonts w:ascii="Cambria Math" w:hAnsi="Cambria Math" w:cs="Cambria Math"/>
          <w:sz w:val="22"/>
          <w:szCs w:val="22"/>
        </w:rPr>
        <w:t>₂</w:t>
      </w:r>
      <w:r w:rsidRPr="00233546">
        <w:rPr>
          <w:rFonts w:ascii="Arial" w:hAnsi="Arial" w:cs="Arial"/>
          <w:sz w:val="22"/>
          <w:szCs w:val="22"/>
        </w:rPr>
        <w:t>, 0.1% human serum albumin (HAS), and 10 µL/mL IL-3) together with 1 µL of CCR3-APC antibody (BioLegend, San Diego, CA, USA) for 10 min at 37°C. Subsequently, 100 µL of relevant allergens —</w:t>
      </w:r>
      <w:r w:rsidRPr="0025357F">
        <w:rPr>
          <w:rFonts w:ascii="Arial" w:hAnsi="Arial" w:cs="Arial"/>
          <w:i/>
          <w:iCs/>
          <w:sz w:val="22"/>
          <w:szCs w:val="22"/>
        </w:rPr>
        <w:t>Apis mellifera</w:t>
      </w:r>
      <w:r w:rsidRPr="00233546">
        <w:rPr>
          <w:rFonts w:ascii="Arial" w:hAnsi="Arial" w:cs="Arial"/>
          <w:sz w:val="22"/>
          <w:szCs w:val="22"/>
        </w:rPr>
        <w:t xml:space="preserve"> components (Api m</w:t>
      </w:r>
      <w:r w:rsidR="00D359FD">
        <w:rPr>
          <w:rFonts w:ascii="Arial" w:hAnsi="Arial" w:cs="Arial"/>
          <w:sz w:val="22"/>
          <w:szCs w:val="22"/>
        </w:rPr>
        <w:t xml:space="preserve"> </w:t>
      </w:r>
      <w:r w:rsidRPr="00233546">
        <w:rPr>
          <w:rFonts w:ascii="Arial" w:hAnsi="Arial" w:cs="Arial"/>
          <w:sz w:val="22"/>
          <w:szCs w:val="22"/>
        </w:rPr>
        <w:t xml:space="preserve">1, </w:t>
      </w:r>
      <w:r w:rsidR="00D359FD">
        <w:rPr>
          <w:rFonts w:ascii="Arial" w:hAnsi="Arial" w:cs="Arial"/>
          <w:sz w:val="22"/>
          <w:szCs w:val="22"/>
        </w:rPr>
        <w:t xml:space="preserve">Api </w:t>
      </w:r>
      <w:r w:rsidRPr="00233546">
        <w:rPr>
          <w:rFonts w:ascii="Arial" w:hAnsi="Arial" w:cs="Arial"/>
          <w:sz w:val="22"/>
          <w:szCs w:val="22"/>
        </w:rPr>
        <w:t>m</w:t>
      </w:r>
      <w:r w:rsidR="00D359FD">
        <w:rPr>
          <w:rFonts w:ascii="Arial" w:hAnsi="Arial" w:cs="Arial"/>
          <w:sz w:val="22"/>
          <w:szCs w:val="22"/>
        </w:rPr>
        <w:t xml:space="preserve"> </w:t>
      </w:r>
      <w:r w:rsidRPr="00233546">
        <w:rPr>
          <w:rFonts w:ascii="Arial" w:hAnsi="Arial" w:cs="Arial"/>
          <w:sz w:val="22"/>
          <w:szCs w:val="22"/>
        </w:rPr>
        <w:t xml:space="preserve">2, </w:t>
      </w:r>
      <w:r w:rsidR="00D359FD">
        <w:rPr>
          <w:rFonts w:ascii="Arial" w:hAnsi="Arial" w:cs="Arial"/>
          <w:sz w:val="22"/>
          <w:szCs w:val="22"/>
        </w:rPr>
        <w:t xml:space="preserve">Api </w:t>
      </w:r>
      <w:r w:rsidRPr="00233546">
        <w:rPr>
          <w:rFonts w:ascii="Arial" w:hAnsi="Arial" w:cs="Arial"/>
          <w:sz w:val="22"/>
          <w:szCs w:val="22"/>
        </w:rPr>
        <w:t>m</w:t>
      </w:r>
      <w:r w:rsidR="00D359FD">
        <w:rPr>
          <w:rFonts w:ascii="Arial" w:hAnsi="Arial" w:cs="Arial"/>
          <w:sz w:val="22"/>
          <w:szCs w:val="22"/>
        </w:rPr>
        <w:t xml:space="preserve"> </w:t>
      </w:r>
      <w:r w:rsidRPr="00233546">
        <w:rPr>
          <w:rFonts w:ascii="Arial" w:hAnsi="Arial" w:cs="Arial"/>
          <w:sz w:val="22"/>
          <w:szCs w:val="22"/>
        </w:rPr>
        <w:t xml:space="preserve">4, and </w:t>
      </w:r>
      <w:r w:rsidR="00D359FD">
        <w:rPr>
          <w:rFonts w:ascii="Arial" w:hAnsi="Arial" w:cs="Arial"/>
          <w:sz w:val="22"/>
          <w:szCs w:val="22"/>
        </w:rPr>
        <w:t xml:space="preserve">Api </w:t>
      </w:r>
      <w:r w:rsidRPr="00233546">
        <w:rPr>
          <w:rFonts w:ascii="Arial" w:hAnsi="Arial" w:cs="Arial"/>
          <w:sz w:val="22"/>
          <w:szCs w:val="22"/>
        </w:rPr>
        <w:t>m</w:t>
      </w:r>
      <w:r w:rsidR="00D359FD">
        <w:rPr>
          <w:rFonts w:ascii="Arial" w:hAnsi="Arial" w:cs="Arial"/>
          <w:sz w:val="22"/>
          <w:szCs w:val="22"/>
        </w:rPr>
        <w:t xml:space="preserve"> </w:t>
      </w:r>
      <w:r w:rsidRPr="00233546">
        <w:rPr>
          <w:rFonts w:ascii="Arial" w:hAnsi="Arial" w:cs="Arial"/>
          <w:sz w:val="22"/>
          <w:szCs w:val="22"/>
        </w:rPr>
        <w:t xml:space="preserve">10) for bee-allergic patients, or </w:t>
      </w:r>
      <w:r w:rsidR="0025357F" w:rsidRPr="00BB5E76">
        <w:rPr>
          <w:rFonts w:ascii="Arial" w:hAnsi="Arial" w:cs="Arial"/>
          <w:i/>
          <w:iCs/>
          <w:sz w:val="22"/>
          <w:szCs w:val="22"/>
        </w:rPr>
        <w:t>Olea europaea</w:t>
      </w:r>
      <w:r w:rsidR="0025357F" w:rsidRPr="00233546">
        <w:rPr>
          <w:rFonts w:ascii="Arial" w:hAnsi="Arial" w:cs="Arial"/>
          <w:sz w:val="22"/>
          <w:szCs w:val="22"/>
        </w:rPr>
        <w:t xml:space="preserve"> </w:t>
      </w:r>
      <w:r w:rsidRPr="00233546">
        <w:rPr>
          <w:rFonts w:ascii="Arial" w:hAnsi="Arial" w:cs="Arial"/>
          <w:sz w:val="22"/>
          <w:szCs w:val="22"/>
        </w:rPr>
        <w:t>components (Ole e</w:t>
      </w:r>
      <w:r w:rsidR="00D359FD">
        <w:rPr>
          <w:rFonts w:ascii="Arial" w:hAnsi="Arial" w:cs="Arial"/>
          <w:sz w:val="22"/>
          <w:szCs w:val="22"/>
        </w:rPr>
        <w:t xml:space="preserve"> </w:t>
      </w:r>
      <w:r w:rsidRPr="00233546">
        <w:rPr>
          <w:rFonts w:ascii="Arial" w:hAnsi="Arial" w:cs="Arial"/>
          <w:sz w:val="22"/>
          <w:szCs w:val="22"/>
        </w:rPr>
        <w:t xml:space="preserve">1, </w:t>
      </w:r>
      <w:r w:rsidR="0025357F">
        <w:rPr>
          <w:rFonts w:ascii="Arial" w:hAnsi="Arial" w:cs="Arial"/>
          <w:sz w:val="22"/>
          <w:szCs w:val="22"/>
        </w:rPr>
        <w:t xml:space="preserve">Ole </w:t>
      </w:r>
      <w:r w:rsidRPr="00233546">
        <w:rPr>
          <w:rFonts w:ascii="Arial" w:hAnsi="Arial" w:cs="Arial"/>
          <w:sz w:val="22"/>
          <w:szCs w:val="22"/>
        </w:rPr>
        <w:t>e</w:t>
      </w:r>
      <w:r w:rsidR="00D359FD">
        <w:rPr>
          <w:rFonts w:ascii="Arial" w:hAnsi="Arial" w:cs="Arial"/>
          <w:sz w:val="22"/>
          <w:szCs w:val="22"/>
        </w:rPr>
        <w:t xml:space="preserve"> </w:t>
      </w:r>
      <w:r w:rsidRPr="00233546">
        <w:rPr>
          <w:rFonts w:ascii="Arial" w:hAnsi="Arial" w:cs="Arial"/>
          <w:sz w:val="22"/>
          <w:szCs w:val="22"/>
        </w:rPr>
        <w:t>3</w:t>
      </w:r>
      <w:r w:rsidR="0025357F">
        <w:rPr>
          <w:rFonts w:ascii="Arial" w:hAnsi="Arial" w:cs="Arial"/>
          <w:sz w:val="22"/>
          <w:szCs w:val="22"/>
        </w:rPr>
        <w:t xml:space="preserve">, Ole </w:t>
      </w:r>
      <w:r w:rsidRPr="00233546">
        <w:rPr>
          <w:rFonts w:ascii="Arial" w:hAnsi="Arial" w:cs="Arial"/>
          <w:sz w:val="22"/>
          <w:szCs w:val="22"/>
        </w:rPr>
        <w:t>e</w:t>
      </w:r>
      <w:r w:rsidR="00D359FD">
        <w:rPr>
          <w:rFonts w:ascii="Arial" w:hAnsi="Arial" w:cs="Arial"/>
          <w:sz w:val="22"/>
          <w:szCs w:val="22"/>
        </w:rPr>
        <w:t xml:space="preserve"> </w:t>
      </w:r>
      <w:r w:rsidRPr="00233546">
        <w:rPr>
          <w:rFonts w:ascii="Arial" w:hAnsi="Arial" w:cs="Arial"/>
          <w:sz w:val="22"/>
          <w:szCs w:val="22"/>
        </w:rPr>
        <w:t>7</w:t>
      </w:r>
      <w:r w:rsidR="0025357F">
        <w:rPr>
          <w:rFonts w:ascii="Arial" w:hAnsi="Arial" w:cs="Arial"/>
          <w:sz w:val="22"/>
          <w:szCs w:val="22"/>
        </w:rPr>
        <w:t>, and Ole e 9</w:t>
      </w:r>
      <w:r w:rsidRPr="00233546">
        <w:rPr>
          <w:rFonts w:ascii="Arial" w:hAnsi="Arial" w:cs="Arial"/>
          <w:sz w:val="22"/>
          <w:szCs w:val="22"/>
        </w:rPr>
        <w:t>) for olive pollen-allergic patients— were added at five concentrations (0.1, 0.01, 0.001, 0.0001, and 0.00001 µg/mL) and incubated for 30 min at 37°C. PBS served as negative control, while anti-human IgE (0.5 mg/mL; BD Biosciences, San José, CA, USA) was used as positive control. Following a 5-min incubation on ice, samples were stained with anti-CD203c-PE and CD63-FITC antibodies (BioLegend) for 15–20 min at 4°C. Red blood cells were lysed using BD Biosciences lysing solution, and basophil activation was assessed on a FACSCanto II cytometer (BD Biosciences). Data were analyzed using FlowJo software (FlowJo, LLC, Ashland, OR, USA), and results were expressed as stimulation index (SI), defined as the ratio between activated basophils in stimulated versus unstimulated samples</w:t>
      </w:r>
      <w:r>
        <w:rPr>
          <w:rFonts w:ascii="Arial" w:hAnsi="Arial" w:cs="Arial"/>
          <w:sz w:val="22"/>
          <w:szCs w:val="22"/>
        </w:rPr>
        <w:fldChar w:fldCharType="begin"/>
      </w:r>
      <w:r>
        <w:rPr>
          <w:rFonts w:ascii="Arial" w:hAnsi="Arial" w:cs="Arial"/>
          <w:sz w:val="22"/>
          <w:szCs w:val="22"/>
        </w:rPr>
        <w:instrText xml:space="preserve"> ADDIN ZOTERO_ITEM CSL_CITATION {"citationID":"G5B24ioQ","properties":{"formattedCitation":"\\super 3\\nosupersub{}","plainCitation":"3","noteIndex":0},"citationItems":[{"id":513,"uris":["http://zotero.org/users/10003360/items/RS79VJN7"],"itemData":{"id":513,"type":"article-journal","abstract":"BACKGROUND: Hypersensitivity IgE-mediated reactions to quinolones are not easy to diagnose, with skin testing inducing false positive results. The aim of the study was to evaluate the in vitro-specific IgE response in patients with immediate allergic reactions to quinolones.\nMETHODS: We evaluated 38 patients with confirmed immediate allergic reactions to quinolones. Those with anaphylaxis were considered allergic by clinical history, once other possible causes were ruled out, and those with urticaria by drug provocation. Sepharose-radioimmunoassay (RIA) and basophil activation test (BAT) with ciprofloxacin, moxifloxacin and levofloxacin were performed.\nRESULTS: The quinolones involved were moxifloxacin (N = 24), ciprofloxacin (N = 11) and levofloxacin (N = 3). Sepharose-RIA was positive in 12 cases (31.57%) and BAT in 27 (71.05%). With Sepharose-RIA, 8 (21%) were positive to ciprofloxacin, 7 (18.4%) to moxifloxacin and 7 (18.4%) to levofloxacin. With BAT, 23 (60.5%) were positive to ciprofloxacin, 12 (31.6%) to moxifloxacin and 8 (21%) to levofloxacin. The specificity of the Sepharose-RIA was demonstrated by inhibition tests. To confirm that the BAT results observed were IgE mediated, the PI3K inhibitor wortmannin was used, with this compound inhibiting the BAT when stimulated with anti-IgE and the different quinolones, but not when fMLP was used as the basophil stimulator. Sepharose-RIA and BAT were repeated in positive cases 1 year later, detecting a decrease in all cases, with four becoming negative.\nCONCLUSION: Immediate hypersensitivity reactions to quinolones do occur, with moxifloxacin being the drug most frequently involved. The BAT is a useful method for diagnosing patients. Specific IgE was demonstrated by Sepharose-RIA and inhibition assay.","container-title":"Allergy","DOI":"10.1111/j.1398-9995.2010.02460.x","ISSN":"1398-9995","issue":"2","journalAbbreviation":"Allergy","language":"eng","page":"247-254","PMID":"20722637","source":"PubMed","title":"In vitro evaluation of IgE-mediated hypersensitivity reactions to quinolones","volume":"66","author":[{"family":"Aranda","given":"A."},{"family":"Mayorga","given":"C."},{"family":"Ariza","given":"A."},{"family":"Doña","given":"I."},{"family":"Rosado","given":"A."},{"family":"Blanca-Lopez","given":"N."},{"family":"Andreu","given":"I."},{"family":"Torres","given":"M. J."}],"issued":{"date-parts":[["2011",2]]}}}],"schema":"https://github.com/citation-style-language/schema/raw/master/csl-citation.json"} </w:instrText>
      </w:r>
      <w:r>
        <w:rPr>
          <w:rFonts w:ascii="Arial" w:hAnsi="Arial" w:cs="Arial"/>
          <w:sz w:val="22"/>
          <w:szCs w:val="22"/>
        </w:rPr>
        <w:fldChar w:fldCharType="separate"/>
      </w:r>
      <w:r w:rsidRPr="004C4259">
        <w:rPr>
          <w:rFonts w:ascii="Arial" w:hAnsi="Arial" w:cs="Arial"/>
          <w:kern w:val="0"/>
          <w:sz w:val="22"/>
          <w:vertAlign w:val="superscript"/>
        </w:rPr>
        <w:t>3</w:t>
      </w:r>
      <w:r>
        <w:rPr>
          <w:rFonts w:ascii="Arial" w:hAnsi="Arial" w:cs="Arial"/>
          <w:sz w:val="22"/>
          <w:szCs w:val="22"/>
        </w:rPr>
        <w:fldChar w:fldCharType="end"/>
      </w:r>
      <w:r>
        <w:rPr>
          <w:rFonts w:ascii="Arial" w:hAnsi="Arial" w:cs="Arial"/>
          <w:sz w:val="22"/>
          <w:szCs w:val="22"/>
        </w:rPr>
        <w:t xml:space="preserve">. </w:t>
      </w:r>
      <w:r w:rsidRPr="00233546">
        <w:rPr>
          <w:rFonts w:ascii="Arial" w:hAnsi="Arial" w:cs="Arial"/>
          <w:sz w:val="22"/>
          <w:szCs w:val="22"/>
        </w:rPr>
        <w:t>Samples with ≥5% spontaneously activated basophils were included, and SI &gt; 2 in at least one allergen concentration was considered positive.</w:t>
      </w:r>
    </w:p>
    <w:p w14:paraId="4D8B65D4" w14:textId="6D3226B8" w:rsidR="00140671" w:rsidRPr="00140671" w:rsidRDefault="00140671" w:rsidP="00B74B2F">
      <w:pPr>
        <w:spacing w:line="480" w:lineRule="auto"/>
        <w:jc w:val="both"/>
        <w:rPr>
          <w:rFonts w:ascii="Arial" w:hAnsi="Arial" w:cs="Arial"/>
          <w:sz w:val="22"/>
          <w:szCs w:val="22"/>
          <w:u w:val="single"/>
        </w:rPr>
      </w:pPr>
      <w:r w:rsidRPr="00140671">
        <w:rPr>
          <w:rFonts w:ascii="Arial" w:hAnsi="Arial" w:cs="Arial"/>
          <w:sz w:val="22"/>
          <w:szCs w:val="22"/>
          <w:u w:val="single"/>
        </w:rPr>
        <w:t>Metabolomic analysis</w:t>
      </w:r>
    </w:p>
    <w:p w14:paraId="755B78DD" w14:textId="77777777" w:rsidR="00140671" w:rsidRPr="00140671" w:rsidRDefault="00140671" w:rsidP="00B74B2F">
      <w:pPr>
        <w:spacing w:line="480" w:lineRule="auto"/>
        <w:ind w:firstLine="720"/>
        <w:jc w:val="both"/>
        <w:rPr>
          <w:rFonts w:ascii="Arial" w:hAnsi="Arial" w:cs="Arial"/>
          <w:sz w:val="22"/>
          <w:szCs w:val="22"/>
        </w:rPr>
      </w:pPr>
      <w:r w:rsidRPr="00140671">
        <w:rPr>
          <w:rFonts w:ascii="Arial" w:hAnsi="Arial" w:cs="Arial"/>
          <w:i/>
          <w:iCs/>
          <w:sz w:val="22"/>
          <w:szCs w:val="22"/>
        </w:rPr>
        <w:t>Chemical and reagents</w:t>
      </w:r>
      <w:r w:rsidRPr="00140671">
        <w:rPr>
          <w:rFonts w:ascii="Arial" w:hAnsi="Arial" w:cs="Arial"/>
          <w:sz w:val="22"/>
          <w:szCs w:val="22"/>
        </w:rPr>
        <w:t>:</w:t>
      </w:r>
    </w:p>
    <w:p w14:paraId="5138B177" w14:textId="77777777" w:rsidR="00140671" w:rsidRPr="00140671" w:rsidRDefault="00140671" w:rsidP="00B74B2F">
      <w:pPr>
        <w:spacing w:line="480" w:lineRule="auto"/>
        <w:jc w:val="both"/>
        <w:rPr>
          <w:rFonts w:ascii="Arial" w:hAnsi="Arial" w:cs="Arial"/>
          <w:sz w:val="22"/>
          <w:szCs w:val="22"/>
        </w:rPr>
      </w:pPr>
      <w:r w:rsidRPr="00140671">
        <w:rPr>
          <w:rFonts w:ascii="Arial" w:hAnsi="Arial" w:cs="Arial"/>
          <w:sz w:val="22"/>
          <w:szCs w:val="22"/>
        </w:rPr>
        <w:lastRenderedPageBreak/>
        <w:t>For the study, reverse-osmosed ultrapure water obtained from a Milli-Q Plus185 system (Millipore, Billerica, MA, USA), mass spectrometry (MS) grade methanol (MeOH) and acetonitrile (ACN) from Fisher Scientific (Hampton, NH, USA), and analytical grade ammonia solution (28%, GPR RECTAPUR®) and glacial acetic acid (AnalaR® NORMAPUR®) from VWR Chemicals (Radnor, PA, USA) were used.</w:t>
      </w:r>
    </w:p>
    <w:p w14:paraId="06FD13C0" w14:textId="77777777" w:rsidR="00140671" w:rsidRPr="00140671" w:rsidRDefault="00140671" w:rsidP="00B74B2F">
      <w:pPr>
        <w:spacing w:line="480" w:lineRule="auto"/>
        <w:jc w:val="both"/>
        <w:rPr>
          <w:rFonts w:ascii="Arial" w:hAnsi="Arial" w:cs="Arial"/>
          <w:sz w:val="22"/>
          <w:szCs w:val="22"/>
        </w:rPr>
      </w:pPr>
      <w:r w:rsidRPr="00140671">
        <w:rPr>
          <w:rFonts w:ascii="Arial" w:hAnsi="Arial" w:cs="Arial"/>
          <w:sz w:val="22"/>
          <w:szCs w:val="22"/>
        </w:rPr>
        <w:t>Arachidonic acid, lysophosphatidylcholine (LPC) 14:0, LPC 16:0, LPC 17:0, LPC 17:1, LPC 18:0, LPC 18:1, LPC 19:0, lysophosphatidylethanolamine (LPE) 18:0, lysophosphatidylinositol (LPI) 16:0, LPI 20:4, palmitoleic acid, oleamide, sphingosine, sphingosine-1-phosphate (S1P), sphinganine-1-phosphate (SPA-1P), sphinganine C17, sphingosine-d7, and LPC 18:1-d7 were obtained from Avanti Lipids (Birmingham, AL, USA). Bilirubin, lactic acid, lauric acid, oleic acid, adenosine, arginine, betaine/valine, L-carnitine, cortisol, creatine, creatinine, hexanoylcarnitine, hippuric acid, hypoxanthine, leucine/isoleucine, L-phenylalanine, proline, propionylcarnitine, urea, L-carnitine-d3, L-isoleucine d7, and palmitic acid-d31 were purchased from Sigma-Aldrich (Darmstadt, Germany). L-phenylalanine-d5 and L-valine-d8 were purchased from Cambridge Isotope Laboratories Inc. (Andover, MA, USA).</w:t>
      </w:r>
    </w:p>
    <w:p w14:paraId="35EB6758" w14:textId="77777777" w:rsidR="00140671" w:rsidRPr="00140671" w:rsidRDefault="00140671" w:rsidP="00B74B2F">
      <w:pPr>
        <w:spacing w:line="480" w:lineRule="auto"/>
        <w:ind w:firstLine="720"/>
        <w:jc w:val="both"/>
        <w:rPr>
          <w:rFonts w:ascii="Arial" w:hAnsi="Arial" w:cs="Arial"/>
          <w:sz w:val="22"/>
          <w:szCs w:val="22"/>
        </w:rPr>
      </w:pPr>
      <w:r w:rsidRPr="00140671">
        <w:rPr>
          <w:rFonts w:ascii="Arial" w:hAnsi="Arial" w:cs="Arial"/>
          <w:i/>
          <w:iCs/>
          <w:sz w:val="22"/>
          <w:szCs w:val="22"/>
        </w:rPr>
        <w:t>HPLC-QqQ-MS Analytical Methods</w:t>
      </w:r>
      <w:r w:rsidRPr="00140671">
        <w:rPr>
          <w:rFonts w:ascii="Arial" w:hAnsi="Arial" w:cs="Arial"/>
          <w:sz w:val="22"/>
          <w:szCs w:val="22"/>
        </w:rPr>
        <w:t>:</w:t>
      </w:r>
    </w:p>
    <w:p w14:paraId="22E87675" w14:textId="72B7E2A0" w:rsidR="00140671" w:rsidRPr="00140671" w:rsidRDefault="00140671" w:rsidP="00B74B2F">
      <w:pPr>
        <w:spacing w:line="480" w:lineRule="auto"/>
        <w:jc w:val="both"/>
        <w:rPr>
          <w:rFonts w:ascii="Arial" w:hAnsi="Arial" w:cs="Arial"/>
          <w:sz w:val="22"/>
          <w:szCs w:val="22"/>
        </w:rPr>
      </w:pPr>
      <w:r w:rsidRPr="00140671">
        <w:rPr>
          <w:rFonts w:ascii="Arial" w:hAnsi="Arial" w:cs="Arial"/>
          <w:sz w:val="22"/>
          <w:szCs w:val="22"/>
        </w:rPr>
        <w:t>Samples, standard calibration curves and internal standards (ISTD) were prepared in the same way for</w:t>
      </w:r>
      <w:r>
        <w:rPr>
          <w:rFonts w:ascii="Arial" w:hAnsi="Arial" w:cs="Arial"/>
          <w:sz w:val="22"/>
          <w:szCs w:val="22"/>
        </w:rPr>
        <w:t xml:space="preserve"> the</w:t>
      </w:r>
      <w:r w:rsidRPr="00140671">
        <w:rPr>
          <w:rFonts w:ascii="Arial" w:hAnsi="Arial" w:cs="Arial"/>
          <w:sz w:val="22"/>
          <w:szCs w:val="22"/>
        </w:rPr>
        <w:t xml:space="preserve"> two complementary methods. For both, LC vials were maintained at 4°C in a thermostatic autosampler, and the acquisition was done in ESI positive mode.</w:t>
      </w:r>
    </w:p>
    <w:p w14:paraId="4B153807" w14:textId="05DC925B" w:rsidR="00140671" w:rsidRPr="000C0F48" w:rsidRDefault="00140671" w:rsidP="00B74B2F">
      <w:pPr>
        <w:spacing w:line="480" w:lineRule="auto"/>
        <w:jc w:val="both"/>
        <w:rPr>
          <w:rFonts w:ascii="Arial" w:hAnsi="Arial" w:cs="Arial"/>
          <w:sz w:val="22"/>
          <w:szCs w:val="22"/>
        </w:rPr>
      </w:pPr>
      <w:r w:rsidRPr="000C0F48">
        <w:rPr>
          <w:rFonts w:ascii="Arial" w:hAnsi="Arial" w:cs="Arial"/>
          <w:sz w:val="22"/>
          <w:szCs w:val="22"/>
        </w:rPr>
        <w:t>The Hydrophilic interaction liquid chromatography (HILIC) method: For</w:t>
      </w:r>
      <w:r w:rsidRPr="00140671">
        <w:rPr>
          <w:rFonts w:ascii="Arial" w:hAnsi="Arial" w:cs="Arial"/>
          <w:sz w:val="22"/>
          <w:szCs w:val="22"/>
        </w:rPr>
        <w:t xml:space="preserve"> adenosine, betaine/valine, L-carnitine-d3, cortisol, creatine, creatinine, hexanoylcarnitine, hippuric acid hypoxanthine, L-isoleucine-d7, arginine, L-carnitine, L-leucine/isoleucine, L-phenylalanine, L-phenylalanine-d5, proline, propionylcarnitine, urea, and L-valine-d8. To achieve metabolite separation, a gradient elution on a Kinetex HILIC (150 mm × 2.1 mm × 100 Å) column maintained at 25°C was used. The mobile phases consisted of: (A) </w:t>
      </w:r>
      <w:r w:rsidRPr="00140671">
        <w:rPr>
          <w:rFonts w:ascii="Arial" w:hAnsi="Arial" w:cs="Arial"/>
          <w:sz w:val="22"/>
          <w:szCs w:val="22"/>
        </w:rPr>
        <w:lastRenderedPageBreak/>
        <w:t xml:space="preserve">water, and (B) ACN, both with 5.5 mM ammonium acetate and 0.1% acetic acid. The flow rate was 0.5 mL/min. The gradient started with 95% B for 2 min, then gradually decreased up to 50% during 10 min before immediately changing back to the initial conditions for an additional 10 min. The MS conditions were as follows: 5500 V of capillary voltage in positive ESI mode, a nebulizer gas flow rate of 11.0 L/min at 250 °C; </w:t>
      </w:r>
      <w:r w:rsidRPr="000C0F48">
        <w:rPr>
          <w:rFonts w:ascii="Arial" w:hAnsi="Arial" w:cs="Arial"/>
          <w:sz w:val="22"/>
          <w:szCs w:val="22"/>
        </w:rPr>
        <w:t>and a source pressure of 60 psi. The injection volume was set at 5 µL.</w:t>
      </w:r>
    </w:p>
    <w:p w14:paraId="08133000" w14:textId="7BF7AA25" w:rsidR="00140671" w:rsidRPr="00140671" w:rsidRDefault="00140671" w:rsidP="00B74B2F">
      <w:pPr>
        <w:spacing w:line="480" w:lineRule="auto"/>
        <w:jc w:val="both"/>
        <w:rPr>
          <w:rFonts w:ascii="Arial" w:hAnsi="Arial" w:cs="Arial"/>
          <w:sz w:val="22"/>
          <w:szCs w:val="22"/>
        </w:rPr>
      </w:pPr>
      <w:r w:rsidRPr="000C0F48">
        <w:rPr>
          <w:rFonts w:ascii="Arial" w:hAnsi="Arial" w:cs="Arial"/>
          <w:sz w:val="22"/>
          <w:szCs w:val="22"/>
        </w:rPr>
        <w:t>The Reversed-phase method:</w:t>
      </w:r>
      <w:r w:rsidRPr="00140671">
        <w:rPr>
          <w:rFonts w:ascii="Arial" w:hAnsi="Arial" w:cs="Arial"/>
          <w:sz w:val="22"/>
          <w:szCs w:val="22"/>
        </w:rPr>
        <w:t xml:space="preserve"> For arachidonic acid, bilirubin, lactic acid, lauric acid, LPC 14:0, LPC 16:0, LPC 17:0, LPC 17:1, LPC 18:0, LPC 18:1, LPC 18:1-d7, LPC 19:0, LPC 20:0, LPE 18:0, LPI 20:4, oleic acid, palmitic acid-d31, palmitoleic acid, sphingosine, sphingosine-d7, and S1P. For metabolite separation, a gradient elution on a Supelco Ascentis Express reversed phase (150 mm × 2.1 mm × 2.7 μm) column maintained at 60 °C was used. The mobile phases consisted of: (A) water, and (B) ACN, both with 0.1% acetic acid. The flow rate was 0.6 mL/min. Initial conditions were set at 20% B for 2 min, which gradually increased until 100% B during 8 min. Then, 100% B was maintained 5 min before returning to initial conditions immediately, which were kept for another 5 minutes. The MS conditions were as follows: 3500 V of capillary voltage in positive ESI mode, a nebulizer gas flow rate of 10.0 L/min, a gas source temperature of 250°C; and a source pressure of 45 psi. The injection volume was set at 8 µL. </w:t>
      </w:r>
    </w:p>
    <w:p w14:paraId="6325201A" w14:textId="77777777" w:rsidR="00140671" w:rsidRPr="00140671" w:rsidRDefault="00140671" w:rsidP="00B74B2F">
      <w:pPr>
        <w:spacing w:line="480" w:lineRule="auto"/>
        <w:ind w:firstLine="720"/>
        <w:jc w:val="both"/>
        <w:rPr>
          <w:rFonts w:ascii="Arial" w:hAnsi="Arial" w:cs="Arial"/>
          <w:i/>
          <w:iCs/>
          <w:sz w:val="22"/>
          <w:szCs w:val="22"/>
        </w:rPr>
      </w:pPr>
      <w:r w:rsidRPr="00140671">
        <w:rPr>
          <w:rFonts w:ascii="Arial" w:hAnsi="Arial" w:cs="Arial"/>
          <w:i/>
          <w:iCs/>
          <w:sz w:val="22"/>
          <w:szCs w:val="22"/>
        </w:rPr>
        <w:t>Sample Preparation</w:t>
      </w:r>
    </w:p>
    <w:p w14:paraId="10D3DC96" w14:textId="5733B0F8" w:rsidR="00140671" w:rsidRPr="00140671" w:rsidRDefault="00140671" w:rsidP="00B74B2F">
      <w:pPr>
        <w:spacing w:line="480" w:lineRule="auto"/>
        <w:jc w:val="both"/>
        <w:rPr>
          <w:rFonts w:ascii="Arial" w:hAnsi="Arial" w:cs="Arial"/>
          <w:sz w:val="22"/>
          <w:szCs w:val="22"/>
        </w:rPr>
      </w:pPr>
      <w:r w:rsidRPr="00140671">
        <w:rPr>
          <w:rFonts w:ascii="Arial" w:hAnsi="Arial" w:cs="Arial"/>
          <w:sz w:val="22"/>
          <w:szCs w:val="22"/>
        </w:rPr>
        <w:t>Samples were prepared once and measured in both methods. 50 µL of serum</w:t>
      </w:r>
      <w:r>
        <w:rPr>
          <w:rFonts w:ascii="Arial" w:hAnsi="Arial" w:cs="Arial"/>
          <w:sz w:val="22"/>
          <w:szCs w:val="22"/>
        </w:rPr>
        <w:t xml:space="preserve"> sample</w:t>
      </w:r>
      <w:r w:rsidRPr="00140671">
        <w:rPr>
          <w:rFonts w:ascii="Arial" w:hAnsi="Arial" w:cs="Arial"/>
          <w:sz w:val="22"/>
          <w:szCs w:val="22"/>
        </w:rPr>
        <w:t xml:space="preserve"> were mixed with 150 µL of a cold (−20°C) methanol:ethanol (MeOH:EtOH) mix (1:1). Then, serum samples were vortex-mixed for 1 min, placed on ice for 20 min and centrifuged at 16000 × g for 20 min at 4°C. Subsequently, 70 µL of the supernatant were transferred into an LC vial and mixed with 50 µL of the deuterated internal standard (ISTD) mix (prepared to obtain a final concentration in the sample of 0.2 µg/mL for L-carnitine-d3, L-isoleucine-d7, L-phenylalanine-d5, and L-valine-d8, and of 0.3 µg/mL for LPC 18:1-d7, palmitoleic acid-d31, and sphingosine-d7) and 440 µL of HILIC mobile </w:t>
      </w:r>
      <w:r w:rsidRPr="00140671">
        <w:rPr>
          <w:rFonts w:ascii="Arial" w:hAnsi="Arial" w:cs="Arial"/>
          <w:sz w:val="22"/>
          <w:szCs w:val="22"/>
        </w:rPr>
        <w:lastRenderedPageBreak/>
        <w:t>phases in the same proportion as the initial conditions (95% B + 5% A). Blanks were prepared using 50 µL of water instead of serum, following the same protocol. Quality control (QC) samples were prepared by pooling equal volumes of serum of each patient; then, 50 µL of the serum were prepared in the same way as samples. QC samples were measured throughout the run to ensure system stability, and were also used in the calibration curves.</w:t>
      </w:r>
    </w:p>
    <w:p w14:paraId="2AC223DC" w14:textId="77777777" w:rsidR="00140671" w:rsidRPr="00140671" w:rsidRDefault="00140671" w:rsidP="00B74B2F">
      <w:pPr>
        <w:spacing w:line="480" w:lineRule="auto"/>
        <w:ind w:firstLine="720"/>
        <w:jc w:val="both"/>
        <w:rPr>
          <w:rFonts w:ascii="Arial" w:hAnsi="Arial" w:cs="Arial"/>
          <w:i/>
          <w:iCs/>
          <w:sz w:val="22"/>
          <w:szCs w:val="22"/>
        </w:rPr>
      </w:pPr>
      <w:r w:rsidRPr="00140671">
        <w:rPr>
          <w:rFonts w:ascii="Arial" w:hAnsi="Arial" w:cs="Arial"/>
          <w:i/>
          <w:iCs/>
          <w:sz w:val="22"/>
          <w:szCs w:val="22"/>
        </w:rPr>
        <w:t>Calibration curves</w:t>
      </w:r>
    </w:p>
    <w:p w14:paraId="74E67FB1" w14:textId="7B71CC54" w:rsidR="00140671" w:rsidRDefault="00140671" w:rsidP="00B74B2F">
      <w:pPr>
        <w:spacing w:line="480" w:lineRule="auto"/>
        <w:jc w:val="both"/>
        <w:rPr>
          <w:rFonts w:ascii="Arial" w:hAnsi="Arial" w:cs="Arial"/>
          <w:sz w:val="22"/>
          <w:szCs w:val="22"/>
        </w:rPr>
      </w:pPr>
      <w:r w:rsidRPr="00140671">
        <w:rPr>
          <w:rFonts w:ascii="Arial" w:hAnsi="Arial" w:cs="Arial"/>
          <w:sz w:val="22"/>
          <w:szCs w:val="22"/>
        </w:rPr>
        <w:t>Considering the matrix effect previously observed, an external calibration curve was prepared by pooling QC (after metabolite extraction) and serial dilutions of a known-concentration standard mixture</w:t>
      </w:r>
      <w:r w:rsidR="00293380">
        <w:rPr>
          <w:rFonts w:ascii="Arial" w:hAnsi="Arial" w:cs="Arial"/>
          <w:sz w:val="22"/>
          <w:szCs w:val="22"/>
        </w:rPr>
        <w:t>, prepared at 1000X</w:t>
      </w:r>
      <w:r w:rsidR="00F8467B">
        <w:rPr>
          <w:rFonts w:ascii="Arial" w:hAnsi="Arial" w:cs="Arial"/>
          <w:sz w:val="22"/>
          <w:szCs w:val="22"/>
        </w:rPr>
        <w:fldChar w:fldCharType="begin"/>
      </w:r>
      <w:r w:rsidR="00F8467B">
        <w:rPr>
          <w:rFonts w:ascii="Arial" w:hAnsi="Arial" w:cs="Arial"/>
          <w:sz w:val="22"/>
          <w:szCs w:val="22"/>
        </w:rPr>
        <w:instrText xml:space="preserve"> ADDIN ZOTERO_ITEM CSL_CITATION {"citationID":"mHUbiWvm","properties":{"formattedCitation":"\\super 1\\nosupersub{}","plainCitation":"1","noteIndex":0},"citationItems":[{"id":231,"uris":["http://zotero.org/users/10003360/items/GNPLJLN6"],"itemData":{"id":231,"type":"article-journal","abstract":"The transition from mild to severe allergic phenotypes is still poorly understood and there is an urgent need of incorporating new therapies, accompanied by personalized diagnosis approaches. This work presents the development of a novel targeted metabolomic methodology for the analysis of 36 metabolites related to allergic inflammation, including mostly sphingolipids, lysophospholipids, amino acids, and those of energy metabolism previously identified in non-targeted studies. The methodology consisted of two complementary chromatography methods, HILIC and reversed-phase. These were developed using liquid chromatography, coupled to triple quadrupole mass spectrometry (LC-QqQ-MS) in dynamic multiple reaction monitoring (dMRM) acquisition mode and were validated using ICH guidelines. Serum samples from two clinical models of allergic asthma patients were used for method application, which were as follows: (1) corticosteroid-controlled (ICS, n = 6) versus uncontrolled (UC, n = 4) patients, and immunotherapy-controlled (IT, n = 23) versus biologicals-controlled (BIO, n = 12) patients. The results showed significant differences mainly in lysophospholipids using univariate analyses in both models. Multivariate analysis for model 1 was able to distinguish both groups, while for model 2, the results showed the correct classification of all BIO samples within their group. Thus, this methodology can be of great importance for further understanding the role of these metabolites in allergic diseases as potential biomarkers for disease severity and for predicting patient treatment response.","container-title":"Metabolites","DOI":"10.3390/metabo12070592","ISSN":"2218-1989","issue":"7","journalAbbreviation":"Metabolites","language":"en","license":"https://creativecommons.org/licenses/by/4.0/","page":"592","source":"DOI.org (Crossref)","title":"Development of a Novel Targeted Metabolomic LC-QqQ-MS Method in Allergic Inflammation","volume":"12","author":[{"family":"Obeso","given":"David"},{"family":"Contreras","given":"Nuria"},{"family":"Dolores-Hernández","given":"Mariana"},{"family":"Carrillo","given":"Teresa"},{"family":"Barbas","given":"Coral"},{"family":"Escribese","given":"María M."},{"family":"Villaseñor","given":"Alma"},{"family":"Barber","given":"Domingo"}],"issued":{"date-parts":[["2022",6,25]]}}}],"schema":"https://github.com/citation-style-language/schema/raw/master/csl-citation.json"} </w:instrText>
      </w:r>
      <w:r w:rsidR="00F8467B">
        <w:rPr>
          <w:rFonts w:ascii="Arial" w:hAnsi="Arial" w:cs="Arial"/>
          <w:sz w:val="22"/>
          <w:szCs w:val="22"/>
        </w:rPr>
        <w:fldChar w:fldCharType="separate"/>
      </w:r>
      <w:r w:rsidR="00F8467B" w:rsidRPr="00F8467B">
        <w:rPr>
          <w:rFonts w:ascii="Arial" w:hAnsi="Arial" w:cs="Arial"/>
          <w:kern w:val="0"/>
          <w:sz w:val="22"/>
          <w:vertAlign w:val="superscript"/>
        </w:rPr>
        <w:t>1</w:t>
      </w:r>
      <w:r w:rsidR="00F8467B">
        <w:rPr>
          <w:rFonts w:ascii="Arial" w:hAnsi="Arial" w:cs="Arial"/>
          <w:sz w:val="22"/>
          <w:szCs w:val="22"/>
        </w:rPr>
        <w:fldChar w:fldCharType="end"/>
      </w:r>
      <w:r w:rsidR="00FE0329">
        <w:rPr>
          <w:rFonts w:ascii="Arial" w:hAnsi="Arial" w:cs="Arial"/>
          <w:sz w:val="22"/>
          <w:szCs w:val="22"/>
        </w:rPr>
        <w:t>.</w:t>
      </w:r>
      <w:r w:rsidRPr="00140671">
        <w:rPr>
          <w:rFonts w:ascii="Arial" w:hAnsi="Arial" w:cs="Arial"/>
          <w:sz w:val="22"/>
          <w:szCs w:val="22"/>
        </w:rPr>
        <w:t xml:space="preserve"> For each level of the calibration curve, 50 µL of the appropriate concentration level of the standard mix were mixed with an equal volume of the extracted QC sample, either at full concentration or diluted, to be able to quantify compounds in samples with lower abundance. A total of 12 concentrations were prepared, as detailed in </w:t>
      </w:r>
      <w:r w:rsidR="00864A0D">
        <w:rPr>
          <w:rFonts w:ascii="Arial" w:hAnsi="Arial" w:cs="Arial"/>
          <w:sz w:val="22"/>
          <w:szCs w:val="22"/>
        </w:rPr>
        <w:t xml:space="preserve">the </w:t>
      </w:r>
      <w:r w:rsidR="00AA1989" w:rsidRPr="00CC231E">
        <w:rPr>
          <w:rFonts w:ascii="Arial" w:hAnsi="Arial" w:cs="Arial"/>
          <w:b/>
          <w:bCs/>
          <w:sz w:val="22"/>
          <w:szCs w:val="22"/>
        </w:rPr>
        <w:t>Supp</w:t>
      </w:r>
      <w:r w:rsidR="000C0F48">
        <w:rPr>
          <w:rFonts w:ascii="Arial" w:hAnsi="Arial" w:cs="Arial"/>
          <w:b/>
          <w:bCs/>
          <w:sz w:val="22"/>
          <w:szCs w:val="22"/>
        </w:rPr>
        <w:t>lementary</w:t>
      </w:r>
      <w:r w:rsidR="00AA1989" w:rsidRPr="00CC231E">
        <w:rPr>
          <w:rFonts w:ascii="Arial" w:hAnsi="Arial" w:cs="Arial"/>
          <w:b/>
          <w:bCs/>
          <w:sz w:val="22"/>
          <w:szCs w:val="22"/>
        </w:rPr>
        <w:t xml:space="preserve"> Table </w:t>
      </w:r>
      <w:r w:rsidR="00D73A3F">
        <w:rPr>
          <w:rFonts w:ascii="Arial" w:hAnsi="Arial" w:cs="Arial"/>
          <w:b/>
          <w:bCs/>
          <w:sz w:val="22"/>
          <w:szCs w:val="22"/>
        </w:rPr>
        <w:t>5</w:t>
      </w:r>
      <w:r w:rsidRPr="00140671">
        <w:rPr>
          <w:rFonts w:ascii="Arial" w:hAnsi="Arial" w:cs="Arial"/>
          <w:sz w:val="22"/>
          <w:szCs w:val="22"/>
        </w:rPr>
        <w:t>. All the calibration curve levels had ISTD at the same final concentrations as in the samples, to ensure signal correction.</w:t>
      </w:r>
    </w:p>
    <w:p w14:paraId="27094E9F" w14:textId="77777777" w:rsidR="00140671" w:rsidRPr="00233546" w:rsidRDefault="00140671" w:rsidP="00B74B2F">
      <w:pPr>
        <w:spacing w:line="480" w:lineRule="auto"/>
        <w:ind w:firstLine="720"/>
        <w:jc w:val="both"/>
        <w:rPr>
          <w:rFonts w:ascii="Arial" w:hAnsi="Arial" w:cs="Arial"/>
          <w:i/>
          <w:iCs/>
          <w:sz w:val="22"/>
          <w:szCs w:val="22"/>
        </w:rPr>
      </w:pPr>
      <w:r w:rsidRPr="00233546">
        <w:rPr>
          <w:rFonts w:ascii="Arial" w:hAnsi="Arial" w:cs="Arial"/>
          <w:i/>
          <w:iCs/>
          <w:sz w:val="22"/>
          <w:szCs w:val="22"/>
        </w:rPr>
        <w:t>Metabolite Integration and Quantification</w:t>
      </w:r>
    </w:p>
    <w:p w14:paraId="2B19EE2C" w14:textId="50ACE2B5" w:rsidR="00140671" w:rsidRPr="00140671" w:rsidRDefault="00140671" w:rsidP="00B74B2F">
      <w:pPr>
        <w:spacing w:line="480" w:lineRule="auto"/>
        <w:jc w:val="both"/>
        <w:rPr>
          <w:rFonts w:ascii="Arial" w:hAnsi="Arial" w:cs="Arial"/>
          <w:sz w:val="22"/>
          <w:szCs w:val="22"/>
        </w:rPr>
      </w:pPr>
      <w:r w:rsidRPr="00140671">
        <w:rPr>
          <w:rFonts w:ascii="Arial" w:hAnsi="Arial" w:cs="Arial"/>
          <w:sz w:val="22"/>
          <w:szCs w:val="22"/>
        </w:rPr>
        <w:t>The external calibration curves were generated by plotting the peak relative area (area of metabolite/area of corresponding ISTD) on the Y-axis against the estimated concentrations (concentration of the extracted serum pool plus added standard) on the X-axis. Metabolites showing acceptable linearity were quantified by interpolation in their corresponding external calibration curve. The final concentrations (µg/m</w:t>
      </w:r>
      <w:r w:rsidR="00167F94">
        <w:rPr>
          <w:rFonts w:ascii="Arial" w:hAnsi="Arial" w:cs="Arial"/>
          <w:sz w:val="22"/>
          <w:szCs w:val="22"/>
        </w:rPr>
        <w:t>L</w:t>
      </w:r>
      <w:r w:rsidRPr="00140671">
        <w:rPr>
          <w:rFonts w:ascii="Arial" w:hAnsi="Arial" w:cs="Arial"/>
          <w:sz w:val="22"/>
          <w:szCs w:val="22"/>
        </w:rPr>
        <w:t>) were calculated considering sample dilutions.</w:t>
      </w:r>
    </w:p>
    <w:p w14:paraId="13BFB580" w14:textId="10DD3122" w:rsidR="004008BD" w:rsidRPr="00140671" w:rsidRDefault="00140671" w:rsidP="00B74B2F">
      <w:pPr>
        <w:spacing w:line="480" w:lineRule="auto"/>
        <w:jc w:val="both"/>
        <w:rPr>
          <w:rFonts w:ascii="Arial" w:hAnsi="Arial" w:cs="Arial"/>
          <w:sz w:val="22"/>
          <w:szCs w:val="22"/>
        </w:rPr>
      </w:pPr>
      <w:r w:rsidRPr="00140671">
        <w:rPr>
          <w:rFonts w:ascii="Arial" w:hAnsi="Arial" w:cs="Arial"/>
          <w:sz w:val="22"/>
          <w:szCs w:val="22"/>
        </w:rPr>
        <w:t>Chromatogram visualization and peak areas were obtained using MassHunter Workstation B.05.00 and MassHunter QQQ Quantitative Analysis B.08.00 (Agilent Technologies, Santa Clara, CA, USA), respectively.</w:t>
      </w:r>
      <w:r w:rsidR="00864A0D">
        <w:rPr>
          <w:rFonts w:ascii="Arial" w:hAnsi="Arial" w:cs="Arial"/>
          <w:sz w:val="22"/>
          <w:szCs w:val="22"/>
        </w:rPr>
        <w:t xml:space="preserve"> </w:t>
      </w:r>
      <w:r w:rsidRPr="00140671">
        <w:rPr>
          <w:rFonts w:ascii="Arial" w:hAnsi="Arial" w:cs="Arial"/>
          <w:sz w:val="22"/>
          <w:szCs w:val="22"/>
        </w:rPr>
        <w:t xml:space="preserve">Through this targeted method, a total </w:t>
      </w:r>
      <w:r w:rsidRPr="00140671">
        <w:rPr>
          <w:rFonts w:ascii="Arial" w:hAnsi="Arial" w:cs="Arial"/>
          <w:sz w:val="22"/>
          <w:szCs w:val="22"/>
        </w:rPr>
        <w:lastRenderedPageBreak/>
        <w:t>of 34 out of 36 metabolites were quantified</w:t>
      </w:r>
      <w:r w:rsidR="00864A0D">
        <w:rPr>
          <w:rFonts w:ascii="Arial" w:hAnsi="Arial" w:cs="Arial"/>
          <w:sz w:val="22"/>
          <w:szCs w:val="22"/>
        </w:rPr>
        <w:t xml:space="preserve"> and their values are shown in </w:t>
      </w:r>
      <w:r w:rsidR="00263E47">
        <w:rPr>
          <w:rFonts w:ascii="Arial" w:hAnsi="Arial" w:cs="Arial"/>
          <w:b/>
          <w:bCs/>
          <w:sz w:val="22"/>
          <w:szCs w:val="22"/>
        </w:rPr>
        <w:t xml:space="preserve">Supplementary Tables </w:t>
      </w:r>
      <w:r w:rsidR="00511589">
        <w:rPr>
          <w:rFonts w:ascii="Arial" w:hAnsi="Arial" w:cs="Arial"/>
          <w:b/>
          <w:bCs/>
          <w:sz w:val="22"/>
          <w:szCs w:val="22"/>
        </w:rPr>
        <w:t>1-2</w:t>
      </w:r>
      <w:r w:rsidRPr="00140671">
        <w:rPr>
          <w:rFonts w:ascii="Arial" w:hAnsi="Arial" w:cs="Arial"/>
          <w:sz w:val="22"/>
          <w:szCs w:val="22"/>
        </w:rPr>
        <w:t>.</w:t>
      </w:r>
    </w:p>
    <w:p w14:paraId="299A5876" w14:textId="77777777" w:rsidR="00FB5582" w:rsidRDefault="00FB5582" w:rsidP="00FB5582">
      <w:pPr>
        <w:spacing w:line="480" w:lineRule="auto"/>
        <w:rPr>
          <w:rFonts w:ascii="Arial" w:hAnsi="Arial" w:cs="Arial"/>
          <w:sz w:val="22"/>
          <w:szCs w:val="22"/>
          <w:u w:val="single"/>
        </w:rPr>
      </w:pPr>
    </w:p>
    <w:p w14:paraId="0EC83E6C" w14:textId="77777777" w:rsidR="00FB5582" w:rsidRDefault="00FB5582" w:rsidP="00FB5582">
      <w:pPr>
        <w:spacing w:line="480" w:lineRule="auto"/>
        <w:rPr>
          <w:rFonts w:ascii="Arial" w:hAnsi="Arial" w:cs="Arial"/>
          <w:sz w:val="22"/>
          <w:szCs w:val="22"/>
          <w:u w:val="single"/>
        </w:rPr>
      </w:pPr>
    </w:p>
    <w:p w14:paraId="717F2AA1" w14:textId="77777777" w:rsidR="00FB5582" w:rsidRDefault="00FB5582" w:rsidP="00FB5582">
      <w:pPr>
        <w:spacing w:line="480" w:lineRule="auto"/>
        <w:rPr>
          <w:rFonts w:ascii="Arial" w:hAnsi="Arial" w:cs="Arial"/>
          <w:sz w:val="22"/>
          <w:szCs w:val="22"/>
          <w:u w:val="single"/>
        </w:rPr>
      </w:pPr>
    </w:p>
    <w:p w14:paraId="34D7DACF" w14:textId="54E50860" w:rsidR="00511589" w:rsidRPr="00FB5582" w:rsidRDefault="00511589" w:rsidP="00FB5582">
      <w:pPr>
        <w:spacing w:line="480" w:lineRule="auto"/>
        <w:rPr>
          <w:rFonts w:ascii="Arial" w:hAnsi="Arial" w:cs="Arial"/>
          <w:sz w:val="22"/>
          <w:szCs w:val="22"/>
          <w:u w:val="single"/>
        </w:rPr>
      </w:pPr>
      <w:r w:rsidRPr="006602A6">
        <w:rPr>
          <w:rFonts w:ascii="Arial" w:hAnsi="Arial" w:cs="Arial"/>
          <w:b/>
          <w:bCs/>
          <w:sz w:val="22"/>
          <w:szCs w:val="22"/>
          <w:lang w:val="es-ES"/>
        </w:rPr>
        <w:t>SUPPLEMENTARY REFERENCES</w:t>
      </w:r>
    </w:p>
    <w:p w14:paraId="57F21861" w14:textId="77777777" w:rsidR="00511589" w:rsidRPr="0053238A" w:rsidRDefault="00511589" w:rsidP="00B74B2F">
      <w:pPr>
        <w:pStyle w:val="Bibliografa"/>
        <w:spacing w:line="480" w:lineRule="auto"/>
        <w:jc w:val="both"/>
        <w:rPr>
          <w:rFonts w:ascii="Arial" w:hAnsi="Arial" w:cs="Arial"/>
          <w:sz w:val="22"/>
          <w:lang w:val="es-ES"/>
        </w:rPr>
      </w:pPr>
      <w:r w:rsidRPr="0053238A">
        <w:rPr>
          <w:rFonts w:ascii="Arial" w:hAnsi="Arial" w:cs="Arial"/>
          <w:b/>
          <w:bCs/>
          <w:sz w:val="22"/>
          <w:szCs w:val="22"/>
        </w:rPr>
        <w:fldChar w:fldCharType="begin"/>
      </w:r>
      <w:r w:rsidRPr="0053238A">
        <w:rPr>
          <w:rFonts w:ascii="Arial" w:hAnsi="Arial" w:cs="Arial"/>
          <w:b/>
          <w:bCs/>
          <w:sz w:val="22"/>
          <w:szCs w:val="22"/>
          <w:lang w:val="es-ES"/>
        </w:rPr>
        <w:instrText xml:space="preserve"> ADDIN ZOTERO_BIBL {"uncited":[],"omitted":[],"custom":[]} CSL_BIBLIOGRAPHY </w:instrText>
      </w:r>
      <w:r w:rsidRPr="0053238A">
        <w:rPr>
          <w:rFonts w:ascii="Arial" w:hAnsi="Arial" w:cs="Arial"/>
          <w:b/>
          <w:bCs/>
          <w:sz w:val="22"/>
          <w:szCs w:val="22"/>
        </w:rPr>
        <w:fldChar w:fldCharType="separate"/>
      </w:r>
      <w:r w:rsidRPr="0053238A">
        <w:rPr>
          <w:rFonts w:ascii="Arial" w:hAnsi="Arial" w:cs="Arial"/>
          <w:sz w:val="22"/>
          <w:lang w:val="es-ES"/>
        </w:rPr>
        <w:t>1.</w:t>
      </w:r>
      <w:r w:rsidRPr="0053238A">
        <w:rPr>
          <w:rFonts w:ascii="Arial" w:hAnsi="Arial" w:cs="Arial"/>
          <w:sz w:val="22"/>
          <w:lang w:val="es-ES"/>
        </w:rPr>
        <w:tab/>
        <w:t xml:space="preserve">Obeso D, Contreras N, Dolores-Hernández M, et al. </w:t>
      </w:r>
      <w:r w:rsidRPr="0053238A">
        <w:rPr>
          <w:rFonts w:ascii="Arial" w:hAnsi="Arial" w:cs="Arial"/>
          <w:sz w:val="22"/>
        </w:rPr>
        <w:t xml:space="preserve">Development of a Novel Targeted Metabolomic LC-QqQ-MS Method in Allergic Inflammation. </w:t>
      </w:r>
      <w:r w:rsidRPr="0053238A">
        <w:rPr>
          <w:rFonts w:ascii="Arial" w:hAnsi="Arial" w:cs="Arial"/>
          <w:i/>
          <w:iCs/>
          <w:sz w:val="22"/>
          <w:lang w:val="es-ES"/>
        </w:rPr>
        <w:t>Metabolites</w:t>
      </w:r>
      <w:r w:rsidRPr="0053238A">
        <w:rPr>
          <w:rFonts w:ascii="Arial" w:hAnsi="Arial" w:cs="Arial"/>
          <w:sz w:val="22"/>
          <w:lang w:val="es-ES"/>
        </w:rPr>
        <w:t>. 2022;12(7):592. doi:10.3390/metabo12070592</w:t>
      </w:r>
    </w:p>
    <w:p w14:paraId="7D9E31A1" w14:textId="77777777" w:rsidR="00511589" w:rsidRPr="0053238A" w:rsidRDefault="00511589" w:rsidP="00B74B2F">
      <w:pPr>
        <w:pStyle w:val="Bibliografa"/>
        <w:spacing w:line="480" w:lineRule="auto"/>
        <w:jc w:val="both"/>
        <w:rPr>
          <w:rFonts w:ascii="Arial" w:hAnsi="Arial" w:cs="Arial"/>
          <w:sz w:val="22"/>
        </w:rPr>
      </w:pPr>
      <w:r w:rsidRPr="0053238A">
        <w:rPr>
          <w:rFonts w:ascii="Arial" w:hAnsi="Arial" w:cs="Arial"/>
          <w:sz w:val="22"/>
          <w:lang w:val="es-ES"/>
        </w:rPr>
        <w:t>2.</w:t>
      </w:r>
      <w:r w:rsidRPr="0053238A">
        <w:rPr>
          <w:rFonts w:ascii="Arial" w:hAnsi="Arial" w:cs="Arial"/>
          <w:sz w:val="22"/>
          <w:lang w:val="es-ES"/>
        </w:rPr>
        <w:tab/>
        <w:t xml:space="preserve">Gómez E, Campo P, Rondón C, et al. </w:t>
      </w:r>
      <w:r w:rsidRPr="0053238A">
        <w:rPr>
          <w:rFonts w:ascii="Arial" w:hAnsi="Arial" w:cs="Arial"/>
          <w:sz w:val="22"/>
        </w:rPr>
        <w:t xml:space="preserve">Role of the basophil activation test in the diagnosis of local allergic rhinitis. </w:t>
      </w:r>
      <w:r w:rsidRPr="0053238A">
        <w:rPr>
          <w:rFonts w:ascii="Arial" w:hAnsi="Arial" w:cs="Arial"/>
          <w:i/>
          <w:iCs/>
          <w:sz w:val="22"/>
        </w:rPr>
        <w:t>J Allergy Clin Immunol</w:t>
      </w:r>
      <w:r w:rsidRPr="0053238A">
        <w:rPr>
          <w:rFonts w:ascii="Arial" w:hAnsi="Arial" w:cs="Arial"/>
          <w:sz w:val="22"/>
        </w:rPr>
        <w:t>. 2013;132(4):975-976.e1-5. doi:10.1016/j.jaci.2013.07.016</w:t>
      </w:r>
    </w:p>
    <w:p w14:paraId="38E2D903" w14:textId="77777777" w:rsidR="00511589" w:rsidRPr="0053238A" w:rsidRDefault="00511589" w:rsidP="00B74B2F">
      <w:pPr>
        <w:pStyle w:val="Bibliografa"/>
        <w:spacing w:line="480" w:lineRule="auto"/>
        <w:jc w:val="both"/>
        <w:rPr>
          <w:rFonts w:ascii="Arial" w:hAnsi="Arial" w:cs="Arial"/>
          <w:sz w:val="22"/>
        </w:rPr>
      </w:pPr>
    </w:p>
    <w:p w14:paraId="2D7A0457" w14:textId="7A2221D2" w:rsidR="007F1733" w:rsidRDefault="00511589" w:rsidP="00FB5582">
      <w:pPr>
        <w:spacing w:line="480" w:lineRule="auto"/>
        <w:jc w:val="both"/>
        <w:rPr>
          <w:rFonts w:ascii="Arial" w:hAnsi="Arial" w:cs="Arial"/>
          <w:sz w:val="22"/>
          <w:szCs w:val="22"/>
          <w:u w:val="single"/>
        </w:rPr>
      </w:pPr>
      <w:r w:rsidRPr="0053238A">
        <w:rPr>
          <w:rFonts w:ascii="Arial" w:hAnsi="Arial" w:cs="Arial"/>
          <w:b/>
          <w:bCs/>
          <w:sz w:val="22"/>
          <w:szCs w:val="22"/>
        </w:rPr>
        <w:fldChar w:fldCharType="end"/>
      </w:r>
    </w:p>
    <w:p w14:paraId="71535186" w14:textId="77777777" w:rsidR="00FB5582" w:rsidRPr="00FB5582" w:rsidRDefault="00FB5582" w:rsidP="00FB5582">
      <w:pPr>
        <w:spacing w:line="480" w:lineRule="auto"/>
        <w:jc w:val="both"/>
        <w:rPr>
          <w:rFonts w:ascii="Arial" w:hAnsi="Arial" w:cs="Arial"/>
          <w:sz w:val="22"/>
          <w:szCs w:val="22"/>
          <w:u w:val="single"/>
        </w:rPr>
      </w:pPr>
    </w:p>
    <w:p w14:paraId="0EB0E1BF" w14:textId="77777777" w:rsidR="009E4E4C" w:rsidRDefault="00D10F43" w:rsidP="00B74B2F">
      <w:pPr>
        <w:spacing w:line="480" w:lineRule="auto"/>
        <w:rPr>
          <w:rFonts w:ascii="Arial" w:hAnsi="Arial" w:cs="Arial"/>
          <w:b/>
          <w:bCs/>
          <w:sz w:val="22"/>
          <w:szCs w:val="22"/>
        </w:rPr>
      </w:pPr>
      <w:r>
        <w:rPr>
          <w:rFonts w:ascii="Arial" w:hAnsi="Arial" w:cs="Arial"/>
          <w:b/>
          <w:bCs/>
          <w:sz w:val="22"/>
          <w:szCs w:val="22"/>
        </w:rPr>
        <w:t>SUPPLEMENTARY FIGURE LEGENDS</w:t>
      </w:r>
    </w:p>
    <w:p w14:paraId="0FC2A6BD" w14:textId="2BD93F4E" w:rsidR="00346B73" w:rsidRDefault="0075496C" w:rsidP="00B74B2F">
      <w:pPr>
        <w:spacing w:line="480" w:lineRule="auto"/>
        <w:jc w:val="both"/>
        <w:rPr>
          <w:rFonts w:ascii="Arial" w:hAnsi="Arial" w:cs="Arial"/>
          <w:b/>
          <w:bCs/>
          <w:sz w:val="22"/>
          <w:szCs w:val="22"/>
        </w:rPr>
      </w:pPr>
      <w:r>
        <w:rPr>
          <w:rFonts w:ascii="Arial" w:hAnsi="Arial" w:cs="Arial"/>
          <w:b/>
          <w:bCs/>
          <w:noProof/>
          <w:sz w:val="22"/>
          <w:szCs w:val="22"/>
        </w:rPr>
        <w:lastRenderedPageBreak/>
        <w:drawing>
          <wp:inline distT="0" distB="0" distL="0" distR="0" wp14:anchorId="485E5D11" wp14:editId="672524D3">
            <wp:extent cx="5399405" cy="7633970"/>
            <wp:effectExtent l="0" t="0" r="0" b="5080"/>
            <wp:docPr id="2849236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9405" cy="7633970"/>
                    </a:xfrm>
                    <a:prstGeom prst="rect">
                      <a:avLst/>
                    </a:prstGeom>
                    <a:noFill/>
                    <a:ln>
                      <a:noFill/>
                    </a:ln>
                  </pic:spPr>
                </pic:pic>
              </a:graphicData>
            </a:graphic>
          </wp:inline>
        </w:drawing>
      </w:r>
    </w:p>
    <w:p w14:paraId="3220BD4A" w14:textId="0798E62B" w:rsidR="009E4E4C" w:rsidRDefault="009E4E4C" w:rsidP="00B74B2F">
      <w:pPr>
        <w:spacing w:line="480" w:lineRule="auto"/>
        <w:jc w:val="both"/>
        <w:rPr>
          <w:rFonts w:ascii="Arial" w:hAnsi="Arial" w:cs="Arial"/>
          <w:b/>
          <w:bCs/>
          <w:sz w:val="22"/>
          <w:szCs w:val="22"/>
        </w:rPr>
      </w:pPr>
      <w:r>
        <w:rPr>
          <w:rFonts w:ascii="Arial" w:hAnsi="Arial" w:cs="Arial"/>
          <w:b/>
          <w:bCs/>
          <w:sz w:val="22"/>
          <w:szCs w:val="22"/>
        </w:rPr>
        <w:t xml:space="preserve">Supplementary Figure </w:t>
      </w:r>
      <w:r w:rsidR="00577FBF">
        <w:rPr>
          <w:rFonts w:ascii="Arial" w:hAnsi="Arial" w:cs="Arial"/>
          <w:b/>
          <w:bCs/>
          <w:sz w:val="22"/>
          <w:szCs w:val="22"/>
        </w:rPr>
        <w:t>1</w:t>
      </w:r>
      <w:r>
        <w:rPr>
          <w:rFonts w:ascii="Arial" w:hAnsi="Arial" w:cs="Arial"/>
          <w:b/>
          <w:bCs/>
          <w:sz w:val="22"/>
          <w:szCs w:val="22"/>
        </w:rPr>
        <w:t>.</w:t>
      </w:r>
      <w:r w:rsidR="003558BE">
        <w:rPr>
          <w:rFonts w:ascii="Arial" w:hAnsi="Arial" w:cs="Arial"/>
          <w:b/>
          <w:bCs/>
          <w:sz w:val="22"/>
          <w:szCs w:val="22"/>
        </w:rPr>
        <w:t xml:space="preserve"> </w:t>
      </w:r>
      <w:r w:rsidR="003558BE" w:rsidRPr="003558BE">
        <w:rPr>
          <w:rFonts w:ascii="Arial" w:hAnsi="Arial" w:cs="Arial"/>
          <w:sz w:val="22"/>
          <w:szCs w:val="22"/>
        </w:rPr>
        <w:t>Metabolite trajectories according to allergy model and clinical severity. Bar plots show serum metabolite concentrations (</w:t>
      </w:r>
      <w:r w:rsidR="00EE6DE9">
        <w:rPr>
          <w:rFonts w:ascii="Arial" w:hAnsi="Arial" w:cs="Arial"/>
          <w:sz w:val="22"/>
          <w:szCs w:val="22"/>
        </w:rPr>
        <w:t>µ</w:t>
      </w:r>
      <w:r w:rsidR="00EE6DE9" w:rsidRPr="00331CAA">
        <w:rPr>
          <w:rFonts w:ascii="Arial" w:hAnsi="Arial" w:cs="Arial"/>
          <w:sz w:val="22"/>
          <w:szCs w:val="22"/>
        </w:rPr>
        <w:t>g/mL</w:t>
      </w:r>
      <w:r w:rsidR="003558BE" w:rsidRPr="003558BE">
        <w:rPr>
          <w:rFonts w:ascii="Arial" w:hAnsi="Arial" w:cs="Arial"/>
          <w:sz w:val="22"/>
          <w:szCs w:val="22"/>
        </w:rPr>
        <w:t>) in patients with Hymenoptera venom allergy (H</w:t>
      </w:r>
      <w:r w:rsidR="00F43274">
        <w:rPr>
          <w:rFonts w:ascii="Arial" w:hAnsi="Arial" w:cs="Arial"/>
          <w:sz w:val="22"/>
          <w:szCs w:val="22"/>
        </w:rPr>
        <w:t>, purple</w:t>
      </w:r>
      <w:r w:rsidR="003558BE" w:rsidRPr="003558BE">
        <w:rPr>
          <w:rFonts w:ascii="Arial" w:hAnsi="Arial" w:cs="Arial"/>
          <w:sz w:val="22"/>
          <w:szCs w:val="22"/>
        </w:rPr>
        <w:t>) and olive pollen allergy (O</w:t>
      </w:r>
      <w:r w:rsidR="00F43274">
        <w:rPr>
          <w:rFonts w:ascii="Arial" w:hAnsi="Arial" w:cs="Arial"/>
          <w:sz w:val="22"/>
          <w:szCs w:val="22"/>
        </w:rPr>
        <w:t>, green</w:t>
      </w:r>
      <w:r w:rsidR="003558BE" w:rsidRPr="003558BE">
        <w:rPr>
          <w:rFonts w:ascii="Arial" w:hAnsi="Arial" w:cs="Arial"/>
          <w:sz w:val="22"/>
          <w:szCs w:val="22"/>
        </w:rPr>
        <w:t xml:space="preserve">), stratified by </w:t>
      </w:r>
      <w:r w:rsidR="003558BE" w:rsidRPr="003558BE">
        <w:rPr>
          <w:rFonts w:ascii="Arial" w:hAnsi="Arial" w:cs="Arial"/>
          <w:sz w:val="22"/>
          <w:szCs w:val="22"/>
        </w:rPr>
        <w:lastRenderedPageBreak/>
        <w:t xml:space="preserve">mild (M, </w:t>
      </w:r>
      <w:r w:rsidR="00F43274">
        <w:rPr>
          <w:rFonts w:ascii="Arial" w:hAnsi="Arial" w:cs="Arial"/>
          <w:sz w:val="22"/>
          <w:szCs w:val="22"/>
        </w:rPr>
        <w:t>light</w:t>
      </w:r>
      <w:r w:rsidR="003558BE" w:rsidRPr="003558BE">
        <w:rPr>
          <w:rFonts w:ascii="Arial" w:hAnsi="Arial" w:cs="Arial"/>
          <w:sz w:val="22"/>
          <w:szCs w:val="22"/>
        </w:rPr>
        <w:t xml:space="preserve">) and severe (S, </w:t>
      </w:r>
      <w:r w:rsidR="00F43274">
        <w:rPr>
          <w:rFonts w:ascii="Arial" w:hAnsi="Arial" w:cs="Arial"/>
          <w:sz w:val="22"/>
          <w:szCs w:val="22"/>
        </w:rPr>
        <w:t>dark</w:t>
      </w:r>
      <w:r w:rsidR="003558BE" w:rsidRPr="003558BE">
        <w:rPr>
          <w:rFonts w:ascii="Arial" w:hAnsi="Arial" w:cs="Arial"/>
          <w:sz w:val="22"/>
          <w:szCs w:val="22"/>
        </w:rPr>
        <w:t xml:space="preserve">) clinical phenotypes. </w:t>
      </w:r>
      <w:r w:rsidR="003558BE" w:rsidRPr="001B04A5">
        <w:rPr>
          <w:rFonts w:ascii="Arial" w:hAnsi="Arial" w:cs="Arial"/>
          <w:b/>
          <w:bCs/>
          <w:sz w:val="22"/>
          <w:szCs w:val="22"/>
        </w:rPr>
        <w:t>A</w:t>
      </w:r>
      <w:r w:rsidR="001B04A5">
        <w:rPr>
          <w:rFonts w:ascii="Arial" w:hAnsi="Arial" w:cs="Arial"/>
          <w:sz w:val="22"/>
          <w:szCs w:val="22"/>
        </w:rPr>
        <w:t>.</w:t>
      </w:r>
      <w:r w:rsidR="003558BE" w:rsidRPr="003558BE">
        <w:rPr>
          <w:rFonts w:ascii="Arial" w:hAnsi="Arial" w:cs="Arial"/>
          <w:sz w:val="22"/>
          <w:szCs w:val="22"/>
        </w:rPr>
        <w:t xml:space="preserve"> LP</w:t>
      </w:r>
      <w:r w:rsidR="001451FA">
        <w:rPr>
          <w:rFonts w:ascii="Arial" w:hAnsi="Arial" w:cs="Arial"/>
          <w:sz w:val="22"/>
          <w:szCs w:val="22"/>
        </w:rPr>
        <w:t>L</w:t>
      </w:r>
      <w:r w:rsidR="003558BE" w:rsidRPr="003558BE">
        <w:rPr>
          <w:rFonts w:ascii="Arial" w:hAnsi="Arial" w:cs="Arial"/>
          <w:sz w:val="22"/>
          <w:szCs w:val="22"/>
        </w:rPr>
        <w:t xml:space="preserve"> levels. </w:t>
      </w:r>
      <w:r w:rsidR="003558BE" w:rsidRPr="001B04A5">
        <w:rPr>
          <w:rFonts w:ascii="Arial" w:hAnsi="Arial" w:cs="Arial"/>
          <w:b/>
          <w:bCs/>
          <w:sz w:val="22"/>
          <w:szCs w:val="22"/>
        </w:rPr>
        <w:t>B</w:t>
      </w:r>
      <w:r w:rsidR="001B04A5">
        <w:rPr>
          <w:rFonts w:ascii="Arial" w:hAnsi="Arial" w:cs="Arial"/>
          <w:sz w:val="22"/>
          <w:szCs w:val="22"/>
        </w:rPr>
        <w:t>.</w:t>
      </w:r>
      <w:r w:rsidR="003558BE" w:rsidRPr="003558BE">
        <w:rPr>
          <w:rFonts w:ascii="Arial" w:hAnsi="Arial" w:cs="Arial"/>
          <w:sz w:val="22"/>
          <w:szCs w:val="22"/>
        </w:rPr>
        <w:t xml:space="preserve"> </w:t>
      </w:r>
      <w:r w:rsidR="00331CAA">
        <w:rPr>
          <w:rFonts w:ascii="Arial" w:hAnsi="Arial" w:cs="Arial"/>
          <w:sz w:val="22"/>
          <w:szCs w:val="22"/>
        </w:rPr>
        <w:t>Levels for the rest of detected metabolites</w:t>
      </w:r>
      <w:r w:rsidR="003558BE" w:rsidRPr="003558BE">
        <w:rPr>
          <w:rFonts w:ascii="Arial" w:hAnsi="Arial" w:cs="Arial"/>
          <w:sz w:val="22"/>
          <w:szCs w:val="22"/>
        </w:rPr>
        <w:t>. Individual data points represent single subjects, bars indicate mean ± SEM. P values for group comparisons are shown above brackets; “ns” denotes not significant. Student’s t or Mann-Whitney U tests were applied for normally and not normally distributed data, respectively</w:t>
      </w:r>
      <w:r w:rsidR="003558BE" w:rsidRPr="003558BE">
        <w:rPr>
          <w:rFonts w:ascii="Arial" w:hAnsi="Arial" w:cs="Arial"/>
          <w:b/>
          <w:bCs/>
          <w:sz w:val="22"/>
          <w:szCs w:val="22"/>
        </w:rPr>
        <w:t>.</w:t>
      </w:r>
    </w:p>
    <w:p w14:paraId="2244AB95" w14:textId="0E09F2D1" w:rsidR="0075496C" w:rsidRDefault="0075496C" w:rsidP="00B74B2F">
      <w:pPr>
        <w:spacing w:line="480" w:lineRule="auto"/>
        <w:rPr>
          <w:rFonts w:ascii="Arial" w:hAnsi="Arial" w:cs="Arial"/>
          <w:b/>
          <w:bCs/>
          <w:sz w:val="22"/>
          <w:szCs w:val="22"/>
        </w:rPr>
      </w:pPr>
    </w:p>
    <w:p w14:paraId="366D3CDA" w14:textId="77777777" w:rsidR="00B74B2F" w:rsidRDefault="00B74B2F" w:rsidP="00B74B2F">
      <w:pPr>
        <w:spacing w:line="480" w:lineRule="auto"/>
        <w:rPr>
          <w:rFonts w:ascii="Arial" w:hAnsi="Arial" w:cs="Arial"/>
          <w:b/>
          <w:bCs/>
          <w:sz w:val="22"/>
          <w:szCs w:val="22"/>
        </w:rPr>
      </w:pPr>
    </w:p>
    <w:p w14:paraId="61818526" w14:textId="7CD569B1" w:rsidR="00346B73" w:rsidRDefault="007E56A3" w:rsidP="00B74B2F">
      <w:pPr>
        <w:spacing w:line="480" w:lineRule="auto"/>
        <w:jc w:val="both"/>
        <w:rPr>
          <w:rFonts w:ascii="Arial" w:hAnsi="Arial" w:cs="Arial"/>
          <w:b/>
          <w:bCs/>
          <w:sz w:val="22"/>
          <w:szCs w:val="22"/>
        </w:rPr>
      </w:pPr>
      <w:r>
        <w:rPr>
          <w:rFonts w:ascii="Arial" w:hAnsi="Arial" w:cs="Arial"/>
          <w:b/>
          <w:bCs/>
          <w:noProof/>
          <w:sz w:val="22"/>
          <w:szCs w:val="22"/>
        </w:rPr>
        <w:lastRenderedPageBreak/>
        <w:drawing>
          <wp:inline distT="0" distB="0" distL="0" distR="0" wp14:anchorId="442D396E" wp14:editId="34F06A8F">
            <wp:extent cx="5399405" cy="7181850"/>
            <wp:effectExtent l="0" t="0" r="0" b="0"/>
            <wp:docPr id="3337944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5923"/>
                    <a:stretch>
                      <a:fillRect/>
                    </a:stretch>
                  </pic:blipFill>
                  <pic:spPr bwMode="auto">
                    <a:xfrm>
                      <a:off x="0" y="0"/>
                      <a:ext cx="5399405" cy="7181850"/>
                    </a:xfrm>
                    <a:prstGeom prst="rect">
                      <a:avLst/>
                    </a:prstGeom>
                    <a:noFill/>
                    <a:ln>
                      <a:noFill/>
                    </a:ln>
                    <a:extLst>
                      <a:ext uri="{53640926-AAD7-44D8-BBD7-CCE9431645EC}">
                        <a14:shadowObscured xmlns:a14="http://schemas.microsoft.com/office/drawing/2010/main"/>
                      </a:ext>
                    </a:extLst>
                  </pic:spPr>
                </pic:pic>
              </a:graphicData>
            </a:graphic>
          </wp:inline>
        </w:drawing>
      </w:r>
    </w:p>
    <w:p w14:paraId="15C48CD5" w14:textId="281ADF9E" w:rsidR="00C92C86" w:rsidRDefault="009E4E4C" w:rsidP="00B74B2F">
      <w:pPr>
        <w:spacing w:line="480" w:lineRule="auto"/>
        <w:jc w:val="both"/>
        <w:rPr>
          <w:rFonts w:ascii="Arial" w:hAnsi="Arial" w:cs="Arial"/>
          <w:b/>
          <w:bCs/>
          <w:sz w:val="22"/>
          <w:szCs w:val="22"/>
        </w:rPr>
      </w:pPr>
      <w:r>
        <w:rPr>
          <w:rFonts w:ascii="Arial" w:hAnsi="Arial" w:cs="Arial"/>
          <w:b/>
          <w:bCs/>
          <w:sz w:val="22"/>
          <w:szCs w:val="22"/>
        </w:rPr>
        <w:t xml:space="preserve">Supplementary Figure </w:t>
      </w:r>
      <w:r w:rsidR="00577FBF">
        <w:rPr>
          <w:rFonts w:ascii="Arial" w:hAnsi="Arial" w:cs="Arial"/>
          <w:b/>
          <w:bCs/>
          <w:sz w:val="22"/>
          <w:szCs w:val="22"/>
        </w:rPr>
        <w:t>2</w:t>
      </w:r>
      <w:r>
        <w:rPr>
          <w:rFonts w:ascii="Arial" w:hAnsi="Arial" w:cs="Arial"/>
          <w:b/>
          <w:bCs/>
          <w:sz w:val="22"/>
          <w:szCs w:val="22"/>
        </w:rPr>
        <w:t>.</w:t>
      </w:r>
      <w:r w:rsidR="00331CAA">
        <w:rPr>
          <w:rFonts w:ascii="Arial" w:hAnsi="Arial" w:cs="Arial"/>
          <w:b/>
          <w:bCs/>
          <w:sz w:val="22"/>
          <w:szCs w:val="22"/>
        </w:rPr>
        <w:t xml:space="preserve"> </w:t>
      </w:r>
      <w:r w:rsidR="00331CAA" w:rsidRPr="00331CAA">
        <w:rPr>
          <w:rFonts w:ascii="Arial" w:hAnsi="Arial" w:cs="Arial"/>
          <w:sz w:val="22"/>
          <w:szCs w:val="22"/>
        </w:rPr>
        <w:t>Serum cytokine and chemokine trajectories according to allergy model and disease severity. Serum concentrations (pg/mL) of inflammatory mediators were measured in patients with Hymenoptera venom allergy (H</w:t>
      </w:r>
      <w:r w:rsidR="00F43274">
        <w:rPr>
          <w:rFonts w:ascii="Arial" w:hAnsi="Arial" w:cs="Arial"/>
          <w:sz w:val="22"/>
          <w:szCs w:val="22"/>
        </w:rPr>
        <w:t>, purple</w:t>
      </w:r>
      <w:r w:rsidR="00331CAA" w:rsidRPr="00331CAA">
        <w:rPr>
          <w:rFonts w:ascii="Arial" w:hAnsi="Arial" w:cs="Arial"/>
          <w:sz w:val="22"/>
          <w:szCs w:val="22"/>
        </w:rPr>
        <w:t>) and Olive Pollen allergy (O</w:t>
      </w:r>
      <w:r w:rsidR="00F43274">
        <w:rPr>
          <w:rFonts w:ascii="Arial" w:hAnsi="Arial" w:cs="Arial"/>
          <w:sz w:val="22"/>
          <w:szCs w:val="22"/>
        </w:rPr>
        <w:t>, green</w:t>
      </w:r>
      <w:r w:rsidR="00331CAA" w:rsidRPr="00331CAA">
        <w:rPr>
          <w:rFonts w:ascii="Arial" w:hAnsi="Arial" w:cs="Arial"/>
          <w:sz w:val="22"/>
          <w:szCs w:val="22"/>
        </w:rPr>
        <w:t xml:space="preserve">), stratified by mild (M, </w:t>
      </w:r>
      <w:r w:rsidR="00F43274">
        <w:rPr>
          <w:rFonts w:ascii="Arial" w:hAnsi="Arial" w:cs="Arial"/>
          <w:sz w:val="22"/>
          <w:szCs w:val="22"/>
        </w:rPr>
        <w:t>light</w:t>
      </w:r>
      <w:r w:rsidR="00331CAA" w:rsidRPr="00331CAA">
        <w:rPr>
          <w:rFonts w:ascii="Arial" w:hAnsi="Arial" w:cs="Arial"/>
          <w:sz w:val="22"/>
          <w:szCs w:val="22"/>
        </w:rPr>
        <w:t xml:space="preserve">) and severe (S, </w:t>
      </w:r>
      <w:r w:rsidR="00F43274">
        <w:rPr>
          <w:rFonts w:ascii="Arial" w:hAnsi="Arial" w:cs="Arial"/>
          <w:sz w:val="22"/>
          <w:szCs w:val="22"/>
        </w:rPr>
        <w:t>dark</w:t>
      </w:r>
      <w:r w:rsidR="00331CAA" w:rsidRPr="00331CAA">
        <w:rPr>
          <w:rFonts w:ascii="Arial" w:hAnsi="Arial" w:cs="Arial"/>
          <w:sz w:val="22"/>
          <w:szCs w:val="22"/>
        </w:rPr>
        <w:t>) clinical phenotypes</w:t>
      </w:r>
      <w:r w:rsidR="00331CAA">
        <w:rPr>
          <w:rFonts w:ascii="Arial" w:hAnsi="Arial" w:cs="Arial"/>
          <w:sz w:val="22"/>
          <w:szCs w:val="22"/>
        </w:rPr>
        <w:t xml:space="preserve">. </w:t>
      </w:r>
      <w:r w:rsidR="00331CAA" w:rsidRPr="00331CAA">
        <w:rPr>
          <w:rFonts w:ascii="Arial" w:hAnsi="Arial" w:cs="Arial"/>
          <w:sz w:val="22"/>
          <w:szCs w:val="22"/>
        </w:rPr>
        <w:t xml:space="preserve">Individual dots represent single subjects and bars indicate mean ± SEM. </w:t>
      </w:r>
      <w:r w:rsidR="00331CAA" w:rsidRPr="003558BE">
        <w:rPr>
          <w:rFonts w:ascii="Arial" w:hAnsi="Arial" w:cs="Arial"/>
          <w:sz w:val="22"/>
          <w:szCs w:val="22"/>
        </w:rPr>
        <w:t xml:space="preserve">P </w:t>
      </w:r>
      <w:r w:rsidR="00331CAA" w:rsidRPr="003558BE">
        <w:rPr>
          <w:rFonts w:ascii="Arial" w:hAnsi="Arial" w:cs="Arial"/>
          <w:sz w:val="22"/>
          <w:szCs w:val="22"/>
        </w:rPr>
        <w:lastRenderedPageBreak/>
        <w:t>values for group comparisons are shown above brackets; “ns” denotes not significant</w:t>
      </w:r>
      <w:r w:rsidR="00331CAA" w:rsidRPr="00331CAA">
        <w:rPr>
          <w:rFonts w:ascii="Arial" w:hAnsi="Arial" w:cs="Arial"/>
          <w:sz w:val="22"/>
          <w:szCs w:val="22"/>
        </w:rPr>
        <w:t>. Student’s t or Mann-Whitney U tests were applied for normally and not normally distributed data, respectively.</w:t>
      </w:r>
    </w:p>
    <w:p w14:paraId="4BB15CB8" w14:textId="77777777" w:rsidR="00B74B2F" w:rsidRDefault="00B74B2F" w:rsidP="00B74B2F">
      <w:pPr>
        <w:spacing w:line="480" w:lineRule="auto"/>
        <w:jc w:val="both"/>
        <w:rPr>
          <w:rFonts w:ascii="Arial" w:hAnsi="Arial" w:cs="Arial"/>
          <w:b/>
          <w:bCs/>
          <w:sz w:val="22"/>
          <w:szCs w:val="22"/>
        </w:rPr>
      </w:pPr>
    </w:p>
    <w:p w14:paraId="67478394" w14:textId="77777777" w:rsidR="00B74B2F" w:rsidRDefault="00B74B2F" w:rsidP="00B74B2F">
      <w:pPr>
        <w:spacing w:line="480" w:lineRule="auto"/>
        <w:jc w:val="both"/>
        <w:rPr>
          <w:rFonts w:ascii="Arial" w:hAnsi="Arial" w:cs="Arial"/>
          <w:b/>
          <w:bCs/>
          <w:sz w:val="22"/>
          <w:szCs w:val="22"/>
        </w:rPr>
      </w:pPr>
    </w:p>
    <w:p w14:paraId="6E589F2A" w14:textId="145E22B6" w:rsidR="009C6EBD" w:rsidRPr="00CC231E" w:rsidRDefault="00D10F43" w:rsidP="00B74B2F">
      <w:pPr>
        <w:spacing w:line="480" w:lineRule="auto"/>
        <w:rPr>
          <w:rFonts w:ascii="Arial" w:hAnsi="Arial" w:cs="Arial"/>
          <w:b/>
          <w:bCs/>
          <w:sz w:val="22"/>
          <w:szCs w:val="22"/>
        </w:rPr>
      </w:pPr>
      <w:r>
        <w:rPr>
          <w:rFonts w:ascii="Arial" w:hAnsi="Arial" w:cs="Arial"/>
          <w:b/>
          <w:bCs/>
          <w:sz w:val="22"/>
          <w:szCs w:val="22"/>
        </w:rPr>
        <w:t>SUPPLEMENTARY TABLES</w:t>
      </w:r>
    </w:p>
    <w:p w14:paraId="03851924" w14:textId="42616070" w:rsidR="00A34035" w:rsidRPr="006602A6" w:rsidRDefault="00A34035" w:rsidP="00B74B2F">
      <w:pPr>
        <w:spacing w:line="480" w:lineRule="auto"/>
        <w:jc w:val="both"/>
        <w:rPr>
          <w:rFonts w:ascii="Arial" w:hAnsi="Arial" w:cs="Arial"/>
          <w:sz w:val="22"/>
          <w:szCs w:val="22"/>
        </w:rPr>
      </w:pPr>
      <w:r w:rsidRPr="006602A6">
        <w:rPr>
          <w:rFonts w:ascii="Arial" w:hAnsi="Arial" w:cs="Arial"/>
          <w:b/>
          <w:bCs/>
          <w:sz w:val="22"/>
          <w:szCs w:val="22"/>
        </w:rPr>
        <w:t xml:space="preserve">Supplementary Table </w:t>
      </w:r>
      <w:r w:rsidR="00511589">
        <w:rPr>
          <w:rFonts w:ascii="Arial" w:hAnsi="Arial" w:cs="Arial"/>
          <w:b/>
          <w:bCs/>
          <w:sz w:val="22"/>
          <w:szCs w:val="22"/>
        </w:rPr>
        <w:t>1</w:t>
      </w:r>
      <w:r w:rsidRPr="006602A6">
        <w:rPr>
          <w:rFonts w:ascii="Arial" w:hAnsi="Arial" w:cs="Arial"/>
          <w:sz w:val="22"/>
          <w:szCs w:val="22"/>
        </w:rPr>
        <w:t xml:space="preserve">. Detailed information </w:t>
      </w:r>
      <w:r w:rsidR="006602A6" w:rsidRPr="006602A6">
        <w:rPr>
          <w:rFonts w:ascii="Arial" w:hAnsi="Arial" w:cs="Arial"/>
          <w:sz w:val="22"/>
          <w:szCs w:val="22"/>
        </w:rPr>
        <w:t xml:space="preserve">of the metabolite levels (in </w:t>
      </w:r>
      <w:r w:rsidR="001B04A5" w:rsidRPr="001B04A5">
        <w:rPr>
          <w:rFonts w:ascii="Arial" w:hAnsi="Arial" w:cs="Arial"/>
          <w:sz w:val="22"/>
          <w:szCs w:val="22"/>
        </w:rPr>
        <w:t>µg/mL</w:t>
      </w:r>
      <w:r w:rsidR="006602A6" w:rsidRPr="006602A6">
        <w:rPr>
          <w:rFonts w:ascii="Arial" w:hAnsi="Arial" w:cs="Arial"/>
          <w:sz w:val="22"/>
          <w:szCs w:val="22"/>
        </w:rPr>
        <w:t>) obtained for each Hymenoptera venom allergic patient analysed in the study</w:t>
      </w:r>
      <w:r w:rsidRPr="006602A6">
        <w:rPr>
          <w:rFonts w:ascii="Arial" w:hAnsi="Arial" w:cs="Arial"/>
          <w:sz w:val="22"/>
          <w:szCs w:val="22"/>
        </w:rPr>
        <w:t>.</w:t>
      </w:r>
    </w:p>
    <w:p w14:paraId="130F1832" w14:textId="5494DEAA" w:rsidR="00A34035" w:rsidRPr="006602A6" w:rsidRDefault="00A34035" w:rsidP="00B74B2F">
      <w:pPr>
        <w:spacing w:line="480" w:lineRule="auto"/>
        <w:jc w:val="both"/>
        <w:rPr>
          <w:rFonts w:ascii="Arial" w:hAnsi="Arial" w:cs="Arial"/>
          <w:sz w:val="22"/>
          <w:szCs w:val="22"/>
        </w:rPr>
      </w:pPr>
      <w:r w:rsidRPr="006602A6">
        <w:rPr>
          <w:rFonts w:ascii="Arial" w:hAnsi="Arial" w:cs="Arial"/>
          <w:b/>
          <w:bCs/>
          <w:sz w:val="22"/>
          <w:szCs w:val="22"/>
        </w:rPr>
        <w:t xml:space="preserve">Supplementary Table </w:t>
      </w:r>
      <w:r w:rsidR="00511589">
        <w:rPr>
          <w:rFonts w:ascii="Arial" w:hAnsi="Arial" w:cs="Arial"/>
          <w:b/>
          <w:bCs/>
          <w:sz w:val="22"/>
          <w:szCs w:val="22"/>
        </w:rPr>
        <w:t>2</w:t>
      </w:r>
      <w:r w:rsidRPr="006602A6">
        <w:rPr>
          <w:rFonts w:ascii="Arial" w:hAnsi="Arial" w:cs="Arial"/>
          <w:sz w:val="22"/>
          <w:szCs w:val="22"/>
        </w:rPr>
        <w:t xml:space="preserve">. </w:t>
      </w:r>
      <w:r w:rsidR="006602A6" w:rsidRPr="006602A6">
        <w:rPr>
          <w:rFonts w:ascii="Arial" w:hAnsi="Arial" w:cs="Arial"/>
          <w:sz w:val="22"/>
          <w:szCs w:val="22"/>
        </w:rPr>
        <w:t xml:space="preserve">Detailed information of the metabolite levels (in </w:t>
      </w:r>
      <w:r w:rsidR="001B04A5" w:rsidRPr="001B04A5">
        <w:rPr>
          <w:rFonts w:ascii="Arial" w:hAnsi="Arial" w:cs="Arial"/>
          <w:sz w:val="22"/>
          <w:szCs w:val="22"/>
        </w:rPr>
        <w:t>µg/mL</w:t>
      </w:r>
      <w:r w:rsidR="006602A6" w:rsidRPr="006602A6">
        <w:rPr>
          <w:rFonts w:ascii="Arial" w:hAnsi="Arial" w:cs="Arial"/>
          <w:sz w:val="22"/>
          <w:szCs w:val="22"/>
        </w:rPr>
        <w:t>) obtained for each olive pollen allergic patient analysed in the study.</w:t>
      </w:r>
    </w:p>
    <w:p w14:paraId="071C7F95" w14:textId="37A92129" w:rsidR="00A34035" w:rsidRPr="006602A6" w:rsidRDefault="00A34035" w:rsidP="00B74B2F">
      <w:pPr>
        <w:spacing w:line="480" w:lineRule="auto"/>
        <w:jc w:val="both"/>
        <w:rPr>
          <w:rFonts w:ascii="Arial" w:hAnsi="Arial" w:cs="Arial"/>
          <w:sz w:val="22"/>
          <w:szCs w:val="22"/>
        </w:rPr>
      </w:pPr>
      <w:r w:rsidRPr="006602A6">
        <w:rPr>
          <w:rFonts w:ascii="Arial" w:hAnsi="Arial" w:cs="Arial"/>
          <w:b/>
          <w:bCs/>
          <w:sz w:val="22"/>
          <w:szCs w:val="22"/>
        </w:rPr>
        <w:t xml:space="preserve">Supplementary Table </w:t>
      </w:r>
      <w:r w:rsidR="00511589">
        <w:rPr>
          <w:rFonts w:ascii="Arial" w:hAnsi="Arial" w:cs="Arial"/>
          <w:b/>
          <w:bCs/>
          <w:sz w:val="22"/>
          <w:szCs w:val="22"/>
        </w:rPr>
        <w:t>3</w:t>
      </w:r>
      <w:r w:rsidRPr="006602A6">
        <w:rPr>
          <w:rFonts w:ascii="Arial" w:hAnsi="Arial" w:cs="Arial"/>
          <w:sz w:val="22"/>
          <w:szCs w:val="22"/>
        </w:rPr>
        <w:t xml:space="preserve">. </w:t>
      </w:r>
      <w:r w:rsidR="006602A6" w:rsidRPr="006602A6">
        <w:rPr>
          <w:rFonts w:ascii="Arial" w:hAnsi="Arial" w:cs="Arial"/>
          <w:sz w:val="22"/>
          <w:szCs w:val="22"/>
        </w:rPr>
        <w:t>Detailed information of the protein levels (in pg/mL) obtained for each Hymenoptera venom allergic patient analysed in the study.</w:t>
      </w:r>
    </w:p>
    <w:p w14:paraId="3AEB1965" w14:textId="3B4438D7" w:rsidR="00511589" w:rsidRDefault="00A34035" w:rsidP="00B74B2F">
      <w:pPr>
        <w:spacing w:line="480" w:lineRule="auto"/>
        <w:jc w:val="both"/>
        <w:rPr>
          <w:rFonts w:ascii="Arial" w:hAnsi="Arial" w:cs="Arial"/>
          <w:sz w:val="22"/>
          <w:szCs w:val="22"/>
        </w:rPr>
      </w:pPr>
      <w:r w:rsidRPr="006602A6">
        <w:rPr>
          <w:rFonts w:ascii="Arial" w:hAnsi="Arial" w:cs="Arial"/>
          <w:b/>
          <w:bCs/>
          <w:sz w:val="22"/>
          <w:szCs w:val="22"/>
        </w:rPr>
        <w:t xml:space="preserve">Supplementary Table </w:t>
      </w:r>
      <w:r w:rsidR="00511589">
        <w:rPr>
          <w:rFonts w:ascii="Arial" w:hAnsi="Arial" w:cs="Arial"/>
          <w:b/>
          <w:bCs/>
          <w:sz w:val="22"/>
          <w:szCs w:val="22"/>
        </w:rPr>
        <w:t>4</w:t>
      </w:r>
      <w:r w:rsidRPr="006602A6">
        <w:rPr>
          <w:rFonts w:ascii="Arial" w:hAnsi="Arial" w:cs="Arial"/>
          <w:sz w:val="22"/>
          <w:szCs w:val="22"/>
        </w:rPr>
        <w:t xml:space="preserve">. </w:t>
      </w:r>
      <w:r w:rsidR="006602A6" w:rsidRPr="006602A6">
        <w:rPr>
          <w:rFonts w:ascii="Arial" w:hAnsi="Arial" w:cs="Arial"/>
          <w:sz w:val="22"/>
          <w:szCs w:val="22"/>
        </w:rPr>
        <w:t>Detailed information of the protein levels (in pg/mL) obtained for each olive pollen allergic patient analysed in the study.</w:t>
      </w:r>
    </w:p>
    <w:p w14:paraId="389667BD" w14:textId="5EA86A76" w:rsidR="00511589" w:rsidRDefault="00511589" w:rsidP="00B74B2F">
      <w:pPr>
        <w:spacing w:line="480" w:lineRule="auto"/>
        <w:jc w:val="both"/>
        <w:rPr>
          <w:rFonts w:ascii="Arial" w:hAnsi="Arial" w:cs="Arial"/>
          <w:sz w:val="22"/>
          <w:szCs w:val="22"/>
        </w:rPr>
      </w:pPr>
      <w:r>
        <w:rPr>
          <w:rFonts w:ascii="Arial" w:hAnsi="Arial" w:cs="Arial"/>
          <w:b/>
          <w:bCs/>
          <w:sz w:val="22"/>
          <w:szCs w:val="22"/>
        </w:rPr>
        <w:t xml:space="preserve">Supplementary </w:t>
      </w:r>
      <w:r w:rsidRPr="00D10F43">
        <w:rPr>
          <w:rFonts w:ascii="Arial" w:hAnsi="Arial" w:cs="Arial"/>
          <w:b/>
          <w:bCs/>
          <w:sz w:val="22"/>
          <w:szCs w:val="22"/>
        </w:rPr>
        <w:t xml:space="preserve">Table </w:t>
      </w:r>
      <w:r>
        <w:rPr>
          <w:rFonts w:ascii="Arial" w:hAnsi="Arial" w:cs="Arial"/>
          <w:b/>
          <w:bCs/>
          <w:sz w:val="22"/>
          <w:szCs w:val="22"/>
        </w:rPr>
        <w:t>5</w:t>
      </w:r>
      <w:r>
        <w:rPr>
          <w:rFonts w:ascii="Arial" w:hAnsi="Arial" w:cs="Arial"/>
          <w:sz w:val="22"/>
          <w:szCs w:val="22"/>
        </w:rPr>
        <w:t>. Detailed information on preparation of calibration curve points.</w:t>
      </w:r>
    </w:p>
    <w:tbl>
      <w:tblPr>
        <w:tblStyle w:val="Tablaconcuadrcula"/>
        <w:tblW w:w="0" w:type="auto"/>
        <w:tblInd w:w="1630" w:type="dxa"/>
        <w:tblLook w:val="04A0" w:firstRow="1" w:lastRow="0" w:firstColumn="1" w:lastColumn="0" w:noHBand="0" w:noVBand="1"/>
      </w:tblPr>
      <w:tblGrid>
        <w:gridCol w:w="1129"/>
        <w:gridCol w:w="1843"/>
        <w:gridCol w:w="1671"/>
      </w:tblGrid>
      <w:tr w:rsidR="00511589" w14:paraId="53D59D3F" w14:textId="77777777" w:rsidTr="00926871">
        <w:tc>
          <w:tcPr>
            <w:tcW w:w="1129" w:type="dxa"/>
            <w:shd w:val="clear" w:color="auto" w:fill="D9D9D9" w:themeFill="background1" w:themeFillShade="D9"/>
            <w:vAlign w:val="center"/>
          </w:tcPr>
          <w:p w14:paraId="7D1688CF" w14:textId="77777777" w:rsidR="00511589" w:rsidRPr="00195275" w:rsidRDefault="00511589" w:rsidP="00B74B2F">
            <w:pPr>
              <w:spacing w:line="276" w:lineRule="auto"/>
              <w:jc w:val="center"/>
              <w:rPr>
                <w:rFonts w:ascii="Arial" w:hAnsi="Arial" w:cs="Arial"/>
                <w:b/>
                <w:bCs/>
                <w:sz w:val="22"/>
                <w:szCs w:val="22"/>
              </w:rPr>
            </w:pPr>
            <w:r w:rsidRPr="00195275">
              <w:rPr>
                <w:rFonts w:ascii="Arial" w:hAnsi="Arial" w:cs="Arial"/>
                <w:b/>
                <w:bCs/>
                <w:sz w:val="22"/>
                <w:szCs w:val="22"/>
              </w:rPr>
              <w:t>QC sample (µL)</w:t>
            </w:r>
          </w:p>
        </w:tc>
        <w:tc>
          <w:tcPr>
            <w:tcW w:w="1843" w:type="dxa"/>
            <w:shd w:val="clear" w:color="auto" w:fill="D9D9D9" w:themeFill="background1" w:themeFillShade="D9"/>
            <w:vAlign w:val="center"/>
          </w:tcPr>
          <w:p w14:paraId="648B7485" w14:textId="77777777" w:rsidR="00511589" w:rsidRPr="00195275" w:rsidRDefault="00511589" w:rsidP="00B74B2F">
            <w:pPr>
              <w:spacing w:line="276" w:lineRule="auto"/>
              <w:jc w:val="center"/>
              <w:rPr>
                <w:rFonts w:ascii="Arial" w:hAnsi="Arial" w:cs="Arial"/>
                <w:b/>
                <w:bCs/>
                <w:sz w:val="22"/>
                <w:szCs w:val="22"/>
                <w:lang w:val="en-US"/>
              </w:rPr>
            </w:pPr>
            <w:r w:rsidRPr="00195275">
              <w:rPr>
                <w:rFonts w:ascii="Arial" w:hAnsi="Arial" w:cs="Arial"/>
                <w:b/>
                <w:bCs/>
                <w:sz w:val="22"/>
                <w:szCs w:val="22"/>
                <w:lang w:val="en-US"/>
              </w:rPr>
              <w:t>HILIC mobile phases at initial conditions (µL)</w:t>
            </w:r>
          </w:p>
        </w:tc>
        <w:tc>
          <w:tcPr>
            <w:tcW w:w="1671" w:type="dxa"/>
            <w:shd w:val="clear" w:color="auto" w:fill="D9D9D9" w:themeFill="background1" w:themeFillShade="D9"/>
            <w:vAlign w:val="center"/>
          </w:tcPr>
          <w:p w14:paraId="5501EDF4" w14:textId="77777777" w:rsidR="00511589" w:rsidRPr="00195275" w:rsidRDefault="00511589" w:rsidP="00B74B2F">
            <w:pPr>
              <w:spacing w:line="276" w:lineRule="auto"/>
              <w:jc w:val="center"/>
              <w:rPr>
                <w:rFonts w:ascii="Arial" w:hAnsi="Arial" w:cs="Arial"/>
                <w:b/>
                <w:bCs/>
                <w:sz w:val="22"/>
                <w:szCs w:val="22"/>
                <w:lang w:val="en-US"/>
              </w:rPr>
            </w:pPr>
          </w:p>
          <w:p w14:paraId="46128919" w14:textId="77777777" w:rsidR="00511589" w:rsidRPr="00195275" w:rsidRDefault="00511589" w:rsidP="00B74B2F">
            <w:pPr>
              <w:spacing w:line="276" w:lineRule="auto"/>
              <w:jc w:val="center"/>
              <w:rPr>
                <w:rFonts w:ascii="Arial" w:hAnsi="Arial" w:cs="Arial"/>
                <w:b/>
                <w:bCs/>
                <w:sz w:val="22"/>
                <w:szCs w:val="22"/>
              </w:rPr>
            </w:pPr>
            <w:r w:rsidRPr="00195275">
              <w:rPr>
                <w:rFonts w:ascii="Arial" w:hAnsi="Arial" w:cs="Arial"/>
                <w:b/>
                <w:bCs/>
                <w:sz w:val="22"/>
                <w:szCs w:val="22"/>
              </w:rPr>
              <w:t>Standard Mix concentration level</w:t>
            </w:r>
          </w:p>
          <w:p w14:paraId="50226DA8" w14:textId="77777777" w:rsidR="00511589" w:rsidRPr="00195275" w:rsidRDefault="00511589" w:rsidP="00B74B2F">
            <w:pPr>
              <w:spacing w:line="276" w:lineRule="auto"/>
              <w:jc w:val="center"/>
              <w:rPr>
                <w:rFonts w:ascii="Arial" w:hAnsi="Arial" w:cs="Arial"/>
                <w:b/>
                <w:bCs/>
                <w:sz w:val="22"/>
                <w:szCs w:val="22"/>
                <w:lang w:val="en-US"/>
              </w:rPr>
            </w:pPr>
          </w:p>
        </w:tc>
      </w:tr>
      <w:tr w:rsidR="00511589" w14:paraId="70711AEA" w14:textId="77777777" w:rsidTr="00926871">
        <w:tc>
          <w:tcPr>
            <w:tcW w:w="1129" w:type="dxa"/>
          </w:tcPr>
          <w:p w14:paraId="44FE6436"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6E573BCA"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239D9BDC"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800X</w:t>
            </w:r>
          </w:p>
        </w:tc>
      </w:tr>
      <w:tr w:rsidR="00511589" w14:paraId="2DBCE41E" w14:textId="77777777" w:rsidTr="00926871">
        <w:tc>
          <w:tcPr>
            <w:tcW w:w="1129" w:type="dxa"/>
          </w:tcPr>
          <w:p w14:paraId="3E227499"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4ADFF982"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0D73C799"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400X</w:t>
            </w:r>
          </w:p>
        </w:tc>
      </w:tr>
      <w:tr w:rsidR="00511589" w14:paraId="2D51E2FB" w14:textId="77777777" w:rsidTr="00926871">
        <w:tc>
          <w:tcPr>
            <w:tcW w:w="1129" w:type="dxa"/>
          </w:tcPr>
          <w:p w14:paraId="42881AD4"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7A7A1F3D"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3A0D5A67"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200X</w:t>
            </w:r>
          </w:p>
        </w:tc>
      </w:tr>
      <w:tr w:rsidR="00511589" w14:paraId="72096A06" w14:textId="77777777" w:rsidTr="00926871">
        <w:tc>
          <w:tcPr>
            <w:tcW w:w="1129" w:type="dxa"/>
          </w:tcPr>
          <w:p w14:paraId="397D8E8D"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20D2891F"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47E33231"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100X</w:t>
            </w:r>
          </w:p>
        </w:tc>
      </w:tr>
      <w:tr w:rsidR="00511589" w14:paraId="79885616" w14:textId="77777777" w:rsidTr="00926871">
        <w:tc>
          <w:tcPr>
            <w:tcW w:w="1129" w:type="dxa"/>
          </w:tcPr>
          <w:p w14:paraId="6E355B6B"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1000FFCD"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11620C8E" w14:textId="77777777" w:rsidR="00511589" w:rsidRPr="001B31EE"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50X</w:t>
            </w:r>
          </w:p>
        </w:tc>
      </w:tr>
      <w:tr w:rsidR="00511589" w:rsidRPr="00B9380D" w14:paraId="35C92CBA" w14:textId="77777777" w:rsidTr="00926871">
        <w:tc>
          <w:tcPr>
            <w:tcW w:w="1129" w:type="dxa"/>
          </w:tcPr>
          <w:p w14:paraId="7E5B7429"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158457F0"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112E3C3A"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25X</w:t>
            </w:r>
          </w:p>
        </w:tc>
      </w:tr>
      <w:tr w:rsidR="00511589" w:rsidRPr="00B9380D" w14:paraId="2192742E" w14:textId="77777777" w:rsidTr="00926871">
        <w:tc>
          <w:tcPr>
            <w:tcW w:w="1129" w:type="dxa"/>
          </w:tcPr>
          <w:p w14:paraId="01C5A322"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50</w:t>
            </w:r>
          </w:p>
        </w:tc>
        <w:tc>
          <w:tcPr>
            <w:tcW w:w="1843" w:type="dxa"/>
          </w:tcPr>
          <w:p w14:paraId="160FEE60"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c>
          <w:tcPr>
            <w:tcW w:w="1671" w:type="dxa"/>
          </w:tcPr>
          <w:p w14:paraId="7C3893FE"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r>
      <w:tr w:rsidR="00511589" w:rsidRPr="00B9380D" w14:paraId="72E13B43" w14:textId="77777777" w:rsidTr="00926871">
        <w:tc>
          <w:tcPr>
            <w:tcW w:w="1129" w:type="dxa"/>
          </w:tcPr>
          <w:p w14:paraId="0A7FDAC3"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37.5</w:t>
            </w:r>
          </w:p>
        </w:tc>
        <w:tc>
          <w:tcPr>
            <w:tcW w:w="1843" w:type="dxa"/>
          </w:tcPr>
          <w:p w14:paraId="65F81A58"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12.5</w:t>
            </w:r>
          </w:p>
        </w:tc>
        <w:tc>
          <w:tcPr>
            <w:tcW w:w="1671" w:type="dxa"/>
          </w:tcPr>
          <w:p w14:paraId="7A1781F3"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r>
      <w:tr w:rsidR="00511589" w:rsidRPr="00B9380D" w14:paraId="78BF6FDB" w14:textId="77777777" w:rsidTr="00926871">
        <w:tc>
          <w:tcPr>
            <w:tcW w:w="1129" w:type="dxa"/>
          </w:tcPr>
          <w:p w14:paraId="45AB806F"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25</w:t>
            </w:r>
          </w:p>
        </w:tc>
        <w:tc>
          <w:tcPr>
            <w:tcW w:w="1843" w:type="dxa"/>
          </w:tcPr>
          <w:p w14:paraId="5F6B0F58"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25</w:t>
            </w:r>
          </w:p>
        </w:tc>
        <w:tc>
          <w:tcPr>
            <w:tcW w:w="1671" w:type="dxa"/>
          </w:tcPr>
          <w:p w14:paraId="293887D3"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r>
      <w:tr w:rsidR="00511589" w:rsidRPr="00B9380D" w14:paraId="78B9EFE3" w14:textId="77777777" w:rsidTr="00926871">
        <w:tc>
          <w:tcPr>
            <w:tcW w:w="1129" w:type="dxa"/>
          </w:tcPr>
          <w:p w14:paraId="63332C54"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12.5</w:t>
            </w:r>
          </w:p>
        </w:tc>
        <w:tc>
          <w:tcPr>
            <w:tcW w:w="1843" w:type="dxa"/>
          </w:tcPr>
          <w:p w14:paraId="3D387173"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37.5</w:t>
            </w:r>
          </w:p>
        </w:tc>
        <w:tc>
          <w:tcPr>
            <w:tcW w:w="1671" w:type="dxa"/>
          </w:tcPr>
          <w:p w14:paraId="396527F0"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r>
      <w:tr w:rsidR="00511589" w:rsidRPr="00B9380D" w14:paraId="7F2997A2" w14:textId="77777777" w:rsidTr="00926871">
        <w:tc>
          <w:tcPr>
            <w:tcW w:w="1129" w:type="dxa"/>
          </w:tcPr>
          <w:p w14:paraId="1034BF2B"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6.25</w:t>
            </w:r>
          </w:p>
        </w:tc>
        <w:tc>
          <w:tcPr>
            <w:tcW w:w="1843" w:type="dxa"/>
          </w:tcPr>
          <w:p w14:paraId="52969715"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43.75</w:t>
            </w:r>
          </w:p>
        </w:tc>
        <w:tc>
          <w:tcPr>
            <w:tcW w:w="1671" w:type="dxa"/>
          </w:tcPr>
          <w:p w14:paraId="762EDEE3"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r>
      <w:tr w:rsidR="00511589" w:rsidRPr="00B9380D" w14:paraId="45E35B8B" w14:textId="77777777" w:rsidTr="00926871">
        <w:tc>
          <w:tcPr>
            <w:tcW w:w="1129" w:type="dxa"/>
          </w:tcPr>
          <w:p w14:paraId="79AB14B7"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lastRenderedPageBreak/>
              <w:t>3.125</w:t>
            </w:r>
          </w:p>
        </w:tc>
        <w:tc>
          <w:tcPr>
            <w:tcW w:w="1843" w:type="dxa"/>
          </w:tcPr>
          <w:p w14:paraId="33469BDB"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46.875</w:t>
            </w:r>
          </w:p>
        </w:tc>
        <w:tc>
          <w:tcPr>
            <w:tcW w:w="1671" w:type="dxa"/>
          </w:tcPr>
          <w:p w14:paraId="36D5DF46" w14:textId="77777777" w:rsidR="00511589" w:rsidRPr="00B9380D" w:rsidRDefault="00511589" w:rsidP="00B74B2F">
            <w:pPr>
              <w:spacing w:line="276" w:lineRule="auto"/>
              <w:jc w:val="center"/>
              <w:rPr>
                <w:rFonts w:ascii="Arial" w:hAnsi="Arial" w:cs="Arial"/>
                <w:sz w:val="22"/>
                <w:szCs w:val="22"/>
                <w:lang w:val="en-US"/>
              </w:rPr>
            </w:pPr>
            <w:r>
              <w:rPr>
                <w:rFonts w:ascii="Arial" w:hAnsi="Arial" w:cs="Arial"/>
                <w:sz w:val="22"/>
                <w:szCs w:val="22"/>
                <w:lang w:val="en-US"/>
              </w:rPr>
              <w:t>0</w:t>
            </w:r>
          </w:p>
        </w:tc>
      </w:tr>
    </w:tbl>
    <w:p w14:paraId="3E3BB88A" w14:textId="77777777" w:rsidR="00511589" w:rsidRDefault="00511589" w:rsidP="00B74B2F">
      <w:pPr>
        <w:spacing w:line="480" w:lineRule="auto"/>
        <w:jc w:val="both"/>
        <w:rPr>
          <w:rFonts w:ascii="Arial" w:hAnsi="Arial" w:cs="Arial"/>
          <w:b/>
          <w:bCs/>
          <w:sz w:val="22"/>
          <w:szCs w:val="22"/>
        </w:rPr>
      </w:pPr>
    </w:p>
    <w:p w14:paraId="3989DE58" w14:textId="42207E6D" w:rsidR="001C34BB" w:rsidRPr="00AB27C4" w:rsidRDefault="001C34BB" w:rsidP="00B74B2F">
      <w:pPr>
        <w:spacing w:line="480" w:lineRule="auto"/>
        <w:jc w:val="both"/>
        <w:rPr>
          <w:b/>
          <w:bCs/>
          <w:sz w:val="22"/>
          <w:szCs w:val="22"/>
        </w:rPr>
      </w:pPr>
    </w:p>
    <w:sectPr w:rsidR="001C34BB" w:rsidRPr="00AB27C4" w:rsidSect="00236EAB">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X/IDamQ5GXBsnZ" int2:id="vwe81oen">
      <int2:state int2:value="Rejected" int2:type="spell"/>
    </int2:textHash>
    <int2:textHash int2:hashCode="EPYL5VvueaWDCY" int2:id="S3ChV0jt">
      <int2:state int2:value="Rejected" int2:type="spell"/>
    </int2:textHash>
    <int2:textHash int2:hashCode="hjtvenZmmH76Yz" int2:id="9qpPVyJ1">
      <int2:state int2:value="Rejected" int2:type="spell"/>
    </int2:textHash>
    <int2:textHash int2:hashCode="WQPAKrswY7GU4n" int2:id="tt341vtJ">
      <int2:state int2:value="Rejected" int2:type="spell"/>
    </int2:textHash>
    <int2:textHash int2:hashCode="KhxvEGO60jB5gz" int2:id="g9xlHuKO">
      <int2:state int2:value="Rejected" int2:type="spell"/>
    </int2:textHash>
    <int2:textHash int2:hashCode="xUI5XGifToY58D" int2:id="RKx0YM3f">
      <int2:state int2:value="Rejected" int2:type="spell"/>
    </int2:textHash>
    <int2:textHash int2:hashCode="Gf+8jA9j+YobOb" int2:id="tKV8iP5o">
      <int2:state int2:value="Rejected" int2:type="spell"/>
    </int2:textHash>
    <int2:textHash int2:hashCode="OyJbWNfFNJEMWa" int2:id="SDADPHOP">
      <int2:state int2:value="Rejected" int2:type="spell"/>
    </int2:textHash>
    <int2:textHash int2:hashCode="9XbOoR4jOHkwqg" int2:id="D7HfvYwQ">
      <int2:state int2:value="Rejected" int2:type="spell"/>
    </int2:textHash>
    <int2:textHash int2:hashCode="zre1WB3k1izpfk" int2:id="HObmd5J2">
      <int2:state int2:value="Rejected" int2:type="spell"/>
    </int2:textHash>
    <int2:textHash int2:hashCode="mY8IfLI+h/nIeE" int2:id="ff8jQS38">
      <int2:state int2:value="Rejected" int2:type="spell"/>
    </int2:textHash>
    <int2:textHash int2:hashCode="J1gi67dzUOAGDm" int2:id="Ym6BXV8R">
      <int2:state int2:value="Rejected" int2:type="spell"/>
    </int2:textHash>
    <int2:textHash int2:hashCode="u3KUgqOtZmsiEB" int2:id="gJ3bKsS4">
      <int2:state int2:value="Rejected" int2:type="spell"/>
    </int2:textHash>
    <int2:textHash int2:hashCode="OESjUACs4la9fi" int2:id="qVQV35Fk">
      <int2:state int2:value="Rejected" int2:type="spell"/>
    </int2:textHash>
    <int2:textHash int2:hashCode="HBwgUvcfCeSWeM" int2:id="BhNGqGxU">
      <int2:state int2:value="Rejected" int2:type="spell"/>
    </int2:textHash>
    <int2:textHash int2:hashCode="3sOQ2Sc8Y92uPf" int2:id="tfCJ9KYr">
      <int2:state int2:value="Rejected" int2:type="spell"/>
    </int2:textHash>
    <int2:textHash int2:hashCode="eDnqHlFPlL39Q6" int2:id="P2Zj3Oq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C2C"/>
    <w:multiLevelType w:val="hybridMultilevel"/>
    <w:tmpl w:val="A5AAFC2E"/>
    <w:lvl w:ilvl="0" w:tplc="2FF05300">
      <w:start w:val="1"/>
      <w:numFmt w:val="decimal"/>
      <w:lvlText w:val="%1."/>
      <w:lvlJc w:val="left"/>
      <w:pPr>
        <w:ind w:left="1020" w:hanging="360"/>
      </w:pPr>
    </w:lvl>
    <w:lvl w:ilvl="1" w:tplc="852C8E86">
      <w:start w:val="1"/>
      <w:numFmt w:val="decimal"/>
      <w:lvlText w:val="%2."/>
      <w:lvlJc w:val="left"/>
      <w:pPr>
        <w:ind w:left="1020" w:hanging="360"/>
      </w:pPr>
    </w:lvl>
    <w:lvl w:ilvl="2" w:tplc="0EE48872">
      <w:start w:val="1"/>
      <w:numFmt w:val="decimal"/>
      <w:lvlText w:val="%3."/>
      <w:lvlJc w:val="left"/>
      <w:pPr>
        <w:ind w:left="1020" w:hanging="360"/>
      </w:pPr>
    </w:lvl>
    <w:lvl w:ilvl="3" w:tplc="14E62A7A">
      <w:start w:val="1"/>
      <w:numFmt w:val="decimal"/>
      <w:lvlText w:val="%4."/>
      <w:lvlJc w:val="left"/>
      <w:pPr>
        <w:ind w:left="1020" w:hanging="360"/>
      </w:pPr>
    </w:lvl>
    <w:lvl w:ilvl="4" w:tplc="E140FA60">
      <w:start w:val="1"/>
      <w:numFmt w:val="decimal"/>
      <w:lvlText w:val="%5."/>
      <w:lvlJc w:val="left"/>
      <w:pPr>
        <w:ind w:left="1020" w:hanging="360"/>
      </w:pPr>
    </w:lvl>
    <w:lvl w:ilvl="5" w:tplc="F7C62EB6">
      <w:start w:val="1"/>
      <w:numFmt w:val="decimal"/>
      <w:lvlText w:val="%6."/>
      <w:lvlJc w:val="left"/>
      <w:pPr>
        <w:ind w:left="1020" w:hanging="360"/>
      </w:pPr>
    </w:lvl>
    <w:lvl w:ilvl="6" w:tplc="549E9D8E">
      <w:start w:val="1"/>
      <w:numFmt w:val="decimal"/>
      <w:lvlText w:val="%7."/>
      <w:lvlJc w:val="left"/>
      <w:pPr>
        <w:ind w:left="1020" w:hanging="360"/>
      </w:pPr>
    </w:lvl>
    <w:lvl w:ilvl="7" w:tplc="C714FD3A">
      <w:start w:val="1"/>
      <w:numFmt w:val="decimal"/>
      <w:lvlText w:val="%8."/>
      <w:lvlJc w:val="left"/>
      <w:pPr>
        <w:ind w:left="1020" w:hanging="360"/>
      </w:pPr>
    </w:lvl>
    <w:lvl w:ilvl="8" w:tplc="61FA2B30">
      <w:start w:val="1"/>
      <w:numFmt w:val="decimal"/>
      <w:lvlText w:val="%9."/>
      <w:lvlJc w:val="left"/>
      <w:pPr>
        <w:ind w:left="1020" w:hanging="360"/>
      </w:pPr>
    </w:lvl>
  </w:abstractNum>
  <w:abstractNum w:abstractNumId="1" w15:restartNumberingAfterBreak="0">
    <w:nsid w:val="0EC0112B"/>
    <w:multiLevelType w:val="hybridMultilevel"/>
    <w:tmpl w:val="91364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1B1084"/>
    <w:multiLevelType w:val="hybridMultilevel"/>
    <w:tmpl w:val="BA1EC6D2"/>
    <w:lvl w:ilvl="0" w:tplc="130E7DD6">
      <w:start w:val="1"/>
      <w:numFmt w:val="decimal"/>
      <w:lvlText w:val="%1."/>
      <w:lvlJc w:val="left"/>
      <w:pPr>
        <w:ind w:left="1020" w:hanging="360"/>
      </w:pPr>
    </w:lvl>
    <w:lvl w:ilvl="1" w:tplc="22A0BFF0">
      <w:start w:val="1"/>
      <w:numFmt w:val="decimal"/>
      <w:lvlText w:val="%2."/>
      <w:lvlJc w:val="left"/>
      <w:pPr>
        <w:ind w:left="1020" w:hanging="360"/>
      </w:pPr>
    </w:lvl>
    <w:lvl w:ilvl="2" w:tplc="FA704468">
      <w:start w:val="1"/>
      <w:numFmt w:val="decimal"/>
      <w:lvlText w:val="%3."/>
      <w:lvlJc w:val="left"/>
      <w:pPr>
        <w:ind w:left="1020" w:hanging="360"/>
      </w:pPr>
    </w:lvl>
    <w:lvl w:ilvl="3" w:tplc="CF8E027A">
      <w:start w:val="1"/>
      <w:numFmt w:val="decimal"/>
      <w:lvlText w:val="%4."/>
      <w:lvlJc w:val="left"/>
      <w:pPr>
        <w:ind w:left="1020" w:hanging="360"/>
      </w:pPr>
    </w:lvl>
    <w:lvl w:ilvl="4" w:tplc="778828AC">
      <w:start w:val="1"/>
      <w:numFmt w:val="decimal"/>
      <w:lvlText w:val="%5."/>
      <w:lvlJc w:val="left"/>
      <w:pPr>
        <w:ind w:left="1020" w:hanging="360"/>
      </w:pPr>
    </w:lvl>
    <w:lvl w:ilvl="5" w:tplc="B16AA0D2">
      <w:start w:val="1"/>
      <w:numFmt w:val="decimal"/>
      <w:lvlText w:val="%6."/>
      <w:lvlJc w:val="left"/>
      <w:pPr>
        <w:ind w:left="1020" w:hanging="360"/>
      </w:pPr>
    </w:lvl>
    <w:lvl w:ilvl="6" w:tplc="FFD8A568">
      <w:start w:val="1"/>
      <w:numFmt w:val="decimal"/>
      <w:lvlText w:val="%7."/>
      <w:lvlJc w:val="left"/>
      <w:pPr>
        <w:ind w:left="1020" w:hanging="360"/>
      </w:pPr>
    </w:lvl>
    <w:lvl w:ilvl="7" w:tplc="2D66F03A">
      <w:start w:val="1"/>
      <w:numFmt w:val="decimal"/>
      <w:lvlText w:val="%8."/>
      <w:lvlJc w:val="left"/>
      <w:pPr>
        <w:ind w:left="1020" w:hanging="360"/>
      </w:pPr>
    </w:lvl>
    <w:lvl w:ilvl="8" w:tplc="A03EE2CE">
      <w:start w:val="1"/>
      <w:numFmt w:val="decimal"/>
      <w:lvlText w:val="%9."/>
      <w:lvlJc w:val="left"/>
      <w:pPr>
        <w:ind w:left="1020" w:hanging="360"/>
      </w:pPr>
    </w:lvl>
  </w:abstractNum>
  <w:abstractNum w:abstractNumId="3" w15:restartNumberingAfterBreak="0">
    <w:nsid w:val="3235650C"/>
    <w:multiLevelType w:val="hybridMultilevel"/>
    <w:tmpl w:val="F4921B9E"/>
    <w:lvl w:ilvl="0" w:tplc="E77282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4DF5"/>
    <w:multiLevelType w:val="hybridMultilevel"/>
    <w:tmpl w:val="BEBA9AB2"/>
    <w:lvl w:ilvl="0" w:tplc="371229CC">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D85223"/>
    <w:multiLevelType w:val="hybridMultilevel"/>
    <w:tmpl w:val="B452289A"/>
    <w:lvl w:ilvl="0" w:tplc="F52084C0">
      <w:start w:val="1"/>
      <w:numFmt w:val="decimal"/>
      <w:lvlText w:val="%1."/>
      <w:lvlJc w:val="left"/>
      <w:pPr>
        <w:ind w:left="1020" w:hanging="360"/>
      </w:pPr>
    </w:lvl>
    <w:lvl w:ilvl="1" w:tplc="1D6ACF7E">
      <w:start w:val="1"/>
      <w:numFmt w:val="decimal"/>
      <w:lvlText w:val="%2."/>
      <w:lvlJc w:val="left"/>
      <w:pPr>
        <w:ind w:left="1020" w:hanging="360"/>
      </w:pPr>
    </w:lvl>
    <w:lvl w:ilvl="2" w:tplc="8A3CB902">
      <w:start w:val="1"/>
      <w:numFmt w:val="decimal"/>
      <w:lvlText w:val="%3."/>
      <w:lvlJc w:val="left"/>
      <w:pPr>
        <w:ind w:left="1020" w:hanging="360"/>
      </w:pPr>
    </w:lvl>
    <w:lvl w:ilvl="3" w:tplc="2F9A8888">
      <w:start w:val="1"/>
      <w:numFmt w:val="decimal"/>
      <w:lvlText w:val="%4."/>
      <w:lvlJc w:val="left"/>
      <w:pPr>
        <w:ind w:left="1020" w:hanging="360"/>
      </w:pPr>
    </w:lvl>
    <w:lvl w:ilvl="4" w:tplc="57C238F0">
      <w:start w:val="1"/>
      <w:numFmt w:val="decimal"/>
      <w:lvlText w:val="%5."/>
      <w:lvlJc w:val="left"/>
      <w:pPr>
        <w:ind w:left="1020" w:hanging="360"/>
      </w:pPr>
    </w:lvl>
    <w:lvl w:ilvl="5" w:tplc="A01A8158">
      <w:start w:val="1"/>
      <w:numFmt w:val="decimal"/>
      <w:lvlText w:val="%6."/>
      <w:lvlJc w:val="left"/>
      <w:pPr>
        <w:ind w:left="1020" w:hanging="360"/>
      </w:pPr>
    </w:lvl>
    <w:lvl w:ilvl="6" w:tplc="76FC39AC">
      <w:start w:val="1"/>
      <w:numFmt w:val="decimal"/>
      <w:lvlText w:val="%7."/>
      <w:lvlJc w:val="left"/>
      <w:pPr>
        <w:ind w:left="1020" w:hanging="360"/>
      </w:pPr>
    </w:lvl>
    <w:lvl w:ilvl="7" w:tplc="0B422526">
      <w:start w:val="1"/>
      <w:numFmt w:val="decimal"/>
      <w:lvlText w:val="%8."/>
      <w:lvlJc w:val="left"/>
      <w:pPr>
        <w:ind w:left="1020" w:hanging="360"/>
      </w:pPr>
    </w:lvl>
    <w:lvl w:ilvl="8" w:tplc="AE989E86">
      <w:start w:val="1"/>
      <w:numFmt w:val="decimal"/>
      <w:lvlText w:val="%9."/>
      <w:lvlJc w:val="left"/>
      <w:pPr>
        <w:ind w:left="1020" w:hanging="360"/>
      </w:pPr>
    </w:lvl>
  </w:abstractNum>
  <w:num w:numId="1" w16cid:durableId="1789814210">
    <w:abstractNumId w:val="1"/>
  </w:num>
  <w:num w:numId="2" w16cid:durableId="132991967">
    <w:abstractNumId w:val="3"/>
  </w:num>
  <w:num w:numId="3" w16cid:durableId="322785212">
    <w:abstractNumId w:val="4"/>
  </w:num>
  <w:num w:numId="4" w16cid:durableId="308636889">
    <w:abstractNumId w:val="0"/>
  </w:num>
  <w:num w:numId="5" w16cid:durableId="2116485963">
    <w:abstractNumId w:val="5"/>
  </w:num>
  <w:num w:numId="6" w16cid:durableId="1543401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C7"/>
    <w:rsid w:val="00000285"/>
    <w:rsid w:val="00002377"/>
    <w:rsid w:val="000053B5"/>
    <w:rsid w:val="00005645"/>
    <w:rsid w:val="0000699B"/>
    <w:rsid w:val="00007A2F"/>
    <w:rsid w:val="00007B32"/>
    <w:rsid w:val="00010300"/>
    <w:rsid w:val="0001182E"/>
    <w:rsid w:val="000171F3"/>
    <w:rsid w:val="00023315"/>
    <w:rsid w:val="00023518"/>
    <w:rsid w:val="00023E67"/>
    <w:rsid w:val="00025AC9"/>
    <w:rsid w:val="000270FF"/>
    <w:rsid w:val="00027325"/>
    <w:rsid w:val="00030998"/>
    <w:rsid w:val="00032244"/>
    <w:rsid w:val="00035083"/>
    <w:rsid w:val="00047CC1"/>
    <w:rsid w:val="000518D3"/>
    <w:rsid w:val="00051E17"/>
    <w:rsid w:val="00056E99"/>
    <w:rsid w:val="000639AB"/>
    <w:rsid w:val="00063E09"/>
    <w:rsid w:val="00070538"/>
    <w:rsid w:val="0007083B"/>
    <w:rsid w:val="000714BF"/>
    <w:rsid w:val="00071695"/>
    <w:rsid w:val="0007377D"/>
    <w:rsid w:val="000746BC"/>
    <w:rsid w:val="00076CB7"/>
    <w:rsid w:val="000804AD"/>
    <w:rsid w:val="00080ABF"/>
    <w:rsid w:val="000841A5"/>
    <w:rsid w:val="00087CF8"/>
    <w:rsid w:val="000933C9"/>
    <w:rsid w:val="00096720"/>
    <w:rsid w:val="000A3E63"/>
    <w:rsid w:val="000A67C7"/>
    <w:rsid w:val="000B09CA"/>
    <w:rsid w:val="000B259B"/>
    <w:rsid w:val="000C0BB6"/>
    <w:rsid w:val="000C0ED3"/>
    <w:rsid w:val="000C0F48"/>
    <w:rsid w:val="000C12D2"/>
    <w:rsid w:val="000C3FB2"/>
    <w:rsid w:val="000C5036"/>
    <w:rsid w:val="000C527A"/>
    <w:rsid w:val="000D139C"/>
    <w:rsid w:val="000D17EE"/>
    <w:rsid w:val="000D198F"/>
    <w:rsid w:val="000D5B66"/>
    <w:rsid w:val="000E198D"/>
    <w:rsid w:val="000E4376"/>
    <w:rsid w:val="000F23C1"/>
    <w:rsid w:val="000F2D2E"/>
    <w:rsid w:val="000F69BB"/>
    <w:rsid w:val="000F6EC3"/>
    <w:rsid w:val="000F773F"/>
    <w:rsid w:val="00110FA1"/>
    <w:rsid w:val="00111F83"/>
    <w:rsid w:val="00117869"/>
    <w:rsid w:val="001224F2"/>
    <w:rsid w:val="00130E9F"/>
    <w:rsid w:val="00135829"/>
    <w:rsid w:val="00140671"/>
    <w:rsid w:val="00140F31"/>
    <w:rsid w:val="001451FA"/>
    <w:rsid w:val="00145B94"/>
    <w:rsid w:val="00146C80"/>
    <w:rsid w:val="00147F6E"/>
    <w:rsid w:val="001521BE"/>
    <w:rsid w:val="00156226"/>
    <w:rsid w:val="001567AF"/>
    <w:rsid w:val="00160944"/>
    <w:rsid w:val="00161355"/>
    <w:rsid w:val="00161488"/>
    <w:rsid w:val="00161C79"/>
    <w:rsid w:val="0016203C"/>
    <w:rsid w:val="00163707"/>
    <w:rsid w:val="0016403B"/>
    <w:rsid w:val="001644C3"/>
    <w:rsid w:val="00166FD6"/>
    <w:rsid w:val="00167F94"/>
    <w:rsid w:val="0017183F"/>
    <w:rsid w:val="0017253C"/>
    <w:rsid w:val="00172FE4"/>
    <w:rsid w:val="001754AB"/>
    <w:rsid w:val="001756FA"/>
    <w:rsid w:val="00180EE5"/>
    <w:rsid w:val="00192325"/>
    <w:rsid w:val="00194751"/>
    <w:rsid w:val="00195275"/>
    <w:rsid w:val="0019733E"/>
    <w:rsid w:val="001A053B"/>
    <w:rsid w:val="001A0BD8"/>
    <w:rsid w:val="001A0CF6"/>
    <w:rsid w:val="001A4CE5"/>
    <w:rsid w:val="001A6AD3"/>
    <w:rsid w:val="001A732D"/>
    <w:rsid w:val="001B04A5"/>
    <w:rsid w:val="001B12ED"/>
    <w:rsid w:val="001B16C1"/>
    <w:rsid w:val="001B1AE2"/>
    <w:rsid w:val="001B31EE"/>
    <w:rsid w:val="001B3605"/>
    <w:rsid w:val="001B56F1"/>
    <w:rsid w:val="001B75FC"/>
    <w:rsid w:val="001C09B8"/>
    <w:rsid w:val="001C34BB"/>
    <w:rsid w:val="001C5EF1"/>
    <w:rsid w:val="001C7D34"/>
    <w:rsid w:val="001D3D68"/>
    <w:rsid w:val="001D773D"/>
    <w:rsid w:val="001D7DA3"/>
    <w:rsid w:val="001E00A8"/>
    <w:rsid w:val="001E0A05"/>
    <w:rsid w:val="001E4481"/>
    <w:rsid w:val="001E716D"/>
    <w:rsid w:val="001E71E6"/>
    <w:rsid w:val="001E7F7C"/>
    <w:rsid w:val="001F1282"/>
    <w:rsid w:val="001F339C"/>
    <w:rsid w:val="001F5110"/>
    <w:rsid w:val="001F716E"/>
    <w:rsid w:val="002021C5"/>
    <w:rsid w:val="002024F9"/>
    <w:rsid w:val="00210841"/>
    <w:rsid w:val="0021594C"/>
    <w:rsid w:val="00215BC2"/>
    <w:rsid w:val="00223CE8"/>
    <w:rsid w:val="00227DDA"/>
    <w:rsid w:val="00233546"/>
    <w:rsid w:val="00233AC8"/>
    <w:rsid w:val="00235BE7"/>
    <w:rsid w:val="00236EAB"/>
    <w:rsid w:val="00240DD6"/>
    <w:rsid w:val="00242E19"/>
    <w:rsid w:val="00243CC2"/>
    <w:rsid w:val="00244963"/>
    <w:rsid w:val="00246DA1"/>
    <w:rsid w:val="0025357F"/>
    <w:rsid w:val="002546AD"/>
    <w:rsid w:val="002553C6"/>
    <w:rsid w:val="00262F05"/>
    <w:rsid w:val="00263C82"/>
    <w:rsid w:val="00263E47"/>
    <w:rsid w:val="002674AD"/>
    <w:rsid w:val="002703F3"/>
    <w:rsid w:val="00270EF3"/>
    <w:rsid w:val="0027253D"/>
    <w:rsid w:val="00272D12"/>
    <w:rsid w:val="0027323E"/>
    <w:rsid w:val="00274BCD"/>
    <w:rsid w:val="00275729"/>
    <w:rsid w:val="00282816"/>
    <w:rsid w:val="002829BC"/>
    <w:rsid w:val="00282AE1"/>
    <w:rsid w:val="002841D0"/>
    <w:rsid w:val="00284451"/>
    <w:rsid w:val="00285F62"/>
    <w:rsid w:val="00286ADC"/>
    <w:rsid w:val="002902B6"/>
    <w:rsid w:val="00292882"/>
    <w:rsid w:val="00293380"/>
    <w:rsid w:val="00293A9D"/>
    <w:rsid w:val="002944D3"/>
    <w:rsid w:val="00296C57"/>
    <w:rsid w:val="00297898"/>
    <w:rsid w:val="002A0396"/>
    <w:rsid w:val="002A454B"/>
    <w:rsid w:val="002A4FF1"/>
    <w:rsid w:val="002A5ED8"/>
    <w:rsid w:val="002A6F73"/>
    <w:rsid w:val="002B0A40"/>
    <w:rsid w:val="002B565D"/>
    <w:rsid w:val="002C1C22"/>
    <w:rsid w:val="002C1C99"/>
    <w:rsid w:val="002C2E06"/>
    <w:rsid w:val="002C32E9"/>
    <w:rsid w:val="002C55DF"/>
    <w:rsid w:val="002C6A24"/>
    <w:rsid w:val="002C71C9"/>
    <w:rsid w:val="002D0AD9"/>
    <w:rsid w:val="002D4A49"/>
    <w:rsid w:val="002D6381"/>
    <w:rsid w:val="002D6431"/>
    <w:rsid w:val="002E2FEE"/>
    <w:rsid w:val="002F067D"/>
    <w:rsid w:val="002F7CE1"/>
    <w:rsid w:val="00306D4C"/>
    <w:rsid w:val="00310400"/>
    <w:rsid w:val="00310C24"/>
    <w:rsid w:val="003132C5"/>
    <w:rsid w:val="00314A8C"/>
    <w:rsid w:val="00314EF3"/>
    <w:rsid w:val="003165B3"/>
    <w:rsid w:val="00325C32"/>
    <w:rsid w:val="00326A95"/>
    <w:rsid w:val="00326DF0"/>
    <w:rsid w:val="0033059B"/>
    <w:rsid w:val="00331CAA"/>
    <w:rsid w:val="003374A9"/>
    <w:rsid w:val="00340EF7"/>
    <w:rsid w:val="0034340E"/>
    <w:rsid w:val="00344ABC"/>
    <w:rsid w:val="00346B54"/>
    <w:rsid w:val="00346B73"/>
    <w:rsid w:val="00350928"/>
    <w:rsid w:val="003558BE"/>
    <w:rsid w:val="00357D21"/>
    <w:rsid w:val="00367FBC"/>
    <w:rsid w:val="00371C04"/>
    <w:rsid w:val="0037219F"/>
    <w:rsid w:val="003726C4"/>
    <w:rsid w:val="0037277E"/>
    <w:rsid w:val="00372B86"/>
    <w:rsid w:val="003747EC"/>
    <w:rsid w:val="003748E6"/>
    <w:rsid w:val="003757EB"/>
    <w:rsid w:val="003775B0"/>
    <w:rsid w:val="00380DEF"/>
    <w:rsid w:val="0038176E"/>
    <w:rsid w:val="00381891"/>
    <w:rsid w:val="00382D04"/>
    <w:rsid w:val="0039050D"/>
    <w:rsid w:val="00390D78"/>
    <w:rsid w:val="00390E98"/>
    <w:rsid w:val="0039343F"/>
    <w:rsid w:val="00393810"/>
    <w:rsid w:val="003A2146"/>
    <w:rsid w:val="003A220D"/>
    <w:rsid w:val="003A469D"/>
    <w:rsid w:val="003A5709"/>
    <w:rsid w:val="003A58D1"/>
    <w:rsid w:val="003A7441"/>
    <w:rsid w:val="003B0225"/>
    <w:rsid w:val="003B2F3F"/>
    <w:rsid w:val="003C3F4E"/>
    <w:rsid w:val="003D0057"/>
    <w:rsid w:val="003D139B"/>
    <w:rsid w:val="003D1512"/>
    <w:rsid w:val="003D4348"/>
    <w:rsid w:val="003D6F9E"/>
    <w:rsid w:val="003D6FBC"/>
    <w:rsid w:val="003E348D"/>
    <w:rsid w:val="003E39E4"/>
    <w:rsid w:val="003E7865"/>
    <w:rsid w:val="003F00C2"/>
    <w:rsid w:val="003F0495"/>
    <w:rsid w:val="003F1AC7"/>
    <w:rsid w:val="003F4B4D"/>
    <w:rsid w:val="004008BD"/>
    <w:rsid w:val="00401299"/>
    <w:rsid w:val="00404B40"/>
    <w:rsid w:val="00406BB3"/>
    <w:rsid w:val="00407469"/>
    <w:rsid w:val="00411BE3"/>
    <w:rsid w:val="004202E3"/>
    <w:rsid w:val="004224D6"/>
    <w:rsid w:val="00424C2B"/>
    <w:rsid w:val="0043005A"/>
    <w:rsid w:val="00430DC8"/>
    <w:rsid w:val="004332C9"/>
    <w:rsid w:val="00434321"/>
    <w:rsid w:val="004348EA"/>
    <w:rsid w:val="004361D9"/>
    <w:rsid w:val="00437EEF"/>
    <w:rsid w:val="004423C2"/>
    <w:rsid w:val="00443521"/>
    <w:rsid w:val="004448B1"/>
    <w:rsid w:val="004456B7"/>
    <w:rsid w:val="00445A24"/>
    <w:rsid w:val="004468D9"/>
    <w:rsid w:val="004514B2"/>
    <w:rsid w:val="00451C42"/>
    <w:rsid w:val="004565AA"/>
    <w:rsid w:val="004736B9"/>
    <w:rsid w:val="0047428B"/>
    <w:rsid w:val="00480A77"/>
    <w:rsid w:val="00481A6A"/>
    <w:rsid w:val="004820A2"/>
    <w:rsid w:val="00483786"/>
    <w:rsid w:val="00483A0C"/>
    <w:rsid w:val="004845E0"/>
    <w:rsid w:val="00486F3A"/>
    <w:rsid w:val="004870DE"/>
    <w:rsid w:val="004949DE"/>
    <w:rsid w:val="00496617"/>
    <w:rsid w:val="004A0FCC"/>
    <w:rsid w:val="004B189F"/>
    <w:rsid w:val="004B1CEA"/>
    <w:rsid w:val="004B25DA"/>
    <w:rsid w:val="004C1A88"/>
    <w:rsid w:val="004C4259"/>
    <w:rsid w:val="004C6113"/>
    <w:rsid w:val="004C7FEF"/>
    <w:rsid w:val="004D1EDB"/>
    <w:rsid w:val="004D397A"/>
    <w:rsid w:val="004D53F1"/>
    <w:rsid w:val="004D65F5"/>
    <w:rsid w:val="004D7885"/>
    <w:rsid w:val="004D795C"/>
    <w:rsid w:val="004E092C"/>
    <w:rsid w:val="004E2CAC"/>
    <w:rsid w:val="004E32F1"/>
    <w:rsid w:val="004E6791"/>
    <w:rsid w:val="004F3BC8"/>
    <w:rsid w:val="004F7092"/>
    <w:rsid w:val="0050327E"/>
    <w:rsid w:val="00503A69"/>
    <w:rsid w:val="005041C0"/>
    <w:rsid w:val="00506061"/>
    <w:rsid w:val="005069A7"/>
    <w:rsid w:val="00511589"/>
    <w:rsid w:val="00512106"/>
    <w:rsid w:val="00515931"/>
    <w:rsid w:val="00515D58"/>
    <w:rsid w:val="00516579"/>
    <w:rsid w:val="005215B5"/>
    <w:rsid w:val="005239AB"/>
    <w:rsid w:val="00523DF6"/>
    <w:rsid w:val="005242A7"/>
    <w:rsid w:val="00527BAF"/>
    <w:rsid w:val="00531544"/>
    <w:rsid w:val="0053238A"/>
    <w:rsid w:val="005336FC"/>
    <w:rsid w:val="00534E87"/>
    <w:rsid w:val="00535FEB"/>
    <w:rsid w:val="005370D7"/>
    <w:rsid w:val="00543449"/>
    <w:rsid w:val="00545B8E"/>
    <w:rsid w:val="005503A1"/>
    <w:rsid w:val="00552660"/>
    <w:rsid w:val="005530E0"/>
    <w:rsid w:val="00553283"/>
    <w:rsid w:val="005536C0"/>
    <w:rsid w:val="00556D6B"/>
    <w:rsid w:val="00563CB1"/>
    <w:rsid w:val="00566711"/>
    <w:rsid w:val="0056D169"/>
    <w:rsid w:val="00570FF7"/>
    <w:rsid w:val="005730F0"/>
    <w:rsid w:val="005735F6"/>
    <w:rsid w:val="00576380"/>
    <w:rsid w:val="00577FBF"/>
    <w:rsid w:val="00581240"/>
    <w:rsid w:val="00581D47"/>
    <w:rsid w:val="00584590"/>
    <w:rsid w:val="00586F21"/>
    <w:rsid w:val="00587390"/>
    <w:rsid w:val="005A1358"/>
    <w:rsid w:val="005A4082"/>
    <w:rsid w:val="005A4535"/>
    <w:rsid w:val="005A46BD"/>
    <w:rsid w:val="005A4EFC"/>
    <w:rsid w:val="005A5347"/>
    <w:rsid w:val="005A7B3A"/>
    <w:rsid w:val="005B60D4"/>
    <w:rsid w:val="005B7031"/>
    <w:rsid w:val="005C0531"/>
    <w:rsid w:val="005C4539"/>
    <w:rsid w:val="005C4FC2"/>
    <w:rsid w:val="005C7F24"/>
    <w:rsid w:val="005D0866"/>
    <w:rsid w:val="005E06A4"/>
    <w:rsid w:val="005E23CB"/>
    <w:rsid w:val="005E396A"/>
    <w:rsid w:val="005E6AA6"/>
    <w:rsid w:val="005F06BA"/>
    <w:rsid w:val="005F3FD7"/>
    <w:rsid w:val="005F7D08"/>
    <w:rsid w:val="005F7FC4"/>
    <w:rsid w:val="00600EC7"/>
    <w:rsid w:val="0060197D"/>
    <w:rsid w:val="006028BD"/>
    <w:rsid w:val="006034CC"/>
    <w:rsid w:val="00611CAE"/>
    <w:rsid w:val="00615590"/>
    <w:rsid w:val="006163FC"/>
    <w:rsid w:val="00616AE0"/>
    <w:rsid w:val="00617C52"/>
    <w:rsid w:val="00620231"/>
    <w:rsid w:val="006216BE"/>
    <w:rsid w:val="00622B81"/>
    <w:rsid w:val="00630780"/>
    <w:rsid w:val="00631FC7"/>
    <w:rsid w:val="0063362A"/>
    <w:rsid w:val="006347D1"/>
    <w:rsid w:val="00634E67"/>
    <w:rsid w:val="00636CF5"/>
    <w:rsid w:val="006371E4"/>
    <w:rsid w:val="00640571"/>
    <w:rsid w:val="00640699"/>
    <w:rsid w:val="00642AC6"/>
    <w:rsid w:val="00645555"/>
    <w:rsid w:val="00650DF8"/>
    <w:rsid w:val="006530A5"/>
    <w:rsid w:val="0065328C"/>
    <w:rsid w:val="00654594"/>
    <w:rsid w:val="006602A6"/>
    <w:rsid w:val="00660316"/>
    <w:rsid w:val="00660B2E"/>
    <w:rsid w:val="00661BE7"/>
    <w:rsid w:val="00670486"/>
    <w:rsid w:val="00671206"/>
    <w:rsid w:val="00671F2F"/>
    <w:rsid w:val="00672F55"/>
    <w:rsid w:val="00673FBF"/>
    <w:rsid w:val="0068427B"/>
    <w:rsid w:val="00686675"/>
    <w:rsid w:val="006933BD"/>
    <w:rsid w:val="0069567A"/>
    <w:rsid w:val="00695D36"/>
    <w:rsid w:val="006A448D"/>
    <w:rsid w:val="006A48E9"/>
    <w:rsid w:val="006B3CDE"/>
    <w:rsid w:val="006C15AB"/>
    <w:rsid w:val="006C264F"/>
    <w:rsid w:val="006C3798"/>
    <w:rsid w:val="006C4101"/>
    <w:rsid w:val="006C4486"/>
    <w:rsid w:val="006D1C6C"/>
    <w:rsid w:val="006D4590"/>
    <w:rsid w:val="006D7A31"/>
    <w:rsid w:val="006E4A21"/>
    <w:rsid w:val="006F18EE"/>
    <w:rsid w:val="006F1C65"/>
    <w:rsid w:val="007001EC"/>
    <w:rsid w:val="00701DBC"/>
    <w:rsid w:val="00702221"/>
    <w:rsid w:val="00705A3C"/>
    <w:rsid w:val="0070651C"/>
    <w:rsid w:val="0070786D"/>
    <w:rsid w:val="007128A0"/>
    <w:rsid w:val="007153AD"/>
    <w:rsid w:val="00721148"/>
    <w:rsid w:val="00725436"/>
    <w:rsid w:val="00727806"/>
    <w:rsid w:val="00734628"/>
    <w:rsid w:val="0074035C"/>
    <w:rsid w:val="00753E53"/>
    <w:rsid w:val="0075496C"/>
    <w:rsid w:val="00761503"/>
    <w:rsid w:val="007617A0"/>
    <w:rsid w:val="00764EDB"/>
    <w:rsid w:val="00765283"/>
    <w:rsid w:val="00765387"/>
    <w:rsid w:val="00765DD5"/>
    <w:rsid w:val="00773DCB"/>
    <w:rsid w:val="00774C75"/>
    <w:rsid w:val="00776728"/>
    <w:rsid w:val="00776771"/>
    <w:rsid w:val="00782FF2"/>
    <w:rsid w:val="007833C3"/>
    <w:rsid w:val="00783DA4"/>
    <w:rsid w:val="00785576"/>
    <w:rsid w:val="00787716"/>
    <w:rsid w:val="007945D4"/>
    <w:rsid w:val="00794A15"/>
    <w:rsid w:val="00795FC4"/>
    <w:rsid w:val="00796384"/>
    <w:rsid w:val="00797CEC"/>
    <w:rsid w:val="007A2347"/>
    <w:rsid w:val="007A662F"/>
    <w:rsid w:val="007A6958"/>
    <w:rsid w:val="007A9F45"/>
    <w:rsid w:val="007B0CF6"/>
    <w:rsid w:val="007B5132"/>
    <w:rsid w:val="007B5FF9"/>
    <w:rsid w:val="007B6AB4"/>
    <w:rsid w:val="007D60FC"/>
    <w:rsid w:val="007E56A3"/>
    <w:rsid w:val="007E5A4D"/>
    <w:rsid w:val="007F1733"/>
    <w:rsid w:val="007F59BE"/>
    <w:rsid w:val="00801379"/>
    <w:rsid w:val="00801989"/>
    <w:rsid w:val="008068AD"/>
    <w:rsid w:val="00810DFA"/>
    <w:rsid w:val="00813BEC"/>
    <w:rsid w:val="00816B04"/>
    <w:rsid w:val="00820963"/>
    <w:rsid w:val="008210BD"/>
    <w:rsid w:val="00821939"/>
    <w:rsid w:val="00824219"/>
    <w:rsid w:val="00831FDB"/>
    <w:rsid w:val="00835235"/>
    <w:rsid w:val="00836FE3"/>
    <w:rsid w:val="008373D8"/>
    <w:rsid w:val="00837B39"/>
    <w:rsid w:val="00837F41"/>
    <w:rsid w:val="00842795"/>
    <w:rsid w:val="00847F61"/>
    <w:rsid w:val="008523CA"/>
    <w:rsid w:val="008531D1"/>
    <w:rsid w:val="00856F1D"/>
    <w:rsid w:val="008574C6"/>
    <w:rsid w:val="008600EC"/>
    <w:rsid w:val="00864A0D"/>
    <w:rsid w:val="00864A1B"/>
    <w:rsid w:val="00864D09"/>
    <w:rsid w:val="0086623C"/>
    <w:rsid w:val="008662EA"/>
    <w:rsid w:val="008733C5"/>
    <w:rsid w:val="00876D69"/>
    <w:rsid w:val="00883362"/>
    <w:rsid w:val="00883E7F"/>
    <w:rsid w:val="00885BA4"/>
    <w:rsid w:val="00886ECA"/>
    <w:rsid w:val="0089024C"/>
    <w:rsid w:val="008968E3"/>
    <w:rsid w:val="0089745E"/>
    <w:rsid w:val="008A330D"/>
    <w:rsid w:val="008A6FC4"/>
    <w:rsid w:val="008B1205"/>
    <w:rsid w:val="008B706A"/>
    <w:rsid w:val="008C1B18"/>
    <w:rsid w:val="008C2ADD"/>
    <w:rsid w:val="008D44AC"/>
    <w:rsid w:val="008E258D"/>
    <w:rsid w:val="008E3F08"/>
    <w:rsid w:val="008E4149"/>
    <w:rsid w:val="008E450E"/>
    <w:rsid w:val="008E4B59"/>
    <w:rsid w:val="008E59A1"/>
    <w:rsid w:val="008E61D7"/>
    <w:rsid w:val="008E7E5C"/>
    <w:rsid w:val="008F23DB"/>
    <w:rsid w:val="008F50CC"/>
    <w:rsid w:val="008F56BD"/>
    <w:rsid w:val="008F5D8E"/>
    <w:rsid w:val="008F7302"/>
    <w:rsid w:val="009003FE"/>
    <w:rsid w:val="00900697"/>
    <w:rsid w:val="00900DAA"/>
    <w:rsid w:val="0090479A"/>
    <w:rsid w:val="00905AC6"/>
    <w:rsid w:val="00907146"/>
    <w:rsid w:val="0091013D"/>
    <w:rsid w:val="00910835"/>
    <w:rsid w:val="0091104D"/>
    <w:rsid w:val="00916055"/>
    <w:rsid w:val="00925C1B"/>
    <w:rsid w:val="00927B2C"/>
    <w:rsid w:val="00931D76"/>
    <w:rsid w:val="00934390"/>
    <w:rsid w:val="00936D27"/>
    <w:rsid w:val="009376E7"/>
    <w:rsid w:val="00943C8A"/>
    <w:rsid w:val="00944993"/>
    <w:rsid w:val="00946F66"/>
    <w:rsid w:val="0094717E"/>
    <w:rsid w:val="009529B4"/>
    <w:rsid w:val="00961C6A"/>
    <w:rsid w:val="00965634"/>
    <w:rsid w:val="00971085"/>
    <w:rsid w:val="00971732"/>
    <w:rsid w:val="009737C0"/>
    <w:rsid w:val="009753E1"/>
    <w:rsid w:val="009812D5"/>
    <w:rsid w:val="009814AB"/>
    <w:rsid w:val="00986E27"/>
    <w:rsid w:val="0099205E"/>
    <w:rsid w:val="00993802"/>
    <w:rsid w:val="00996E56"/>
    <w:rsid w:val="009A1B6C"/>
    <w:rsid w:val="009A3496"/>
    <w:rsid w:val="009A3633"/>
    <w:rsid w:val="009A4308"/>
    <w:rsid w:val="009A60E3"/>
    <w:rsid w:val="009B0281"/>
    <w:rsid w:val="009B0872"/>
    <w:rsid w:val="009B0C6A"/>
    <w:rsid w:val="009B0DC9"/>
    <w:rsid w:val="009B2DC3"/>
    <w:rsid w:val="009C1946"/>
    <w:rsid w:val="009C34D9"/>
    <w:rsid w:val="009C6141"/>
    <w:rsid w:val="009C6EBD"/>
    <w:rsid w:val="009D2D41"/>
    <w:rsid w:val="009D2EFB"/>
    <w:rsid w:val="009D3008"/>
    <w:rsid w:val="009D4575"/>
    <w:rsid w:val="009D59D2"/>
    <w:rsid w:val="009E07FF"/>
    <w:rsid w:val="009E12CE"/>
    <w:rsid w:val="009E1F62"/>
    <w:rsid w:val="009E4E4C"/>
    <w:rsid w:val="009E77A9"/>
    <w:rsid w:val="009F0BE4"/>
    <w:rsid w:val="00A00348"/>
    <w:rsid w:val="00A01D16"/>
    <w:rsid w:val="00A020FA"/>
    <w:rsid w:val="00A13B87"/>
    <w:rsid w:val="00A16338"/>
    <w:rsid w:val="00A16897"/>
    <w:rsid w:val="00A16EF3"/>
    <w:rsid w:val="00A16F8A"/>
    <w:rsid w:val="00A25F59"/>
    <w:rsid w:val="00A26916"/>
    <w:rsid w:val="00A3127C"/>
    <w:rsid w:val="00A34035"/>
    <w:rsid w:val="00A34E69"/>
    <w:rsid w:val="00A40F74"/>
    <w:rsid w:val="00A476DE"/>
    <w:rsid w:val="00A514FC"/>
    <w:rsid w:val="00A55178"/>
    <w:rsid w:val="00A56303"/>
    <w:rsid w:val="00A56A22"/>
    <w:rsid w:val="00A56ECF"/>
    <w:rsid w:val="00A60DE1"/>
    <w:rsid w:val="00A6664A"/>
    <w:rsid w:val="00A734DA"/>
    <w:rsid w:val="00A75416"/>
    <w:rsid w:val="00A85AF9"/>
    <w:rsid w:val="00A85BFD"/>
    <w:rsid w:val="00A86CA3"/>
    <w:rsid w:val="00A9124C"/>
    <w:rsid w:val="00A91B81"/>
    <w:rsid w:val="00A952F2"/>
    <w:rsid w:val="00A95D95"/>
    <w:rsid w:val="00AA1989"/>
    <w:rsid w:val="00AB27C4"/>
    <w:rsid w:val="00AB32CC"/>
    <w:rsid w:val="00AC03B5"/>
    <w:rsid w:val="00AC09C8"/>
    <w:rsid w:val="00AC0D61"/>
    <w:rsid w:val="00AC3ADA"/>
    <w:rsid w:val="00AC6457"/>
    <w:rsid w:val="00AC7661"/>
    <w:rsid w:val="00AC77EA"/>
    <w:rsid w:val="00AC794E"/>
    <w:rsid w:val="00AD1519"/>
    <w:rsid w:val="00AD7D2C"/>
    <w:rsid w:val="00AE48C8"/>
    <w:rsid w:val="00AE6227"/>
    <w:rsid w:val="00AF0A85"/>
    <w:rsid w:val="00AF1650"/>
    <w:rsid w:val="00AF1B8B"/>
    <w:rsid w:val="00AF1F0D"/>
    <w:rsid w:val="00AF2A17"/>
    <w:rsid w:val="00AF66F6"/>
    <w:rsid w:val="00B00576"/>
    <w:rsid w:val="00B0268D"/>
    <w:rsid w:val="00B026D1"/>
    <w:rsid w:val="00B02DDF"/>
    <w:rsid w:val="00B0418F"/>
    <w:rsid w:val="00B0428D"/>
    <w:rsid w:val="00B04AFE"/>
    <w:rsid w:val="00B050C9"/>
    <w:rsid w:val="00B11F84"/>
    <w:rsid w:val="00B12250"/>
    <w:rsid w:val="00B132E5"/>
    <w:rsid w:val="00B1570B"/>
    <w:rsid w:val="00B15921"/>
    <w:rsid w:val="00B173F7"/>
    <w:rsid w:val="00B300EE"/>
    <w:rsid w:val="00B32808"/>
    <w:rsid w:val="00B356C9"/>
    <w:rsid w:val="00B360EC"/>
    <w:rsid w:val="00B43008"/>
    <w:rsid w:val="00B4668E"/>
    <w:rsid w:val="00B50281"/>
    <w:rsid w:val="00B51109"/>
    <w:rsid w:val="00B51D70"/>
    <w:rsid w:val="00B52FB0"/>
    <w:rsid w:val="00B605D3"/>
    <w:rsid w:val="00B72BFF"/>
    <w:rsid w:val="00B74B2F"/>
    <w:rsid w:val="00B817E4"/>
    <w:rsid w:val="00B8598F"/>
    <w:rsid w:val="00B85F9B"/>
    <w:rsid w:val="00B86D6F"/>
    <w:rsid w:val="00B908BA"/>
    <w:rsid w:val="00B94B37"/>
    <w:rsid w:val="00B94CB6"/>
    <w:rsid w:val="00B950D9"/>
    <w:rsid w:val="00BA2EC1"/>
    <w:rsid w:val="00BA530E"/>
    <w:rsid w:val="00BA7523"/>
    <w:rsid w:val="00BB045D"/>
    <w:rsid w:val="00BB2F97"/>
    <w:rsid w:val="00BB44DF"/>
    <w:rsid w:val="00BB5273"/>
    <w:rsid w:val="00BB5E76"/>
    <w:rsid w:val="00BC0BDF"/>
    <w:rsid w:val="00BC51C5"/>
    <w:rsid w:val="00BC5968"/>
    <w:rsid w:val="00BC7288"/>
    <w:rsid w:val="00BD44AE"/>
    <w:rsid w:val="00BD474F"/>
    <w:rsid w:val="00BD5665"/>
    <w:rsid w:val="00BD6335"/>
    <w:rsid w:val="00BD7584"/>
    <w:rsid w:val="00BE0C2E"/>
    <w:rsid w:val="00BE2FBC"/>
    <w:rsid w:val="00BE3491"/>
    <w:rsid w:val="00BF1900"/>
    <w:rsid w:val="00BF197A"/>
    <w:rsid w:val="00BF53FD"/>
    <w:rsid w:val="00C01375"/>
    <w:rsid w:val="00C015E2"/>
    <w:rsid w:val="00C06F39"/>
    <w:rsid w:val="00C164DE"/>
    <w:rsid w:val="00C263F1"/>
    <w:rsid w:val="00C31825"/>
    <w:rsid w:val="00C35DDE"/>
    <w:rsid w:val="00C36BF0"/>
    <w:rsid w:val="00C37252"/>
    <w:rsid w:val="00C4158F"/>
    <w:rsid w:val="00C415B7"/>
    <w:rsid w:val="00C41D3B"/>
    <w:rsid w:val="00C4286B"/>
    <w:rsid w:val="00C44965"/>
    <w:rsid w:val="00C50A61"/>
    <w:rsid w:val="00C56E3A"/>
    <w:rsid w:val="00C60262"/>
    <w:rsid w:val="00C60A1E"/>
    <w:rsid w:val="00C60D17"/>
    <w:rsid w:val="00C61897"/>
    <w:rsid w:val="00C6266C"/>
    <w:rsid w:val="00C63C01"/>
    <w:rsid w:val="00C64F8A"/>
    <w:rsid w:val="00C710AF"/>
    <w:rsid w:val="00C82DDF"/>
    <w:rsid w:val="00C9005C"/>
    <w:rsid w:val="00C92C86"/>
    <w:rsid w:val="00C93F5F"/>
    <w:rsid w:val="00C952D7"/>
    <w:rsid w:val="00C959A9"/>
    <w:rsid w:val="00C96C91"/>
    <w:rsid w:val="00C976CC"/>
    <w:rsid w:val="00CA1037"/>
    <w:rsid w:val="00CA1AEB"/>
    <w:rsid w:val="00CA5707"/>
    <w:rsid w:val="00CB0A8B"/>
    <w:rsid w:val="00CB0ECD"/>
    <w:rsid w:val="00CB2FDE"/>
    <w:rsid w:val="00CB3377"/>
    <w:rsid w:val="00CB368E"/>
    <w:rsid w:val="00CB555B"/>
    <w:rsid w:val="00CC01F6"/>
    <w:rsid w:val="00CC231E"/>
    <w:rsid w:val="00CC3662"/>
    <w:rsid w:val="00CD0414"/>
    <w:rsid w:val="00CD1BC1"/>
    <w:rsid w:val="00CD1F57"/>
    <w:rsid w:val="00CD60C7"/>
    <w:rsid w:val="00CD67C0"/>
    <w:rsid w:val="00CE22EA"/>
    <w:rsid w:val="00CE26B8"/>
    <w:rsid w:val="00CE5200"/>
    <w:rsid w:val="00CF119F"/>
    <w:rsid w:val="00CF6AB5"/>
    <w:rsid w:val="00CF7570"/>
    <w:rsid w:val="00D00035"/>
    <w:rsid w:val="00D035A2"/>
    <w:rsid w:val="00D05EE2"/>
    <w:rsid w:val="00D10069"/>
    <w:rsid w:val="00D102E4"/>
    <w:rsid w:val="00D10F43"/>
    <w:rsid w:val="00D11A85"/>
    <w:rsid w:val="00D12A02"/>
    <w:rsid w:val="00D2436F"/>
    <w:rsid w:val="00D248EA"/>
    <w:rsid w:val="00D2514A"/>
    <w:rsid w:val="00D2772F"/>
    <w:rsid w:val="00D3067B"/>
    <w:rsid w:val="00D3176A"/>
    <w:rsid w:val="00D319BD"/>
    <w:rsid w:val="00D35612"/>
    <w:rsid w:val="00D359FD"/>
    <w:rsid w:val="00D35EB5"/>
    <w:rsid w:val="00D364A4"/>
    <w:rsid w:val="00D36811"/>
    <w:rsid w:val="00D37033"/>
    <w:rsid w:val="00D37E02"/>
    <w:rsid w:val="00D40CD9"/>
    <w:rsid w:val="00D43E56"/>
    <w:rsid w:val="00D45051"/>
    <w:rsid w:val="00D47699"/>
    <w:rsid w:val="00D50E73"/>
    <w:rsid w:val="00D52761"/>
    <w:rsid w:val="00D53D9E"/>
    <w:rsid w:val="00D551ED"/>
    <w:rsid w:val="00D56CC3"/>
    <w:rsid w:val="00D60EC3"/>
    <w:rsid w:val="00D61587"/>
    <w:rsid w:val="00D63282"/>
    <w:rsid w:val="00D644F7"/>
    <w:rsid w:val="00D6508C"/>
    <w:rsid w:val="00D72B13"/>
    <w:rsid w:val="00D73A3F"/>
    <w:rsid w:val="00D73BCE"/>
    <w:rsid w:val="00D73F98"/>
    <w:rsid w:val="00D765B0"/>
    <w:rsid w:val="00DA1A5E"/>
    <w:rsid w:val="00DA4C9E"/>
    <w:rsid w:val="00DA630D"/>
    <w:rsid w:val="00DA688C"/>
    <w:rsid w:val="00DA721C"/>
    <w:rsid w:val="00DB0DE9"/>
    <w:rsid w:val="00DB13CA"/>
    <w:rsid w:val="00DB7CF5"/>
    <w:rsid w:val="00DB7F02"/>
    <w:rsid w:val="00DC0F54"/>
    <w:rsid w:val="00DC136C"/>
    <w:rsid w:val="00DC1663"/>
    <w:rsid w:val="00DC6118"/>
    <w:rsid w:val="00DD73A0"/>
    <w:rsid w:val="00DE00F1"/>
    <w:rsid w:val="00DE1E7C"/>
    <w:rsid w:val="00DE2110"/>
    <w:rsid w:val="00DE2704"/>
    <w:rsid w:val="00DE2ECE"/>
    <w:rsid w:val="00DE320D"/>
    <w:rsid w:val="00DE3BF5"/>
    <w:rsid w:val="00DE417C"/>
    <w:rsid w:val="00DE608A"/>
    <w:rsid w:val="00DF3481"/>
    <w:rsid w:val="00DF465F"/>
    <w:rsid w:val="00DF5A24"/>
    <w:rsid w:val="00DF6DE7"/>
    <w:rsid w:val="00DF72A8"/>
    <w:rsid w:val="00E03AAA"/>
    <w:rsid w:val="00E03B39"/>
    <w:rsid w:val="00E077C1"/>
    <w:rsid w:val="00E07963"/>
    <w:rsid w:val="00E11240"/>
    <w:rsid w:val="00E1621C"/>
    <w:rsid w:val="00E2101E"/>
    <w:rsid w:val="00E21D68"/>
    <w:rsid w:val="00E235F7"/>
    <w:rsid w:val="00E24027"/>
    <w:rsid w:val="00E240C7"/>
    <w:rsid w:val="00E24C0A"/>
    <w:rsid w:val="00E26C8D"/>
    <w:rsid w:val="00E26EF0"/>
    <w:rsid w:val="00E270EC"/>
    <w:rsid w:val="00E3411C"/>
    <w:rsid w:val="00E35F05"/>
    <w:rsid w:val="00E510BB"/>
    <w:rsid w:val="00E539E3"/>
    <w:rsid w:val="00E54CE1"/>
    <w:rsid w:val="00E56386"/>
    <w:rsid w:val="00E62B23"/>
    <w:rsid w:val="00E652DC"/>
    <w:rsid w:val="00E654E0"/>
    <w:rsid w:val="00E72CAA"/>
    <w:rsid w:val="00E770B6"/>
    <w:rsid w:val="00E80840"/>
    <w:rsid w:val="00E808A9"/>
    <w:rsid w:val="00E81A34"/>
    <w:rsid w:val="00E851BC"/>
    <w:rsid w:val="00E91941"/>
    <w:rsid w:val="00E924E9"/>
    <w:rsid w:val="00E926A6"/>
    <w:rsid w:val="00E9338E"/>
    <w:rsid w:val="00E9675A"/>
    <w:rsid w:val="00EA16AF"/>
    <w:rsid w:val="00EA2967"/>
    <w:rsid w:val="00EA5FC7"/>
    <w:rsid w:val="00EA6E15"/>
    <w:rsid w:val="00EB511C"/>
    <w:rsid w:val="00EB6450"/>
    <w:rsid w:val="00EC0967"/>
    <w:rsid w:val="00EC1483"/>
    <w:rsid w:val="00EC3827"/>
    <w:rsid w:val="00EC5512"/>
    <w:rsid w:val="00EC750C"/>
    <w:rsid w:val="00ED09EE"/>
    <w:rsid w:val="00ED1E07"/>
    <w:rsid w:val="00ED6988"/>
    <w:rsid w:val="00ED71D8"/>
    <w:rsid w:val="00EE2764"/>
    <w:rsid w:val="00EE3282"/>
    <w:rsid w:val="00EE5447"/>
    <w:rsid w:val="00EE67CD"/>
    <w:rsid w:val="00EE6DE9"/>
    <w:rsid w:val="00EE7382"/>
    <w:rsid w:val="00EF1A91"/>
    <w:rsid w:val="00EF4488"/>
    <w:rsid w:val="00EF5423"/>
    <w:rsid w:val="00EF659A"/>
    <w:rsid w:val="00F00621"/>
    <w:rsid w:val="00F13C26"/>
    <w:rsid w:val="00F140B1"/>
    <w:rsid w:val="00F25120"/>
    <w:rsid w:val="00F251A6"/>
    <w:rsid w:val="00F279B4"/>
    <w:rsid w:val="00F27F2B"/>
    <w:rsid w:val="00F30065"/>
    <w:rsid w:val="00F3152C"/>
    <w:rsid w:val="00F32019"/>
    <w:rsid w:val="00F33E63"/>
    <w:rsid w:val="00F340BE"/>
    <w:rsid w:val="00F34CF0"/>
    <w:rsid w:val="00F35581"/>
    <w:rsid w:val="00F43274"/>
    <w:rsid w:val="00F46858"/>
    <w:rsid w:val="00F50E74"/>
    <w:rsid w:val="00F50EE1"/>
    <w:rsid w:val="00F51B2E"/>
    <w:rsid w:val="00F52374"/>
    <w:rsid w:val="00F53681"/>
    <w:rsid w:val="00F56F4C"/>
    <w:rsid w:val="00F671E9"/>
    <w:rsid w:val="00F72BA0"/>
    <w:rsid w:val="00F75C71"/>
    <w:rsid w:val="00F8077D"/>
    <w:rsid w:val="00F808D3"/>
    <w:rsid w:val="00F8467B"/>
    <w:rsid w:val="00F84863"/>
    <w:rsid w:val="00F860FA"/>
    <w:rsid w:val="00F91047"/>
    <w:rsid w:val="00F92025"/>
    <w:rsid w:val="00F9260E"/>
    <w:rsid w:val="00FA2758"/>
    <w:rsid w:val="00FA4C7B"/>
    <w:rsid w:val="00FA61E3"/>
    <w:rsid w:val="00FA6AA1"/>
    <w:rsid w:val="00FA6F0A"/>
    <w:rsid w:val="00FA7AF4"/>
    <w:rsid w:val="00FB3BFF"/>
    <w:rsid w:val="00FB5582"/>
    <w:rsid w:val="00FC09B2"/>
    <w:rsid w:val="00FC5203"/>
    <w:rsid w:val="00FD0CFB"/>
    <w:rsid w:val="00FD0F69"/>
    <w:rsid w:val="00FE0242"/>
    <w:rsid w:val="00FE0329"/>
    <w:rsid w:val="00FE4B24"/>
    <w:rsid w:val="00FF35A4"/>
    <w:rsid w:val="00FF3E74"/>
    <w:rsid w:val="00FF4C68"/>
    <w:rsid w:val="00FF584A"/>
    <w:rsid w:val="00FF5A52"/>
    <w:rsid w:val="00FF5BF3"/>
    <w:rsid w:val="00FF7A6F"/>
    <w:rsid w:val="014E155E"/>
    <w:rsid w:val="01774361"/>
    <w:rsid w:val="01B22DE6"/>
    <w:rsid w:val="01E4B084"/>
    <w:rsid w:val="01E731B0"/>
    <w:rsid w:val="02505EC6"/>
    <w:rsid w:val="025C44AA"/>
    <w:rsid w:val="02C62D72"/>
    <w:rsid w:val="02EC7B5A"/>
    <w:rsid w:val="02F1480E"/>
    <w:rsid w:val="0358A9D5"/>
    <w:rsid w:val="03A8FB29"/>
    <w:rsid w:val="04B6DE61"/>
    <w:rsid w:val="050E3855"/>
    <w:rsid w:val="0567E120"/>
    <w:rsid w:val="05B16426"/>
    <w:rsid w:val="05BB0114"/>
    <w:rsid w:val="05C25AAA"/>
    <w:rsid w:val="06195F36"/>
    <w:rsid w:val="063CA543"/>
    <w:rsid w:val="06E880A7"/>
    <w:rsid w:val="0710DB0C"/>
    <w:rsid w:val="076D075F"/>
    <w:rsid w:val="07B3F912"/>
    <w:rsid w:val="07E5884A"/>
    <w:rsid w:val="08B96523"/>
    <w:rsid w:val="08E3406B"/>
    <w:rsid w:val="08FDA73D"/>
    <w:rsid w:val="099F0B0E"/>
    <w:rsid w:val="09C0B694"/>
    <w:rsid w:val="09E4B6B3"/>
    <w:rsid w:val="0A4ACD9D"/>
    <w:rsid w:val="0A972F68"/>
    <w:rsid w:val="0AD19996"/>
    <w:rsid w:val="0AD2C619"/>
    <w:rsid w:val="0B0B9C41"/>
    <w:rsid w:val="0B2E267E"/>
    <w:rsid w:val="0B4C0EAE"/>
    <w:rsid w:val="0B6936C7"/>
    <w:rsid w:val="0B9C7ED1"/>
    <w:rsid w:val="0C12613E"/>
    <w:rsid w:val="0C7718EF"/>
    <w:rsid w:val="0CB5DF82"/>
    <w:rsid w:val="0CE50978"/>
    <w:rsid w:val="0E070F8B"/>
    <w:rsid w:val="0E44D0A2"/>
    <w:rsid w:val="0E8CD5FB"/>
    <w:rsid w:val="0EBBCCA3"/>
    <w:rsid w:val="0EE031FF"/>
    <w:rsid w:val="0F12F41A"/>
    <w:rsid w:val="0F1ABAFC"/>
    <w:rsid w:val="0F737B72"/>
    <w:rsid w:val="0FDF4369"/>
    <w:rsid w:val="1054D6F4"/>
    <w:rsid w:val="10887953"/>
    <w:rsid w:val="10D4C315"/>
    <w:rsid w:val="11030036"/>
    <w:rsid w:val="1134870C"/>
    <w:rsid w:val="11478849"/>
    <w:rsid w:val="1150673F"/>
    <w:rsid w:val="117AFA7A"/>
    <w:rsid w:val="11BF978B"/>
    <w:rsid w:val="11D3CAC7"/>
    <w:rsid w:val="11F70F4E"/>
    <w:rsid w:val="1205457C"/>
    <w:rsid w:val="12090FC7"/>
    <w:rsid w:val="126ABA7F"/>
    <w:rsid w:val="128993B6"/>
    <w:rsid w:val="145E6C50"/>
    <w:rsid w:val="147AE350"/>
    <w:rsid w:val="14BD386E"/>
    <w:rsid w:val="14C59F9E"/>
    <w:rsid w:val="14DB9477"/>
    <w:rsid w:val="14FBAA78"/>
    <w:rsid w:val="1644744B"/>
    <w:rsid w:val="170E9507"/>
    <w:rsid w:val="1711A5B2"/>
    <w:rsid w:val="17CB7131"/>
    <w:rsid w:val="17CF3924"/>
    <w:rsid w:val="17ECF013"/>
    <w:rsid w:val="18AEA751"/>
    <w:rsid w:val="18B14F94"/>
    <w:rsid w:val="192BE5CB"/>
    <w:rsid w:val="195FEFF3"/>
    <w:rsid w:val="198B1C18"/>
    <w:rsid w:val="198CC4DF"/>
    <w:rsid w:val="1A19DF51"/>
    <w:rsid w:val="1A689B9B"/>
    <w:rsid w:val="1A8A39F9"/>
    <w:rsid w:val="1A90856E"/>
    <w:rsid w:val="1AAD55A3"/>
    <w:rsid w:val="1AEF2AEC"/>
    <w:rsid w:val="1B88CD3E"/>
    <w:rsid w:val="1B981E7F"/>
    <w:rsid w:val="1BB990AD"/>
    <w:rsid w:val="1BC36F2E"/>
    <w:rsid w:val="1C1239D8"/>
    <w:rsid w:val="1C2F8FB9"/>
    <w:rsid w:val="1C414F5A"/>
    <w:rsid w:val="1C45F9D4"/>
    <w:rsid w:val="1CF06D93"/>
    <w:rsid w:val="1CFB4CE1"/>
    <w:rsid w:val="1D125415"/>
    <w:rsid w:val="1D377F5C"/>
    <w:rsid w:val="1D65B9DA"/>
    <w:rsid w:val="1DE63C73"/>
    <w:rsid w:val="1DFE631E"/>
    <w:rsid w:val="1DFE6C92"/>
    <w:rsid w:val="1E35E0C8"/>
    <w:rsid w:val="1E5F5CF5"/>
    <w:rsid w:val="1EB71DD0"/>
    <w:rsid w:val="1EDB83B1"/>
    <w:rsid w:val="1F03DA1A"/>
    <w:rsid w:val="1F7E376A"/>
    <w:rsid w:val="1FAF0518"/>
    <w:rsid w:val="1FEA6F2B"/>
    <w:rsid w:val="1FF92755"/>
    <w:rsid w:val="202FFDE8"/>
    <w:rsid w:val="20ADE24C"/>
    <w:rsid w:val="20E79083"/>
    <w:rsid w:val="213F9723"/>
    <w:rsid w:val="21A10CE8"/>
    <w:rsid w:val="21BC0A05"/>
    <w:rsid w:val="22340567"/>
    <w:rsid w:val="2268C3A9"/>
    <w:rsid w:val="2299DFD5"/>
    <w:rsid w:val="22B19DBA"/>
    <w:rsid w:val="22CAF2DA"/>
    <w:rsid w:val="22D5EC66"/>
    <w:rsid w:val="230DB69F"/>
    <w:rsid w:val="232B4F22"/>
    <w:rsid w:val="2350F6E1"/>
    <w:rsid w:val="23805DB2"/>
    <w:rsid w:val="23A03488"/>
    <w:rsid w:val="246E3502"/>
    <w:rsid w:val="24CF5B6F"/>
    <w:rsid w:val="257C226C"/>
    <w:rsid w:val="258B0924"/>
    <w:rsid w:val="25CB59D2"/>
    <w:rsid w:val="25D8DCE7"/>
    <w:rsid w:val="2614D93B"/>
    <w:rsid w:val="2698CE75"/>
    <w:rsid w:val="269BF439"/>
    <w:rsid w:val="26A5ED3E"/>
    <w:rsid w:val="26D88C0A"/>
    <w:rsid w:val="26FB50B6"/>
    <w:rsid w:val="275B83C8"/>
    <w:rsid w:val="2770DEA9"/>
    <w:rsid w:val="27A19016"/>
    <w:rsid w:val="27B74916"/>
    <w:rsid w:val="280BAEA8"/>
    <w:rsid w:val="2829FC24"/>
    <w:rsid w:val="284C91D4"/>
    <w:rsid w:val="28709913"/>
    <w:rsid w:val="28800223"/>
    <w:rsid w:val="288301C1"/>
    <w:rsid w:val="289FABD2"/>
    <w:rsid w:val="28FA1BAF"/>
    <w:rsid w:val="29A1F51C"/>
    <w:rsid w:val="29A27EEE"/>
    <w:rsid w:val="29B5B996"/>
    <w:rsid w:val="29C27A21"/>
    <w:rsid w:val="29E10F64"/>
    <w:rsid w:val="2A64E3C2"/>
    <w:rsid w:val="2A8350CE"/>
    <w:rsid w:val="2B3431CA"/>
    <w:rsid w:val="2BAF5770"/>
    <w:rsid w:val="2BC24A07"/>
    <w:rsid w:val="2BC773E2"/>
    <w:rsid w:val="2BD764F3"/>
    <w:rsid w:val="2CFE4115"/>
    <w:rsid w:val="2D0A72B1"/>
    <w:rsid w:val="2D4D9434"/>
    <w:rsid w:val="2D90B1D5"/>
    <w:rsid w:val="2EB6A755"/>
    <w:rsid w:val="2F05B958"/>
    <w:rsid w:val="2FA2674F"/>
    <w:rsid w:val="30CD7FFE"/>
    <w:rsid w:val="30E002D1"/>
    <w:rsid w:val="30F6B14D"/>
    <w:rsid w:val="31944524"/>
    <w:rsid w:val="3233B10A"/>
    <w:rsid w:val="32955734"/>
    <w:rsid w:val="32A4CE3F"/>
    <w:rsid w:val="32B82145"/>
    <w:rsid w:val="331DA5A8"/>
    <w:rsid w:val="338281EE"/>
    <w:rsid w:val="339A8E6D"/>
    <w:rsid w:val="33AB0262"/>
    <w:rsid w:val="33FADA3B"/>
    <w:rsid w:val="340C35A3"/>
    <w:rsid w:val="3448A0FF"/>
    <w:rsid w:val="3476D85D"/>
    <w:rsid w:val="349F1E85"/>
    <w:rsid w:val="35282A75"/>
    <w:rsid w:val="35E335C9"/>
    <w:rsid w:val="35E78365"/>
    <w:rsid w:val="363CD064"/>
    <w:rsid w:val="3666849A"/>
    <w:rsid w:val="368DD7ED"/>
    <w:rsid w:val="36DB366D"/>
    <w:rsid w:val="373338F8"/>
    <w:rsid w:val="37607BD2"/>
    <w:rsid w:val="37CB107B"/>
    <w:rsid w:val="37E5EFB3"/>
    <w:rsid w:val="383AC42F"/>
    <w:rsid w:val="389D57BE"/>
    <w:rsid w:val="38FC2287"/>
    <w:rsid w:val="399EFD89"/>
    <w:rsid w:val="39EA450E"/>
    <w:rsid w:val="3A33102F"/>
    <w:rsid w:val="3BA8BC6E"/>
    <w:rsid w:val="3BB29E56"/>
    <w:rsid w:val="3BE3DE01"/>
    <w:rsid w:val="3BF19581"/>
    <w:rsid w:val="3CDA4A05"/>
    <w:rsid w:val="3DA239E6"/>
    <w:rsid w:val="3DC2D3A1"/>
    <w:rsid w:val="3DD60C49"/>
    <w:rsid w:val="3DE49B06"/>
    <w:rsid w:val="3E01C1D7"/>
    <w:rsid w:val="3E10465E"/>
    <w:rsid w:val="3E7D267D"/>
    <w:rsid w:val="3EA24002"/>
    <w:rsid w:val="3EE436D2"/>
    <w:rsid w:val="3EEDA907"/>
    <w:rsid w:val="3FAA3C2F"/>
    <w:rsid w:val="3FFFFF80"/>
    <w:rsid w:val="402A074E"/>
    <w:rsid w:val="40577CD0"/>
    <w:rsid w:val="40853F86"/>
    <w:rsid w:val="408B8E15"/>
    <w:rsid w:val="40E41CA7"/>
    <w:rsid w:val="410C2934"/>
    <w:rsid w:val="41168E9D"/>
    <w:rsid w:val="41659806"/>
    <w:rsid w:val="41E0D52E"/>
    <w:rsid w:val="42B90146"/>
    <w:rsid w:val="42EEDF37"/>
    <w:rsid w:val="432A614D"/>
    <w:rsid w:val="4361245B"/>
    <w:rsid w:val="43805A9C"/>
    <w:rsid w:val="44070C48"/>
    <w:rsid w:val="4442F62B"/>
    <w:rsid w:val="4498C5D9"/>
    <w:rsid w:val="44A25BB8"/>
    <w:rsid w:val="44EDDF56"/>
    <w:rsid w:val="4645A62E"/>
    <w:rsid w:val="464D4E45"/>
    <w:rsid w:val="4659EC14"/>
    <w:rsid w:val="46921604"/>
    <w:rsid w:val="4697103A"/>
    <w:rsid w:val="470E22B3"/>
    <w:rsid w:val="4750E11E"/>
    <w:rsid w:val="47EC445A"/>
    <w:rsid w:val="48E6055B"/>
    <w:rsid w:val="48F2379B"/>
    <w:rsid w:val="4937BD75"/>
    <w:rsid w:val="49FF282F"/>
    <w:rsid w:val="4A158CDF"/>
    <w:rsid w:val="4A4AA52B"/>
    <w:rsid w:val="4AC6B5BE"/>
    <w:rsid w:val="4B193805"/>
    <w:rsid w:val="4B4D719E"/>
    <w:rsid w:val="4B68B6E1"/>
    <w:rsid w:val="4B8E3E35"/>
    <w:rsid w:val="4BFEC55A"/>
    <w:rsid w:val="4C418B4F"/>
    <w:rsid w:val="4C642F8B"/>
    <w:rsid w:val="4CBA4D40"/>
    <w:rsid w:val="4CC2C5DC"/>
    <w:rsid w:val="4CD384F7"/>
    <w:rsid w:val="4CED3623"/>
    <w:rsid w:val="4D330AF5"/>
    <w:rsid w:val="4D6100FB"/>
    <w:rsid w:val="4DC651DC"/>
    <w:rsid w:val="4E13A5E6"/>
    <w:rsid w:val="4E3484C0"/>
    <w:rsid w:val="4E437F82"/>
    <w:rsid w:val="4E60D9BC"/>
    <w:rsid w:val="4EAFD775"/>
    <w:rsid w:val="4ED5D226"/>
    <w:rsid w:val="4EE5A9BE"/>
    <w:rsid w:val="4F71AE83"/>
    <w:rsid w:val="4FB12FC2"/>
    <w:rsid w:val="5031CD09"/>
    <w:rsid w:val="50501C7E"/>
    <w:rsid w:val="5077B007"/>
    <w:rsid w:val="50971095"/>
    <w:rsid w:val="50A5B749"/>
    <w:rsid w:val="50B5EE05"/>
    <w:rsid w:val="5117C02D"/>
    <w:rsid w:val="51C9B9A9"/>
    <w:rsid w:val="51E32F55"/>
    <w:rsid w:val="51FCF7BD"/>
    <w:rsid w:val="52C46BBB"/>
    <w:rsid w:val="5320A2B8"/>
    <w:rsid w:val="53635529"/>
    <w:rsid w:val="53985CDD"/>
    <w:rsid w:val="54161229"/>
    <w:rsid w:val="545B7C6B"/>
    <w:rsid w:val="546BDDA9"/>
    <w:rsid w:val="54D82DBE"/>
    <w:rsid w:val="55388B8B"/>
    <w:rsid w:val="55E68F87"/>
    <w:rsid w:val="56517D5A"/>
    <w:rsid w:val="5683C647"/>
    <w:rsid w:val="56A47227"/>
    <w:rsid w:val="56ADF67E"/>
    <w:rsid w:val="56FFC8BE"/>
    <w:rsid w:val="5820BD19"/>
    <w:rsid w:val="5845DA3C"/>
    <w:rsid w:val="58AC0D55"/>
    <w:rsid w:val="58B4783A"/>
    <w:rsid w:val="58C66018"/>
    <w:rsid w:val="58F2A78C"/>
    <w:rsid w:val="58FEA081"/>
    <w:rsid w:val="592FE9DE"/>
    <w:rsid w:val="59783B60"/>
    <w:rsid w:val="5A19A082"/>
    <w:rsid w:val="5A431CC2"/>
    <w:rsid w:val="5A730851"/>
    <w:rsid w:val="5ADCFD1A"/>
    <w:rsid w:val="5ADDD79F"/>
    <w:rsid w:val="5BEB2016"/>
    <w:rsid w:val="5C033E39"/>
    <w:rsid w:val="5C700B93"/>
    <w:rsid w:val="5C9A1D81"/>
    <w:rsid w:val="5D9DCF18"/>
    <w:rsid w:val="5DE05275"/>
    <w:rsid w:val="5E15920A"/>
    <w:rsid w:val="5EB0F0F1"/>
    <w:rsid w:val="5EB20F49"/>
    <w:rsid w:val="5EBF159C"/>
    <w:rsid w:val="5EC3D0C2"/>
    <w:rsid w:val="5ECF4531"/>
    <w:rsid w:val="5F733FB3"/>
    <w:rsid w:val="5F847B71"/>
    <w:rsid w:val="5FAFF949"/>
    <w:rsid w:val="5FB5B962"/>
    <w:rsid w:val="5FF6BB0F"/>
    <w:rsid w:val="606F56CF"/>
    <w:rsid w:val="60D80F8D"/>
    <w:rsid w:val="60DE7D99"/>
    <w:rsid w:val="61226CF1"/>
    <w:rsid w:val="617392EE"/>
    <w:rsid w:val="62069CAA"/>
    <w:rsid w:val="6207E635"/>
    <w:rsid w:val="6264DA1D"/>
    <w:rsid w:val="62A9F1AC"/>
    <w:rsid w:val="62AD2B6F"/>
    <w:rsid w:val="63185ED6"/>
    <w:rsid w:val="63508C3A"/>
    <w:rsid w:val="63E11366"/>
    <w:rsid w:val="642CEECE"/>
    <w:rsid w:val="64507296"/>
    <w:rsid w:val="6455034D"/>
    <w:rsid w:val="645EF166"/>
    <w:rsid w:val="64643DF4"/>
    <w:rsid w:val="647DC6F5"/>
    <w:rsid w:val="6548A1FB"/>
    <w:rsid w:val="65584481"/>
    <w:rsid w:val="65881830"/>
    <w:rsid w:val="65C975F7"/>
    <w:rsid w:val="65CD550B"/>
    <w:rsid w:val="65D72F9A"/>
    <w:rsid w:val="6607C4AC"/>
    <w:rsid w:val="6652444E"/>
    <w:rsid w:val="66A68937"/>
    <w:rsid w:val="673E390A"/>
    <w:rsid w:val="6773B3B9"/>
    <w:rsid w:val="67E6C2C1"/>
    <w:rsid w:val="681DD97C"/>
    <w:rsid w:val="688FB263"/>
    <w:rsid w:val="689BE229"/>
    <w:rsid w:val="68B19B37"/>
    <w:rsid w:val="68B7864B"/>
    <w:rsid w:val="68B8B54A"/>
    <w:rsid w:val="691FBFFC"/>
    <w:rsid w:val="6933398D"/>
    <w:rsid w:val="6937FC9C"/>
    <w:rsid w:val="6938B1AD"/>
    <w:rsid w:val="695E479B"/>
    <w:rsid w:val="69A1C1E6"/>
    <w:rsid w:val="69C96EAA"/>
    <w:rsid w:val="6A1849FA"/>
    <w:rsid w:val="6A4791A5"/>
    <w:rsid w:val="6A7E495C"/>
    <w:rsid w:val="6B80692A"/>
    <w:rsid w:val="6B83C830"/>
    <w:rsid w:val="6BA1CDEE"/>
    <w:rsid w:val="6C32FBFD"/>
    <w:rsid w:val="6C9170E8"/>
    <w:rsid w:val="6D482D6C"/>
    <w:rsid w:val="6D7133F6"/>
    <w:rsid w:val="6D944670"/>
    <w:rsid w:val="6DA3519F"/>
    <w:rsid w:val="6DC94EBF"/>
    <w:rsid w:val="6DF0E549"/>
    <w:rsid w:val="6E4298AD"/>
    <w:rsid w:val="6E4983F8"/>
    <w:rsid w:val="6E9C388F"/>
    <w:rsid w:val="6EA8FFEF"/>
    <w:rsid w:val="6ED8BEC4"/>
    <w:rsid w:val="6F86C377"/>
    <w:rsid w:val="6FF56B2D"/>
    <w:rsid w:val="7012AEF9"/>
    <w:rsid w:val="705CEBEB"/>
    <w:rsid w:val="711C9EEF"/>
    <w:rsid w:val="7127742B"/>
    <w:rsid w:val="718F15E1"/>
    <w:rsid w:val="72372BB9"/>
    <w:rsid w:val="725D999A"/>
    <w:rsid w:val="729EFECC"/>
    <w:rsid w:val="72C1BE44"/>
    <w:rsid w:val="72C4C00D"/>
    <w:rsid w:val="7391D953"/>
    <w:rsid w:val="73A663E7"/>
    <w:rsid w:val="7458AB3A"/>
    <w:rsid w:val="74CFA1B4"/>
    <w:rsid w:val="753A3F40"/>
    <w:rsid w:val="755F0708"/>
    <w:rsid w:val="75835A0A"/>
    <w:rsid w:val="75AC875E"/>
    <w:rsid w:val="75C7965E"/>
    <w:rsid w:val="75C8D601"/>
    <w:rsid w:val="75DA082C"/>
    <w:rsid w:val="768B2FDC"/>
    <w:rsid w:val="76B6292C"/>
    <w:rsid w:val="771B29FC"/>
    <w:rsid w:val="77352A57"/>
    <w:rsid w:val="77501E77"/>
    <w:rsid w:val="7750ED6F"/>
    <w:rsid w:val="77675F48"/>
    <w:rsid w:val="778B709D"/>
    <w:rsid w:val="77B5D42C"/>
    <w:rsid w:val="77D8B02D"/>
    <w:rsid w:val="77F6B8FC"/>
    <w:rsid w:val="7800EEA3"/>
    <w:rsid w:val="78279447"/>
    <w:rsid w:val="7854F2F2"/>
    <w:rsid w:val="793529EF"/>
    <w:rsid w:val="798CF28C"/>
    <w:rsid w:val="79ADD797"/>
    <w:rsid w:val="79B8E02F"/>
    <w:rsid w:val="79BA05AA"/>
    <w:rsid w:val="79CB5A7B"/>
    <w:rsid w:val="7A2A4110"/>
    <w:rsid w:val="7A4E4E27"/>
    <w:rsid w:val="7A71AFEC"/>
    <w:rsid w:val="7A9172EF"/>
    <w:rsid w:val="7AAA3395"/>
    <w:rsid w:val="7B051D56"/>
    <w:rsid w:val="7B055D35"/>
    <w:rsid w:val="7B809C9A"/>
    <w:rsid w:val="7B972D91"/>
    <w:rsid w:val="7BC69E9A"/>
    <w:rsid w:val="7BCE137C"/>
    <w:rsid w:val="7BF22DB7"/>
    <w:rsid w:val="7C1E2594"/>
    <w:rsid w:val="7C3E4B83"/>
    <w:rsid w:val="7C87DF21"/>
    <w:rsid w:val="7C9BA56F"/>
    <w:rsid w:val="7D36A77F"/>
    <w:rsid w:val="7D5F1A9F"/>
    <w:rsid w:val="7D7989DD"/>
    <w:rsid w:val="7DBA7F9F"/>
    <w:rsid w:val="7E1CBDF7"/>
    <w:rsid w:val="7E21A26E"/>
    <w:rsid w:val="7E380C67"/>
    <w:rsid w:val="7EB4396F"/>
    <w:rsid w:val="7EFACA4A"/>
    <w:rsid w:val="7F0BF4F7"/>
    <w:rsid w:val="7F0FC904"/>
    <w:rsid w:val="7F8EB5E8"/>
    <w:rsid w:val="7F9AA13A"/>
    <w:rsid w:val="7FA72B9C"/>
    <w:rsid w:val="7FCB5DD1"/>
    <w:rsid w:val="7FDE5AA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C27E8"/>
  <w15:chartTrackingRefBased/>
  <w15:docId w15:val="{607C1C4C-F092-4D15-95FD-AB7FDBF4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1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1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1AC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1AC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1AC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1AC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1AC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1AC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1AC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1AC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1AC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1AC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1AC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1AC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1AC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1AC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1AC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1AC7"/>
    <w:rPr>
      <w:rFonts w:eastAsiaTheme="majorEastAsia" w:cstheme="majorBidi"/>
      <w:color w:val="272727" w:themeColor="text1" w:themeTint="D8"/>
    </w:rPr>
  </w:style>
  <w:style w:type="paragraph" w:styleId="Ttulo">
    <w:name w:val="Title"/>
    <w:basedOn w:val="Normal"/>
    <w:next w:val="Normal"/>
    <w:link w:val="TtuloCar"/>
    <w:uiPriority w:val="10"/>
    <w:qFormat/>
    <w:rsid w:val="003F1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1A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1AC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1AC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1AC7"/>
    <w:pPr>
      <w:spacing w:before="160"/>
      <w:jc w:val="center"/>
    </w:pPr>
    <w:rPr>
      <w:i/>
      <w:iCs/>
      <w:color w:val="404040" w:themeColor="text1" w:themeTint="BF"/>
    </w:rPr>
  </w:style>
  <w:style w:type="character" w:customStyle="1" w:styleId="CitaCar">
    <w:name w:val="Cita Car"/>
    <w:basedOn w:val="Fuentedeprrafopredeter"/>
    <w:link w:val="Cita"/>
    <w:uiPriority w:val="29"/>
    <w:rsid w:val="003F1AC7"/>
    <w:rPr>
      <w:i/>
      <w:iCs/>
      <w:color w:val="404040" w:themeColor="text1" w:themeTint="BF"/>
    </w:rPr>
  </w:style>
  <w:style w:type="paragraph" w:styleId="Prrafodelista">
    <w:name w:val="List Paragraph"/>
    <w:basedOn w:val="Normal"/>
    <w:uiPriority w:val="34"/>
    <w:qFormat/>
    <w:rsid w:val="003F1AC7"/>
    <w:pPr>
      <w:ind w:left="720"/>
      <w:contextualSpacing/>
    </w:pPr>
  </w:style>
  <w:style w:type="character" w:styleId="nfasisintenso">
    <w:name w:val="Intense Emphasis"/>
    <w:basedOn w:val="Fuentedeprrafopredeter"/>
    <w:uiPriority w:val="21"/>
    <w:qFormat/>
    <w:rsid w:val="003F1AC7"/>
    <w:rPr>
      <w:i/>
      <w:iCs/>
      <w:color w:val="0F4761" w:themeColor="accent1" w:themeShade="BF"/>
    </w:rPr>
  </w:style>
  <w:style w:type="paragraph" w:styleId="Citadestacada">
    <w:name w:val="Intense Quote"/>
    <w:basedOn w:val="Normal"/>
    <w:next w:val="Normal"/>
    <w:link w:val="CitadestacadaCar"/>
    <w:uiPriority w:val="30"/>
    <w:qFormat/>
    <w:rsid w:val="003F1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1AC7"/>
    <w:rPr>
      <w:i/>
      <w:iCs/>
      <w:color w:val="0F4761" w:themeColor="accent1" w:themeShade="BF"/>
    </w:rPr>
  </w:style>
  <w:style w:type="character" w:styleId="Referenciaintensa">
    <w:name w:val="Intense Reference"/>
    <w:basedOn w:val="Fuentedeprrafopredeter"/>
    <w:uiPriority w:val="32"/>
    <w:qFormat/>
    <w:rsid w:val="003F1AC7"/>
    <w:rPr>
      <w:b/>
      <w:bCs/>
      <w:smallCaps/>
      <w:color w:val="0F4761" w:themeColor="accent1" w:themeShade="BF"/>
      <w:spacing w:val="5"/>
    </w:rPr>
  </w:style>
  <w:style w:type="character" w:styleId="Refdecomentario">
    <w:name w:val="annotation reference"/>
    <w:basedOn w:val="Fuentedeprrafopredeter"/>
    <w:uiPriority w:val="99"/>
    <w:semiHidden/>
    <w:unhideWhenUsed/>
    <w:rsid w:val="00DE417C"/>
    <w:rPr>
      <w:sz w:val="16"/>
      <w:szCs w:val="16"/>
    </w:rPr>
  </w:style>
  <w:style w:type="paragraph" w:styleId="Textocomentario">
    <w:name w:val="annotation text"/>
    <w:basedOn w:val="Normal"/>
    <w:link w:val="TextocomentarioCar"/>
    <w:uiPriority w:val="99"/>
    <w:unhideWhenUsed/>
    <w:rsid w:val="00DE417C"/>
    <w:pPr>
      <w:spacing w:line="240" w:lineRule="auto"/>
    </w:pPr>
    <w:rPr>
      <w:sz w:val="20"/>
      <w:szCs w:val="20"/>
    </w:rPr>
  </w:style>
  <w:style w:type="character" w:customStyle="1" w:styleId="TextocomentarioCar">
    <w:name w:val="Texto comentario Car"/>
    <w:basedOn w:val="Fuentedeprrafopredeter"/>
    <w:link w:val="Textocomentario"/>
    <w:uiPriority w:val="99"/>
    <w:rsid w:val="00DE417C"/>
    <w:rPr>
      <w:sz w:val="20"/>
      <w:szCs w:val="20"/>
    </w:rPr>
  </w:style>
  <w:style w:type="paragraph" w:styleId="Asuntodelcomentario">
    <w:name w:val="annotation subject"/>
    <w:basedOn w:val="Textocomentario"/>
    <w:next w:val="Textocomentario"/>
    <w:link w:val="AsuntodelcomentarioCar"/>
    <w:uiPriority w:val="99"/>
    <w:semiHidden/>
    <w:unhideWhenUsed/>
    <w:rsid w:val="00DE417C"/>
    <w:rPr>
      <w:b/>
      <w:bCs/>
    </w:rPr>
  </w:style>
  <w:style w:type="character" w:customStyle="1" w:styleId="AsuntodelcomentarioCar">
    <w:name w:val="Asunto del comentario Car"/>
    <w:basedOn w:val="TextocomentarioCar"/>
    <w:link w:val="Asuntodelcomentario"/>
    <w:uiPriority w:val="99"/>
    <w:semiHidden/>
    <w:rsid w:val="00DE417C"/>
    <w:rPr>
      <w:b/>
      <w:bCs/>
      <w:sz w:val="20"/>
      <w:szCs w:val="20"/>
    </w:rPr>
  </w:style>
  <w:style w:type="character" w:styleId="Nmerodelnea">
    <w:name w:val="line number"/>
    <w:basedOn w:val="Fuentedeprrafopredeter"/>
    <w:uiPriority w:val="99"/>
    <w:semiHidden/>
    <w:unhideWhenUsed/>
    <w:rsid w:val="00236EAB"/>
  </w:style>
  <w:style w:type="paragraph" w:styleId="Bibliografa">
    <w:name w:val="Bibliography"/>
    <w:basedOn w:val="Normal"/>
    <w:next w:val="Normal"/>
    <w:uiPriority w:val="37"/>
    <w:unhideWhenUsed/>
    <w:rsid w:val="009C6141"/>
  </w:style>
  <w:style w:type="character" w:styleId="Hipervnculo">
    <w:name w:val="Hyperlink"/>
    <w:basedOn w:val="Fuentedeprrafopredeter"/>
    <w:uiPriority w:val="99"/>
    <w:unhideWhenUsed/>
    <w:rsid w:val="005503A1"/>
    <w:rPr>
      <w:color w:val="467886" w:themeColor="hyperlink"/>
      <w:u w:val="single"/>
    </w:rPr>
  </w:style>
  <w:style w:type="character" w:styleId="Mencinsinresolver">
    <w:name w:val="Unresolved Mention"/>
    <w:basedOn w:val="Fuentedeprrafopredeter"/>
    <w:uiPriority w:val="99"/>
    <w:semiHidden/>
    <w:unhideWhenUsed/>
    <w:rsid w:val="005503A1"/>
    <w:rPr>
      <w:color w:val="605E5C"/>
      <w:shd w:val="clear" w:color="auto" w:fill="E1DFDD"/>
    </w:rPr>
  </w:style>
  <w:style w:type="paragraph" w:styleId="Revisin">
    <w:name w:val="Revision"/>
    <w:hidden/>
    <w:uiPriority w:val="99"/>
    <w:semiHidden/>
    <w:rsid w:val="005503A1"/>
    <w:pPr>
      <w:spacing w:after="0" w:line="240" w:lineRule="auto"/>
    </w:pPr>
  </w:style>
  <w:style w:type="table" w:styleId="Tablaconcuadrcula">
    <w:name w:val="Table Grid"/>
    <w:basedOn w:val="Tablanormal"/>
    <w:uiPriority w:val="39"/>
    <w:rsid w:val="008F50C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9C6EBD"/>
    <w:pPr>
      <w:spacing w:after="0" w:line="240" w:lineRule="auto"/>
    </w:pPr>
    <w:rPr>
      <w:lang w:val="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77974">
      <w:bodyDiv w:val="1"/>
      <w:marLeft w:val="0"/>
      <w:marRight w:val="0"/>
      <w:marTop w:val="0"/>
      <w:marBottom w:val="0"/>
      <w:divBdr>
        <w:top w:val="none" w:sz="0" w:space="0" w:color="auto"/>
        <w:left w:val="none" w:sz="0" w:space="0" w:color="auto"/>
        <w:bottom w:val="none" w:sz="0" w:space="0" w:color="auto"/>
        <w:right w:val="none" w:sz="0" w:space="0" w:color="auto"/>
      </w:divBdr>
    </w:div>
    <w:div w:id="162326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tiff"/><Relationship Id="rId4" Type="http://schemas.openxmlformats.org/officeDocument/2006/relationships/customXml" Target="../customXml/item4.xml"/><Relationship Id="rId9"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F83E2A743B5D4BA09E7DA13EE6A7C9" ma:contentTypeVersion="19" ma:contentTypeDescription="Create a new document." ma:contentTypeScope="" ma:versionID="d0bdf451b49f10ae0c9b2da6fb14a777">
  <xsd:schema xmlns:xsd="http://www.w3.org/2001/XMLSchema" xmlns:xs="http://www.w3.org/2001/XMLSchema" xmlns:p="http://schemas.microsoft.com/office/2006/metadata/properties" xmlns:ns2="4ae67289-6f8b-4c52-898b-24920e7c1e74" xmlns:ns3="0e4dae06-90d7-4b7c-b781-ca140ac3eb48" targetNamespace="http://schemas.microsoft.com/office/2006/metadata/properties" ma:root="true" ma:fieldsID="d661a153d087056ae166ddabfbcc8c4e" ns2:_="" ns3:_="">
    <xsd:import namespace="4ae67289-6f8b-4c52-898b-24920e7c1e74"/>
    <xsd:import namespace="0e4dae06-90d7-4b7c-b781-ca140ac3eb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67289-6f8b-4c52-898b-24920e7c1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540004-d403-45e8-a1d8-a4f36aa253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dae06-90d7-4b7c-b781-ca140ac3eb4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5c5062-f1c7-44b4-a2e8-693b42a7dccf}" ma:internalName="TaxCatchAll" ma:showField="CatchAllData" ma:web="0e4dae06-90d7-4b7c-b781-ca140ac3e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e4dae06-90d7-4b7c-b781-ca140ac3eb48" xsi:nil="true"/>
    <lcf76f155ced4ddcb4097134ff3c332f xmlns="4ae67289-6f8b-4c52-898b-24920e7c1e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B7DEC-7151-4723-97CC-BC5BDBB4AC91}">
  <ds:schemaRefs>
    <ds:schemaRef ds:uri="http://schemas.openxmlformats.org/officeDocument/2006/bibliography"/>
  </ds:schemaRefs>
</ds:datastoreItem>
</file>

<file path=customXml/itemProps2.xml><?xml version="1.0" encoding="utf-8"?>
<ds:datastoreItem xmlns:ds="http://schemas.openxmlformats.org/officeDocument/2006/customXml" ds:itemID="{51130562-BD93-4F58-993E-9753E33C84F1}">
  <ds:schemaRefs>
    <ds:schemaRef ds:uri="http://schemas.microsoft.com/sharepoint/v3/contenttype/forms"/>
  </ds:schemaRefs>
</ds:datastoreItem>
</file>

<file path=customXml/itemProps3.xml><?xml version="1.0" encoding="utf-8"?>
<ds:datastoreItem xmlns:ds="http://schemas.openxmlformats.org/officeDocument/2006/customXml" ds:itemID="{39DAC803-935F-4C6C-8605-10F1A2197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67289-6f8b-4c52-898b-24920e7c1e74"/>
    <ds:schemaRef ds:uri="0e4dae06-90d7-4b7c-b781-ca140ac3e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4BC94C-5EEA-4330-850B-AA57C71EE8FE}">
  <ds:schemaRefs>
    <ds:schemaRef ds:uri="http://schemas.microsoft.com/office/2006/metadata/properties"/>
    <ds:schemaRef ds:uri="http://schemas.microsoft.com/office/infopath/2007/PartnerControls"/>
    <ds:schemaRef ds:uri="0e4dae06-90d7-4b7c-b781-ca140ac3eb48"/>
    <ds:schemaRef ds:uri="4ae67289-6f8b-4c52-898b-24920e7c1e74"/>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10</Pages>
  <Words>2615</Words>
  <Characters>14912</Characters>
  <Application>Microsoft Office Word</Application>
  <DocSecurity>0</DocSecurity>
  <Lines>124</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Contreras Gómez</dc:creator>
  <cp:keywords/>
  <dc:description/>
  <cp:lastModifiedBy>Marisa Delgado Dolset</cp:lastModifiedBy>
  <cp:revision>97</cp:revision>
  <dcterms:created xsi:type="dcterms:W3CDTF">2026-01-21T15:00:00Z</dcterms:created>
  <dcterms:modified xsi:type="dcterms:W3CDTF">2026-08-11T12:31:00Z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0x0101002EF83E2A743B5D4BA09E7DA13EE6A7C9</vt:lpwstr>
  </property>
  <property fmtid="{D5CDD505-2E9C-101B-9397-08002B2CF9AE}" pid="3" name="MediaServiceImageTags">
    <vt:lpwstr/>
  </property>
  <property fmtid="{D5CDD505-2E9C-101B-9397-08002B2CF9AE}" pid="4" name="ZOTERO_PREF_1">
    <vt:lpwstr>&lt;data data-version="3" zotero-version="7.0.32"&gt;&lt;session id="98LZMU2k"/&gt;&lt;style id="http://www.zotero.org/styles/american-medical-association" hasBibliography="1" bibliographyStyleHasBeenSet="1"/&gt;&lt;prefs&gt;&lt;pref name="fieldType" value="Field"/&gt;&lt;pref name="auto</vt:lpwstr>
  </property>
  <property fmtid="{D5CDD505-2E9C-101B-9397-08002B2CF9AE}" pid="5" name="ZOTERO_PREF_2">
    <vt:lpwstr>maticJournalAbbreviations" value="true"/&gt;&lt;/prefs&gt;&lt;/data&gt;</vt:lpwstr>
  </property>
  <property fmtid="{D5CDD505-2E9C-101B-9397-08002B2CF9AE}" pid="6" name="GrammarlyDocumentId">
    <vt:lpwstr>0c1d4376-5fae-4365-b590-bd08d9b69dea</vt:lpwstr>
  </property>
</Properties>
</file>