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19D1B">
      <w:pPr>
        <w:spacing w:after="240"/>
        <w:jc w:val="center"/>
      </w:pPr>
      <w:r>
        <w:rPr>
          <w:rFonts w:ascii="Times New Roman" w:hAnsi="Times New Roman" w:eastAsia="Times New Roman"/>
          <w:b/>
          <w:sz w:val="28"/>
        </w:rPr>
        <w:t>Supplementary Methods</w:t>
      </w:r>
    </w:p>
    <w:p w14:paraId="7AAD6A4F">
      <w:pPr>
        <w:spacing w:before="160" w:after="80"/>
      </w:pPr>
      <w:r>
        <w:rPr>
          <w:b/>
          <w:sz w:val="22"/>
        </w:rPr>
        <w:t>S1. Calculation of HOMA-IR</w:t>
      </w:r>
    </w:p>
    <w:p w14:paraId="3F60D979">
      <w:pPr>
        <w:spacing w:after="100" w:line="276" w:lineRule="auto"/>
        <w:ind w:firstLine="420"/>
      </w:pPr>
      <w:r>
        <w:rPr>
          <w:sz w:val="22"/>
        </w:rPr>
        <w:t>The homeostatic model assessment of insulin resistance (HOMA-IR) was calculated from fasting plasma glucose and fasting insulin concentrations as follows:</w:t>
      </w:r>
    </w:p>
    <w:p w14:paraId="0DE42107">
      <w:pPr>
        <w:spacing w:before="80" w:after="120"/>
        <w:jc w:val="center"/>
      </w:pPr>
      <w:r>
        <w:rPr>
          <w:rFonts w:ascii="Cambria Math" w:hAnsi="Cambria Math" w:eastAsia="Cambria Math"/>
          <w:sz w:val="22"/>
        </w:rPr>
        <w:t>HOMA-IR = [fasting insulin (μU/mL) × fasting plasma glucose (mmol/L)] / 22.5</w:t>
      </w:r>
    </w:p>
    <w:p w14:paraId="36AA5AA7">
      <w:pPr>
        <w:spacing w:after="100" w:line="276" w:lineRule="auto"/>
        <w:ind w:firstLine="420"/>
      </w:pPr>
      <w:r>
        <w:rPr>
          <w:sz w:val="22"/>
        </w:rPr>
        <w:t>Because HOMA-IR was right-skewed, values were natural-log transformed before subsequent analyses. The transformed HOMA-IR values were then regressed on body mass index (BMI), and the residuals were standardised to a mean of zero and a standard deviation of one before use as a response variable in reduced rank regression (RRR).</w:t>
      </w:r>
    </w:p>
    <w:p w14:paraId="495A4F2E">
      <w:pPr>
        <w:spacing w:before="160" w:after="80"/>
      </w:pPr>
      <w:r>
        <w:rPr>
          <w:b/>
          <w:sz w:val="22"/>
        </w:rPr>
        <w:t>S2. Preprocessing of the metabolic-inflammatory response variables</w:t>
      </w:r>
    </w:p>
    <w:p w14:paraId="4E3D0283">
      <w:pPr>
        <w:spacing w:after="100" w:line="276" w:lineRule="auto"/>
        <w:ind w:firstLine="420"/>
      </w:pPr>
      <w:r>
        <w:rPr>
          <w:sz w:val="22"/>
        </w:rPr>
        <w:t>Four prespecified metabolic-inflammatory response variables were used in RRR: high-sensitivity C-reactive protein (hs-CRP), HOMA-IR, the triglyceride-to-high-density lipoprotein cholesterol ratio (TG/HDL-C), and serum uric acid.</w:t>
      </w:r>
    </w:p>
    <w:p w14:paraId="5E8E6E22">
      <w:pPr>
        <w:spacing w:after="100" w:line="276" w:lineRule="auto"/>
        <w:ind w:firstLine="420"/>
      </w:pPr>
      <w:r>
        <w:rPr>
          <w:sz w:val="22"/>
        </w:rPr>
        <w:t>Before analysis, hs-CRP was transformed as ln(hs-CRP + 1), whereas HOMA-IR and TG/HDL-C were natural-log transformed. Serum uric acid was retained on its original scale. To reduce the contribution of general adiposity, each transformed biomarker was separately regressed on BMI. The resulting residuals were standardised to a mean of zero and a standard deviation of one.</w:t>
      </w:r>
    </w:p>
    <w:p w14:paraId="7ADE6923">
      <w:pPr>
        <w:spacing w:after="100" w:line="276" w:lineRule="auto"/>
        <w:ind w:firstLine="420"/>
      </w:pPr>
      <w:r>
        <w:rPr>
          <w:sz w:val="22"/>
        </w:rPr>
        <w:t>These standardised BMI-residualised biomarkers represented complementary domains of inflammation, insulin resistance, lipid metabolism, and urate metabolism and were used as the four response variables in RRR.</w:t>
      </w:r>
    </w:p>
    <w:p w14:paraId="25DDE841">
      <w:pPr>
        <w:spacing w:before="160" w:after="80"/>
      </w:pPr>
      <w:r>
        <w:rPr>
          <w:b/>
          <w:sz w:val="22"/>
        </w:rPr>
        <w:t>S3. Energy adjustment and standardisation of food-group intakes</w:t>
      </w:r>
    </w:p>
    <w:p w14:paraId="15DFD74D">
      <w:pPr>
        <w:spacing w:after="100" w:line="276" w:lineRule="auto"/>
        <w:ind w:firstLine="420"/>
      </w:pPr>
      <w:r>
        <w:rPr>
          <w:sz w:val="22"/>
        </w:rPr>
        <w:t>Individual food items were aggregated into 32 predefined food groups. Food-group intakes were expressed in grams per day and adjusted for total energy intake using the residual method.</w:t>
      </w:r>
    </w:p>
    <w:p w14:paraId="76DBD266">
      <w:pPr>
        <w:spacing w:after="100" w:line="276" w:lineRule="auto"/>
        <w:ind w:firstLine="420"/>
      </w:pPr>
      <w:r>
        <w:rPr>
          <w:sz w:val="22"/>
        </w:rPr>
        <w:t>For each food group, a linear regression model was fitted with food-group intake as the dependent variable and total energy intake as the independent variable. Energy-adjusted intake was calculated as the regression residual plus the expected food-group intake at the mean total energy intake of the derivation sample.</w:t>
      </w:r>
    </w:p>
    <w:p w14:paraId="23FD2E84">
      <w:pPr>
        <w:spacing w:after="100" w:line="276" w:lineRule="auto"/>
        <w:ind w:firstLine="420"/>
      </w:pPr>
      <w:r>
        <w:rPr>
          <w:sz w:val="22"/>
        </w:rPr>
        <w:t>All energy-adjustment coefficients and the means and standard deviations used to standardise the energy-adjusted food-group variables were estimated exclusively among the 4,956 participants without prevalent T2DM in the 2009 development set.</w:t>
      </w:r>
    </w:p>
    <w:p w14:paraId="00D6C460">
      <w:pPr>
        <w:spacing w:after="100" w:line="276" w:lineRule="auto"/>
        <w:ind w:firstLine="420"/>
      </w:pPr>
      <w:r>
        <w:rPr>
          <w:sz w:val="22"/>
        </w:rPr>
        <w:t>The same coefficients, means, and standard deviations were then applied without re-estimation to the held-out 2009 sample, the full eligible 2009 cross-sectional sample, and the 2006 dietary data. No predictor-preprocessing parameters were re-estimated in the held-out sample or in the 2006 data.</w:t>
      </w:r>
    </w:p>
    <w:p w14:paraId="0E87CFAE">
      <w:pPr>
        <w:spacing w:before="160" w:after="80"/>
      </w:pPr>
      <w:r>
        <w:rPr>
          <w:b/>
          <w:sz w:val="22"/>
        </w:rPr>
        <w:t>S4. Reduced rank regression and construction of the C-DMIP</w:t>
      </w:r>
    </w:p>
    <w:p w14:paraId="33DF6DD9">
      <w:pPr>
        <w:spacing w:after="100" w:line="276" w:lineRule="auto"/>
        <w:ind w:firstLine="420"/>
      </w:pPr>
      <w:r>
        <w:rPr>
          <w:sz w:val="22"/>
        </w:rPr>
        <w:t>RRR was conducted using the 32 energy-adjusted and standardised food-group variables as predictors and the four standardised BMI-residualised metabolic-inflammatory biomarkers as response variables. All predictor-preprocessing parameters and RRR weights were estimated only among participants without prevalent T2DM in the 2009 development set.</w:t>
      </w:r>
    </w:p>
    <w:p w14:paraId="113A62AD">
      <w:pPr>
        <w:spacing w:after="100" w:line="276" w:lineRule="auto"/>
        <w:ind w:firstLine="420"/>
      </w:pPr>
      <w:r>
        <w:rPr>
          <w:sz w:val="22"/>
        </w:rPr>
        <w:t>The first RRR factor was retained as the China-specific Dietary Metabolic-Inflammatory Pattern (C-DMIP) because it represented the leading dietary dimension of variation in the fitted response scores. Because the sign of an RRR factor is arbitrary, the first factor was oriented so that higher scores were positively correlated with the mean of the four standardised response variables.</w:t>
      </w:r>
    </w:p>
    <w:p w14:paraId="6C855883">
      <w:pPr>
        <w:spacing w:after="100" w:line="276" w:lineRule="auto"/>
        <w:ind w:firstLine="420"/>
      </w:pPr>
      <w:r>
        <w:rPr>
          <w:sz w:val="22"/>
        </w:rPr>
        <w:t>For the primary C-DMIP score, food groups with absolute standardised RRR weights below 0.5 standard deviations of the distribution of the 32 weights were assigned a weight of zero. The RRR model was not refitted after truncation. Twenty food groups were retained in the primary score.</w:t>
      </w:r>
    </w:p>
    <w:p w14:paraId="17C2CF23">
      <w:pPr>
        <w:spacing w:after="100" w:line="276" w:lineRule="auto"/>
        <w:ind w:firstLine="420"/>
      </w:pPr>
      <w:r>
        <w:rPr>
          <w:sz w:val="22"/>
        </w:rPr>
        <w:t>For participant i, the raw C-DMIP score was calculated as:</w:t>
      </w:r>
    </w:p>
    <w:p w14:paraId="0FD8FF87">
      <w:pPr>
        <w:spacing w:before="80" w:after="120"/>
        <w:jc w:val="center"/>
      </w:pPr>
      <w:r>
        <w:rPr>
          <w:rFonts w:ascii="Cambria Math" w:hAnsi="Cambria Math" w:eastAsia="Cambria Math"/>
          <w:sz w:val="22"/>
        </w:rPr>
        <w:t>C-DMIPᵢ = Σⱼ₌₁³² wⱼ zᵢⱼ</w:t>
      </w:r>
    </w:p>
    <w:p w14:paraId="62ED54AE">
      <w:pPr>
        <w:spacing w:after="100" w:line="276" w:lineRule="auto"/>
        <w:ind w:firstLine="420"/>
      </w:pPr>
      <w:r>
        <w:rPr>
          <w:sz w:val="22"/>
        </w:rPr>
        <w:t>where wj is the fixed RRR weight for food group j, and zij is the energy-adjusted and standardised intake of food group j for participant i.</w:t>
      </w:r>
    </w:p>
    <w:p w14:paraId="4F87EBAD">
      <w:pPr>
        <w:spacing w:after="100" w:line="276" w:lineRule="auto"/>
        <w:ind w:firstLine="420"/>
      </w:pPr>
      <w:r>
        <w:rPr>
          <w:sz w:val="22"/>
        </w:rPr>
        <w:t>The fixed 2009 derivation-set preprocessing parameters and truncated RRR weights were applied unchanged to all eligible participants in 2009 and to the 2006 dietary data. No new RRR model was estimated using the 2006 data.</w:t>
      </w:r>
    </w:p>
    <w:p w14:paraId="17E81589">
      <w:pPr>
        <w:spacing w:after="100" w:line="276" w:lineRule="auto"/>
        <w:ind w:firstLine="420"/>
      </w:pPr>
      <w:r>
        <w:rPr>
          <w:sz w:val="22"/>
        </w:rPr>
        <w:t>After raw scores had been calculated, C-DMIP scores were standardised within the corresponding wave-specific eligible sample. The 2009 score was standardised using the distribution among 7,928 eligible participants, and the 2006 score was standardised using the distribution among 6,863 eligible participants. Regression estimates were therefore interpreted per one-standard-deviation increment in the score within the corresponding survey wave.</w:t>
      </w:r>
    </w:p>
    <w:p w14:paraId="5CAB5A4E">
      <w:pPr>
        <w:spacing w:before="160" w:after="80"/>
      </w:pPr>
      <w:r>
        <w:rPr>
          <w:b/>
          <w:sz w:val="22"/>
        </w:rPr>
        <w:t>S5. Variance decomposition of the reduced rank regression</w:t>
      </w:r>
    </w:p>
    <w:p w14:paraId="0B55DA7B">
      <w:pPr>
        <w:spacing w:after="100" w:line="276" w:lineRule="auto"/>
        <w:ind w:firstLine="420"/>
      </w:pPr>
      <w:r>
        <w:rPr>
          <w:sz w:val="22"/>
        </w:rPr>
        <w:t>Two complementary measures were used to describe the variance captured by RRR. First, the proportion of variance in the RRR-fitted response scores attributable to each factor was calculated. This measure describes the relative importance of each factor within the component of the response variables that was predictable from dietary intake.</w:t>
      </w:r>
    </w:p>
    <w:p w14:paraId="7CD91FB5">
      <w:pPr>
        <w:spacing w:after="100" w:line="276" w:lineRule="auto"/>
        <w:ind w:firstLine="420"/>
      </w:pPr>
      <w:r>
        <w:rPr>
          <w:sz w:val="22"/>
        </w:rPr>
        <w:t>Second, the proportion of variance in each original metabolic-inflammatory response variable explained by the first factor was calculated separately. This measure reflects the absolute explanatory power of the retained dietary pattern for the original biomarkers. The proportion of variance in the 32 food-group predictors explained by the first factor was also calculated. Results are presented in Supplementary Table S7.</w:t>
      </w:r>
    </w:p>
    <w:p w14:paraId="2DED28A8">
      <w:pPr>
        <w:spacing w:before="160" w:after="80"/>
      </w:pPr>
      <w:r>
        <w:rPr>
          <w:b/>
          <w:sz w:val="22"/>
        </w:rPr>
        <w:t>S6. Internal assessment of biomarker coherence</w:t>
      </w:r>
    </w:p>
    <w:p w14:paraId="0A19AC4E">
      <w:pPr>
        <w:spacing w:after="100" w:line="276" w:lineRule="auto"/>
        <w:ind w:firstLine="420"/>
      </w:pPr>
      <w:r>
        <w:rPr>
          <w:sz w:val="22"/>
        </w:rPr>
        <w:t>Biomarker coherence of the C-DMIP was assessed in the held-out 2009 sample of 2,407 participants, which was not used to estimate predictor-preprocessing parameters or RRR weights. Each of the four standardised BMI-residualised response variables was modelled separately as the dependent variable in linear regression, with the standardised C-DMIP score entered as the exposure.</w:t>
      </w:r>
    </w:p>
    <w:p w14:paraId="6F85D71C">
      <w:pPr>
        <w:spacing w:after="100" w:line="276" w:lineRule="auto"/>
        <w:ind w:firstLine="420"/>
      </w:pPr>
      <w:r>
        <w:rPr>
          <w:sz w:val="22"/>
        </w:rPr>
        <w:t>Models were adjusted for age, sex, current smoking, and total energy intake. Community-level cluster-robust standard errors with an HC1 finite-sample correction were used to account for within-community correlation. Regression coefficients were expressed per one-standard-deviation increment in the C-DMIP score, based on the score distribution in the held-out sample.</w:t>
      </w:r>
    </w:p>
    <w:p w14:paraId="40E3CB05">
      <w:pPr>
        <w:spacing w:after="100" w:line="276" w:lineRule="auto"/>
        <w:ind w:firstLine="420"/>
      </w:pPr>
      <w:r>
        <w:rPr>
          <w:sz w:val="22"/>
        </w:rPr>
        <w:t>The held-out assessment was limited to biomarker coherence. Associations between the C-DMIP and prevalent T2DM were subsequently estimated in the full eligible 2009 cross-sectional sample, which included participants used for pattern derivation; these outcome analyses were therefore treated as full-sample association analyses following pattern derivation rather than as an independent out-of-sample outcome assessment.</w:t>
      </w:r>
    </w:p>
    <w:p w14:paraId="4979FB4F">
      <w:pPr>
        <w:spacing w:before="160" w:after="80"/>
      </w:pPr>
      <w:r>
        <w:rPr>
          <w:b/>
          <w:sz w:val="22"/>
        </w:rPr>
        <w:t>S7. Alternative weight-truncation thresholds</w:t>
      </w:r>
    </w:p>
    <w:p w14:paraId="50BB4DAE">
      <w:pPr>
        <w:spacing w:after="100" w:line="276" w:lineRule="auto"/>
        <w:ind w:firstLine="420"/>
      </w:pPr>
      <w:r>
        <w:rPr>
          <w:sz w:val="22"/>
        </w:rPr>
        <w:t>Robustness of the C-DMIP to the choice of food-group weight threshold was evaluated by constructing four score versions:</w:t>
      </w:r>
    </w:p>
    <w:p w14:paraId="2694DB52">
      <w:pPr>
        <w:spacing w:after="60" w:line="276" w:lineRule="auto"/>
        <w:ind w:left="397" w:hanging="198"/>
      </w:pPr>
      <w:r>
        <w:rPr>
          <w:sz w:val="22"/>
        </w:rPr>
        <w:t>• an untruncated score retaining all 32 food groups;</w:t>
      </w:r>
    </w:p>
    <w:p w14:paraId="4A687283">
      <w:pPr>
        <w:spacing w:after="60" w:line="276" w:lineRule="auto"/>
        <w:ind w:left="397" w:hanging="198"/>
      </w:pPr>
      <w:r>
        <w:rPr>
          <w:sz w:val="22"/>
        </w:rPr>
        <w:t>• a score retaining food groups with absolute standardised weights of at least 0.3 standard deviations;</w:t>
      </w:r>
    </w:p>
    <w:p w14:paraId="3C0471B0">
      <w:pPr>
        <w:spacing w:after="60" w:line="276" w:lineRule="auto"/>
        <w:ind w:left="397" w:hanging="198"/>
      </w:pPr>
      <w:r>
        <w:rPr>
          <w:sz w:val="22"/>
        </w:rPr>
        <w:t>• the primary score retaining food groups with absolute standardised weights of at least 0.5 standard deviations; and</w:t>
      </w:r>
    </w:p>
    <w:p w14:paraId="36518146">
      <w:pPr>
        <w:spacing w:after="60" w:line="276" w:lineRule="auto"/>
        <w:ind w:left="397" w:hanging="198"/>
      </w:pPr>
      <w:r>
        <w:rPr>
          <w:sz w:val="22"/>
        </w:rPr>
        <w:t>• a score retaining food groups with absolute standardised weights of at least 0.7 standard deviations.</w:t>
      </w:r>
    </w:p>
    <w:p w14:paraId="24E8C020">
      <w:pPr>
        <w:spacing w:after="100" w:line="276" w:lineRule="auto"/>
        <w:ind w:firstLine="420"/>
      </w:pPr>
      <w:r>
        <w:rPr>
          <w:sz w:val="22"/>
        </w:rPr>
        <w:t>Weights below the specified threshold were assigned a value of zero without refitting RRR. Pearson correlation coefficients between each alternative score and the primary C-DMIP score were calculated. Results are presented in Supplementary Table S8.</w:t>
      </w:r>
    </w:p>
    <w:p w14:paraId="0F588C6C">
      <w:pPr>
        <w:spacing w:before="160" w:after="80"/>
      </w:pPr>
      <w:r>
        <w:rPr>
          <w:b/>
          <w:sz w:val="22"/>
        </w:rPr>
        <w:t>S8. Province-normalised C-DMIP scores</w:t>
      </w:r>
    </w:p>
    <w:p w14:paraId="6935A9F0">
      <w:pPr>
        <w:spacing w:after="100" w:line="276" w:lineRule="auto"/>
        <w:ind w:firstLine="420"/>
      </w:pPr>
      <w:r>
        <w:rPr>
          <w:sz w:val="22"/>
        </w:rPr>
        <w:t>To distinguish within-province variation in the C-DMIP from between-province variation, province-normalised scores were calculated separately within each of the nine provinces.</w:t>
      </w:r>
    </w:p>
    <w:p w14:paraId="10B09B65">
      <w:pPr>
        <w:spacing w:after="100" w:line="276" w:lineRule="auto"/>
        <w:ind w:firstLine="420"/>
      </w:pPr>
      <w:r>
        <w:rPr>
          <w:sz w:val="22"/>
        </w:rPr>
        <w:t>For participant i residing in province p, the province-normalised score was calculated as:</w:t>
      </w:r>
    </w:p>
    <w:p w14:paraId="103B3163">
      <w:pPr>
        <w:spacing w:before="80" w:after="120"/>
        <w:jc w:val="center"/>
      </w:pPr>
      <w:r>
        <w:rPr>
          <w:rFonts w:ascii="Cambria Math" w:hAnsi="Cambria Math" w:eastAsia="Cambria Math"/>
          <w:sz w:val="22"/>
        </w:rPr>
        <w:t>zᵢₚ = (xᵢₚ − x̄ₚ) / sₚ</w:t>
      </w:r>
    </w:p>
    <w:p w14:paraId="328BA6ED">
      <w:pPr>
        <w:spacing w:after="100" w:line="276" w:lineRule="auto"/>
        <w:ind w:firstLine="420"/>
      </w:pPr>
      <w:r>
        <w:rPr>
          <w:sz w:val="22"/>
        </w:rPr>
        <w:t>where xip is the participant's original C-DMIP score, x̄p is the mean C-DMIP score in province p, and sp is the corresponding province-specific standard deviation.</w:t>
      </w:r>
    </w:p>
    <w:p w14:paraId="0F36E451">
      <w:pPr>
        <w:spacing w:after="100" w:line="276" w:lineRule="auto"/>
        <w:ind w:firstLine="420"/>
      </w:pPr>
      <w:r>
        <w:rPr>
          <w:sz w:val="22"/>
        </w:rPr>
        <w:t>The province-normalised scores therefore had a mean of zero and a standard deviation of one within each province. Associations of these scores with prevalent T2DM were estimated in the common complete-case cross-sectional sample using the Model 3 covariate specification and community-level cluster-robust standard errors.</w:t>
      </w:r>
    </w:p>
    <w:p w14:paraId="7B3623C0">
      <w:pPr>
        <w:spacing w:after="100" w:line="276" w:lineRule="auto"/>
        <w:ind w:firstLine="420"/>
      </w:pPr>
      <w:r>
        <w:rPr>
          <w:sz w:val="22"/>
        </w:rPr>
        <w:t>In the held-out sample, associations of the province-normalised scores with hs-CRP, HOMA-IR, TG/HDL-C, and serum uric acid were re-estimated using the same covariate adjustment, score scaling, and community-level cluster-robust standard-error procedures used for the original C-DMIP score.</w:t>
      </w:r>
    </w:p>
    <w:p w14:paraId="157EB6C8">
      <w:pPr>
        <w:spacing w:before="160" w:after="80"/>
      </w:pPr>
      <w:r>
        <w:rPr>
          <w:b/>
          <w:sz w:val="22"/>
        </w:rPr>
        <w:t>S9. Community-level cluster-robust inference</w:t>
      </w:r>
    </w:p>
    <w:p w14:paraId="60BE7E52">
      <w:pPr>
        <w:spacing w:after="100" w:line="276" w:lineRule="auto"/>
        <w:ind w:firstLine="420"/>
      </w:pPr>
      <w:r>
        <w:rPr>
          <w:sz w:val="22"/>
        </w:rPr>
        <w:t>The CHNS used a multistage cluster-sampling design in which participants were nested within communities. To account for correlation among participants sampled from the same community, primary logistic and linear regression models used community-level cluster-robust standard errors with an HC1 finite-sample correction.</w:t>
      </w:r>
    </w:p>
    <w:p w14:paraId="3DF368D4">
      <w:pPr>
        <w:spacing w:after="100" w:line="276" w:lineRule="auto"/>
        <w:ind w:firstLine="420"/>
      </w:pPr>
      <w:r>
        <w:rPr>
          <w:sz w:val="22"/>
        </w:rPr>
        <w:t>The HC1 correction scales the conventional cluster-robust variance estimate to account for the number of observations and model parameters. Confidence intervals and p values were calculated using these corrected standard errors.</w:t>
      </w:r>
    </w:p>
    <w:p w14:paraId="6FF743FB">
      <w:pPr>
        <w:spacing w:after="100" w:line="276" w:lineRule="auto"/>
        <w:ind w:firstLine="420"/>
      </w:pPr>
      <w:r>
        <w:rPr>
          <w:sz w:val="22"/>
        </w:rPr>
        <w:t>Interactions between the standardised C-DMIP score and subgroup variables were evaluated using product terms. Interaction p values were obtained from community-level cluster-robust Wald tests. Statistical significance within an individual subgroup was not interpreted as evidence of effect modification unless the corresponding interaction test was statistically significant.</w:t>
      </w:r>
    </w:p>
    <w:p w14:paraId="09D7AC7A">
      <w:pPr>
        <w:spacing w:before="160" w:after="80"/>
      </w:pPr>
      <w:r>
        <w:rPr>
          <w:b/>
          <w:sz w:val="22"/>
        </w:rPr>
        <w:t>S10. Community-level cluster bootstrap for AUC comparison</w:t>
      </w:r>
    </w:p>
    <w:p w14:paraId="60F0C25E">
      <w:pPr>
        <w:spacing w:after="100" w:line="276" w:lineRule="auto"/>
        <w:ind w:firstLine="420"/>
      </w:pPr>
      <w:r>
        <w:rPr>
          <w:sz w:val="22"/>
        </w:rPr>
        <w:t>Apparent discriminative performance of models containing the C-DMIP or the Dietary Inflammatory Index (DII) was evaluated using the area under the receiver operating characteristic curve (AUC).</w:t>
      </w:r>
    </w:p>
    <w:p w14:paraId="297D4B68">
      <w:pPr>
        <w:spacing w:after="100" w:line="276" w:lineRule="auto"/>
        <w:ind w:firstLine="420"/>
      </w:pPr>
      <w:r>
        <w:rPr>
          <w:sz w:val="22"/>
        </w:rPr>
        <w:t>To preserve the clustered structure of the CHNS data, uncertainty in the difference between the two AUCs was evaluated using a community-level cluster bootstrap with 1,000 iterations. In each iteration, communities rather than individual participants were sampled with replacement, and all participants belonging to each selected community were included in the bootstrap sample.</w:t>
      </w:r>
    </w:p>
    <w:p w14:paraId="1976B435">
      <w:pPr>
        <w:spacing w:after="100" w:line="276" w:lineRule="auto"/>
        <w:ind w:firstLine="420"/>
      </w:pPr>
      <w:r>
        <w:rPr>
          <w:sz w:val="22"/>
        </w:rPr>
        <w:t>Two otherwise identical Model 3 logistic regression models were refitted in each bootstrap sample: one containing the standardised C-DMIP score and the other containing the standardised DII score. The difference in AUC was calculated as:</w:t>
      </w:r>
    </w:p>
    <w:p w14:paraId="6D3DD621">
      <w:pPr>
        <w:spacing w:before="80" w:after="120"/>
        <w:jc w:val="center"/>
      </w:pPr>
      <w:r>
        <w:rPr>
          <w:rFonts w:ascii="Cambria Math" w:hAnsi="Cambria Math" w:eastAsia="Cambria Math"/>
          <w:sz w:val="22"/>
        </w:rPr>
        <w:t>ΔAUC = AUC(C-DMIP) − AUC(DII)</w:t>
      </w:r>
    </w:p>
    <w:p w14:paraId="2672F2CF">
      <w:pPr>
        <w:spacing w:after="100" w:line="276" w:lineRule="auto"/>
        <w:ind w:firstLine="420"/>
      </w:pPr>
      <w:r>
        <w:rPr>
          <w:sz w:val="22"/>
        </w:rPr>
        <w:t>The 95% confidence interval was obtained from the bootstrap distribution of the AUC differences. The bootstrap p value was calculated from the empirical distribution of the differences across the 1,000 bootstrap samples. This comparison was descriptive and limited to the analytic sample.</w:t>
      </w:r>
    </w:p>
    <w:p w14:paraId="42C01B02">
      <w:pPr>
        <w:spacing w:before="160" w:after="80"/>
      </w:pPr>
      <w:r>
        <w:rPr>
          <w:b/>
          <w:sz w:val="22"/>
        </w:rPr>
        <w:t>S11. Alternative definitions of T2DM</w:t>
      </w:r>
    </w:p>
    <w:p w14:paraId="31DDBCDD">
      <w:pPr>
        <w:spacing w:after="100" w:line="276" w:lineRule="auto"/>
        <w:ind w:firstLine="420"/>
      </w:pPr>
      <w:r>
        <w:rPr>
          <w:sz w:val="22"/>
        </w:rPr>
        <w:t>The primary operational definition of T2DM included fasting plasma glucose ≥7.0 mmol/L, HbA1c ≥6.5%, self-reported physician-diagnosed diabetes, or current use of glucose-lowering medication.</w:t>
      </w:r>
    </w:p>
    <w:p w14:paraId="15C49648">
      <w:pPr>
        <w:spacing w:after="100" w:line="276" w:lineRule="auto"/>
        <w:ind w:firstLine="420"/>
      </w:pPr>
      <w:r>
        <w:rPr>
          <w:sz w:val="22"/>
        </w:rPr>
        <w:t>Two alternative definitions were evaluated in the common complete-case cross-sectional sample:</w:t>
      </w:r>
    </w:p>
    <w:p w14:paraId="48FE22C6">
      <w:pPr>
        <w:spacing w:after="60" w:line="276" w:lineRule="auto"/>
        <w:ind w:left="397" w:hanging="198"/>
      </w:pPr>
      <w:r>
        <w:rPr>
          <w:sz w:val="22"/>
        </w:rPr>
        <w:t>• a definition excluding HbA1c, based on fasting plasma glucose, self-reported physician diagnosis, or glucose-lowering medication use; and</w:t>
      </w:r>
    </w:p>
    <w:p w14:paraId="514A67FE">
      <w:pPr>
        <w:spacing w:after="60" w:line="276" w:lineRule="auto"/>
        <w:ind w:left="397" w:hanging="198"/>
      </w:pPr>
      <w:r>
        <w:rPr>
          <w:sz w:val="22"/>
        </w:rPr>
        <w:t>• an HbA1c-only definition based on HbA1c ≥6.5%.</w:t>
      </w:r>
    </w:p>
    <w:p w14:paraId="40D68DD9">
      <w:pPr>
        <w:spacing w:after="100" w:line="276" w:lineRule="auto"/>
        <w:ind w:firstLine="420"/>
      </w:pPr>
      <w:r>
        <w:rPr>
          <w:sz w:val="22"/>
        </w:rPr>
        <w:t>The same C-DMIP score, analytic sample, covariates, and community-level cluster-robust standard-error procedures were used in these sensitivity analyses. Results are presented in Supplementary Table S5.</w:t>
      </w:r>
    </w:p>
    <w:p w14:paraId="4D9DB08A">
      <w:pPr>
        <w:spacing w:before="160" w:after="80"/>
      </w:pPr>
      <w:r>
        <w:rPr>
          <w:b/>
          <w:sz w:val="22"/>
        </w:rPr>
        <w:t>S12. Alternative adiposity-adjustment specifications</w:t>
      </w:r>
    </w:p>
    <w:p w14:paraId="3CA91568">
      <w:pPr>
        <w:spacing w:after="100" w:line="276" w:lineRule="auto"/>
        <w:ind w:firstLine="420"/>
      </w:pPr>
      <w:r>
        <w:rPr>
          <w:sz w:val="22"/>
        </w:rPr>
        <w:t>The primary fully adjusted model simultaneously included BMI and waist circumference to account for general and central adiposity.</w:t>
      </w:r>
    </w:p>
    <w:p w14:paraId="59255542">
      <w:pPr>
        <w:spacing w:after="100" w:line="276" w:lineRule="auto"/>
        <w:ind w:firstLine="420"/>
      </w:pPr>
      <w:r>
        <w:rPr>
          <w:sz w:val="22"/>
        </w:rPr>
        <w:t>Sensitivity analyses were conducted using four adiposity-adjustment specifications:</w:t>
      </w:r>
    </w:p>
    <w:p w14:paraId="7C1AB068">
      <w:pPr>
        <w:spacing w:after="60" w:line="276" w:lineRule="auto"/>
        <w:ind w:left="397" w:hanging="198"/>
      </w:pPr>
      <w:r>
        <w:rPr>
          <w:sz w:val="22"/>
        </w:rPr>
        <w:t>• BMI and waist circumference;</w:t>
      </w:r>
    </w:p>
    <w:p w14:paraId="4C073E35">
      <w:pPr>
        <w:spacing w:after="60" w:line="276" w:lineRule="auto"/>
        <w:ind w:left="397" w:hanging="198"/>
      </w:pPr>
      <w:r>
        <w:rPr>
          <w:sz w:val="22"/>
        </w:rPr>
        <w:t>• BMI without waist circumference;</w:t>
      </w:r>
    </w:p>
    <w:p w14:paraId="63715042">
      <w:pPr>
        <w:spacing w:after="60" w:line="276" w:lineRule="auto"/>
        <w:ind w:left="397" w:hanging="198"/>
      </w:pPr>
      <w:r>
        <w:rPr>
          <w:sz w:val="22"/>
        </w:rPr>
        <w:t>• waist circumference without BMI; and</w:t>
      </w:r>
    </w:p>
    <w:p w14:paraId="7492F099">
      <w:pPr>
        <w:spacing w:after="60" w:line="276" w:lineRule="auto"/>
        <w:ind w:left="397" w:hanging="198"/>
      </w:pPr>
      <w:r>
        <w:rPr>
          <w:sz w:val="22"/>
        </w:rPr>
        <w:t>• neither BMI nor waist circumference.</w:t>
      </w:r>
    </w:p>
    <w:p w14:paraId="53E243DD">
      <w:pPr>
        <w:spacing w:after="100" w:line="276" w:lineRule="auto"/>
        <w:ind w:firstLine="420"/>
        <w:rPr>
          <w:sz w:val="22"/>
        </w:rPr>
      </w:pPr>
      <w:r>
        <w:rPr>
          <w:sz w:val="22"/>
        </w:rPr>
        <w:t>All models retained age, sex, urban or rural residence, educational attainment, current smoking, alcohol consumption, and total energy intake. The same common complete-case sample of 7,846 participants with 790 prevalent T2DM cases was used in all specifications. Results are presented in Supplementary Table S5.</w:t>
      </w:r>
    </w:p>
    <w:p w14:paraId="46B6B9AD">
      <w:pPr>
        <w:spacing w:after="100"/>
      </w:pPr>
      <w:r>
        <w:rPr>
          <w:b/>
          <w:sz w:val="20"/>
        </w:rPr>
        <w:t>Supplementary Table S1. Food-group weights contributing to the China-specific Dietary Metabolic-Inflammatory Pattern</w:t>
      </w:r>
    </w:p>
    <w:tbl>
      <w:tblPr>
        <w:tblStyle w:val="4"/>
        <w:tblW w:w="0" w:type="auto"/>
        <w:jc w:val="center"/>
        <w:tblLayout w:type="autofit"/>
        <w:tblCellMar>
          <w:top w:w="0" w:type="dxa"/>
          <w:left w:w="108" w:type="dxa"/>
          <w:bottom w:w="0" w:type="dxa"/>
          <w:right w:w="108" w:type="dxa"/>
        </w:tblCellMar>
      </w:tblPr>
      <w:tblGrid>
        <w:gridCol w:w="2501"/>
        <w:gridCol w:w="2475"/>
        <w:gridCol w:w="2495"/>
        <w:gridCol w:w="2491"/>
      </w:tblGrid>
      <w:tr w14:paraId="40152D8F">
        <w:tblPrEx>
          <w:tblCellMar>
            <w:top w:w="0" w:type="dxa"/>
            <w:left w:w="108" w:type="dxa"/>
            <w:bottom w:w="0" w:type="dxa"/>
            <w:right w:w="108" w:type="dxa"/>
          </w:tblCellMar>
        </w:tblPrEx>
        <w:trPr>
          <w:tblHeader/>
          <w:jc w:val="center"/>
        </w:trPr>
        <w:tc>
          <w:tcPr>
            <w:tcW w:w="2550" w:type="dxa"/>
            <w:tcBorders>
              <w:top w:val="single" w:color="000000" w:sz="8" w:space="0"/>
              <w:left w:val="nil"/>
              <w:bottom w:val="single" w:color="000000" w:sz="8" w:space="0"/>
              <w:right w:val="nil"/>
              <w:insideH w:val="nil"/>
              <w:insideV w:val="nil"/>
            </w:tcBorders>
            <w:vAlign w:val="center"/>
          </w:tcPr>
          <w:p w14:paraId="7C21CE52">
            <w:pPr>
              <w:spacing w:before="0" w:after="10" w:line="240" w:lineRule="auto"/>
              <w:jc w:val="left"/>
            </w:pPr>
            <w:r>
              <w:rPr>
                <w:b/>
                <w:sz w:val="15"/>
              </w:rPr>
              <w:t>Food group</w:t>
            </w:r>
          </w:p>
        </w:tc>
        <w:tc>
          <w:tcPr>
            <w:tcW w:w="2550" w:type="dxa"/>
            <w:tcBorders>
              <w:top w:val="single" w:color="000000" w:sz="8" w:space="0"/>
              <w:left w:val="nil"/>
              <w:bottom w:val="single" w:color="000000" w:sz="8" w:space="0"/>
              <w:right w:val="nil"/>
              <w:insideH w:val="nil"/>
              <w:insideV w:val="nil"/>
            </w:tcBorders>
            <w:vAlign w:val="center"/>
          </w:tcPr>
          <w:p w14:paraId="7D5C8750">
            <w:pPr>
              <w:spacing w:before="0" w:after="10" w:line="240" w:lineRule="auto"/>
              <w:jc w:val="center"/>
            </w:pPr>
            <w:r>
              <w:rPr>
                <w:b/>
                <w:sz w:val="15"/>
              </w:rPr>
              <w:t>Code</w:t>
            </w:r>
          </w:p>
        </w:tc>
        <w:tc>
          <w:tcPr>
            <w:tcW w:w="2550" w:type="dxa"/>
            <w:tcBorders>
              <w:top w:val="single" w:color="000000" w:sz="8" w:space="0"/>
              <w:left w:val="nil"/>
              <w:bottom w:val="single" w:color="000000" w:sz="8" w:space="0"/>
              <w:right w:val="nil"/>
              <w:insideH w:val="nil"/>
              <w:insideV w:val="nil"/>
            </w:tcBorders>
            <w:vAlign w:val="center"/>
          </w:tcPr>
          <w:p w14:paraId="787D8F39">
            <w:pPr>
              <w:spacing w:before="0" w:after="10" w:line="240" w:lineRule="auto"/>
              <w:jc w:val="center"/>
            </w:pPr>
            <w:r>
              <w:rPr>
                <w:b/>
                <w:sz w:val="15"/>
              </w:rPr>
              <w:t>Standardised RRR weight</w:t>
            </w:r>
          </w:p>
        </w:tc>
        <w:tc>
          <w:tcPr>
            <w:tcW w:w="2550" w:type="dxa"/>
            <w:tcBorders>
              <w:top w:val="single" w:color="000000" w:sz="8" w:space="0"/>
              <w:left w:val="nil"/>
              <w:bottom w:val="single" w:color="000000" w:sz="8" w:space="0"/>
              <w:right w:val="nil"/>
              <w:insideH w:val="nil"/>
              <w:insideV w:val="nil"/>
            </w:tcBorders>
            <w:vAlign w:val="center"/>
          </w:tcPr>
          <w:p w14:paraId="741F1CE5">
            <w:pPr>
              <w:spacing w:before="0" w:after="10" w:line="240" w:lineRule="auto"/>
              <w:jc w:val="center"/>
            </w:pPr>
            <w:r>
              <w:rPr>
                <w:b/>
                <w:sz w:val="15"/>
              </w:rPr>
              <w:t>Status</w:t>
            </w:r>
          </w:p>
        </w:tc>
      </w:tr>
      <w:tr w14:paraId="3C797620">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0E11EB74">
            <w:pPr>
              <w:spacing w:before="0" w:after="10" w:line="240" w:lineRule="auto"/>
              <w:jc w:val="left"/>
            </w:pPr>
            <w:r>
              <w:rPr>
                <w:sz w:val="15"/>
              </w:rPr>
              <w:t>Tofu and soy products</w:t>
            </w:r>
          </w:p>
        </w:tc>
        <w:tc>
          <w:tcPr>
            <w:tcW w:w="2550" w:type="dxa"/>
            <w:tcBorders>
              <w:top w:val="nil"/>
              <w:left w:val="nil"/>
              <w:bottom w:val="nil"/>
              <w:right w:val="nil"/>
              <w:insideH w:val="nil"/>
              <w:insideV w:val="nil"/>
            </w:tcBorders>
            <w:vAlign w:val="center"/>
          </w:tcPr>
          <w:p w14:paraId="07738EF0">
            <w:pPr>
              <w:spacing w:before="0" w:after="10" w:line="240" w:lineRule="auto"/>
              <w:jc w:val="center"/>
            </w:pPr>
            <w:r>
              <w:rPr>
                <w:sz w:val="15"/>
              </w:rPr>
              <w:t>fg6</w:t>
            </w:r>
          </w:p>
        </w:tc>
        <w:tc>
          <w:tcPr>
            <w:tcW w:w="2550" w:type="dxa"/>
            <w:tcBorders>
              <w:top w:val="nil"/>
              <w:left w:val="nil"/>
              <w:bottom w:val="nil"/>
              <w:right w:val="nil"/>
              <w:insideH w:val="nil"/>
              <w:insideV w:val="nil"/>
            </w:tcBorders>
            <w:vAlign w:val="center"/>
          </w:tcPr>
          <w:p w14:paraId="635D942C">
            <w:pPr>
              <w:spacing w:before="0" w:after="10" w:line="240" w:lineRule="auto"/>
              <w:jc w:val="center"/>
            </w:pPr>
            <w:r>
              <w:rPr>
                <w:sz w:val="15"/>
              </w:rPr>
              <w:t>0.077</w:t>
            </w:r>
          </w:p>
        </w:tc>
        <w:tc>
          <w:tcPr>
            <w:tcW w:w="2550" w:type="dxa"/>
            <w:tcBorders>
              <w:top w:val="nil"/>
              <w:left w:val="nil"/>
              <w:bottom w:val="nil"/>
              <w:right w:val="nil"/>
              <w:insideH w:val="nil"/>
              <w:insideV w:val="nil"/>
            </w:tcBorders>
            <w:vAlign w:val="center"/>
          </w:tcPr>
          <w:p w14:paraId="5AC77F66">
            <w:pPr>
              <w:spacing w:before="0" w:after="10" w:line="240" w:lineRule="auto"/>
              <w:jc w:val="center"/>
            </w:pPr>
            <w:r>
              <w:rPr>
                <w:sz w:val="15"/>
              </w:rPr>
              <w:t>Retained</w:t>
            </w:r>
          </w:p>
        </w:tc>
      </w:tr>
      <w:tr w14:paraId="64F553CC">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AA6342F">
            <w:pPr>
              <w:spacing w:before="0" w:after="10" w:line="240" w:lineRule="auto"/>
              <w:jc w:val="left"/>
            </w:pPr>
            <w:r>
              <w:rPr>
                <w:sz w:val="15"/>
              </w:rPr>
              <w:t>Alcoholic beverages</w:t>
            </w:r>
          </w:p>
        </w:tc>
        <w:tc>
          <w:tcPr>
            <w:tcW w:w="2550" w:type="dxa"/>
            <w:tcBorders>
              <w:top w:val="nil"/>
              <w:left w:val="nil"/>
              <w:bottom w:val="nil"/>
              <w:right w:val="nil"/>
              <w:insideH w:val="nil"/>
              <w:insideV w:val="nil"/>
            </w:tcBorders>
            <w:vAlign w:val="center"/>
          </w:tcPr>
          <w:p w14:paraId="7EC9ED87">
            <w:pPr>
              <w:spacing w:before="0" w:after="10" w:line="240" w:lineRule="auto"/>
              <w:jc w:val="center"/>
            </w:pPr>
            <w:r>
              <w:rPr>
                <w:sz w:val="15"/>
              </w:rPr>
              <w:t>fg30</w:t>
            </w:r>
          </w:p>
        </w:tc>
        <w:tc>
          <w:tcPr>
            <w:tcW w:w="2550" w:type="dxa"/>
            <w:tcBorders>
              <w:top w:val="nil"/>
              <w:left w:val="nil"/>
              <w:bottom w:val="nil"/>
              <w:right w:val="nil"/>
              <w:insideH w:val="nil"/>
              <w:insideV w:val="nil"/>
            </w:tcBorders>
            <w:vAlign w:val="center"/>
          </w:tcPr>
          <w:p w14:paraId="6E774C5C">
            <w:pPr>
              <w:spacing w:before="0" w:after="10" w:line="240" w:lineRule="auto"/>
              <w:jc w:val="center"/>
            </w:pPr>
            <w:r>
              <w:rPr>
                <w:sz w:val="15"/>
              </w:rPr>
              <w:t>0.072</w:t>
            </w:r>
          </w:p>
        </w:tc>
        <w:tc>
          <w:tcPr>
            <w:tcW w:w="2550" w:type="dxa"/>
            <w:tcBorders>
              <w:top w:val="nil"/>
              <w:left w:val="nil"/>
              <w:bottom w:val="nil"/>
              <w:right w:val="nil"/>
              <w:insideH w:val="nil"/>
              <w:insideV w:val="nil"/>
            </w:tcBorders>
            <w:vAlign w:val="center"/>
          </w:tcPr>
          <w:p w14:paraId="6135372E">
            <w:pPr>
              <w:spacing w:before="0" w:after="10" w:line="240" w:lineRule="auto"/>
              <w:jc w:val="center"/>
            </w:pPr>
            <w:r>
              <w:rPr>
                <w:sz w:val="15"/>
              </w:rPr>
              <w:t>Retained</w:t>
            </w:r>
          </w:p>
        </w:tc>
      </w:tr>
      <w:tr w14:paraId="23408EB9">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26175C11">
            <w:pPr>
              <w:spacing w:before="0" w:after="10" w:line="240" w:lineRule="auto"/>
              <w:jc w:val="left"/>
            </w:pPr>
            <w:r>
              <w:rPr>
                <w:sz w:val="15"/>
              </w:rPr>
              <w:t>Fatty pork</w:t>
            </w:r>
          </w:p>
        </w:tc>
        <w:tc>
          <w:tcPr>
            <w:tcW w:w="2550" w:type="dxa"/>
            <w:tcBorders>
              <w:top w:val="nil"/>
              <w:left w:val="nil"/>
              <w:bottom w:val="nil"/>
              <w:right w:val="nil"/>
              <w:insideH w:val="nil"/>
              <w:insideV w:val="nil"/>
            </w:tcBorders>
            <w:vAlign w:val="center"/>
          </w:tcPr>
          <w:p w14:paraId="12703248">
            <w:pPr>
              <w:spacing w:before="0" w:after="10" w:line="240" w:lineRule="auto"/>
              <w:jc w:val="center"/>
            </w:pPr>
            <w:r>
              <w:rPr>
                <w:sz w:val="15"/>
              </w:rPr>
              <w:t>fg16</w:t>
            </w:r>
          </w:p>
        </w:tc>
        <w:tc>
          <w:tcPr>
            <w:tcW w:w="2550" w:type="dxa"/>
            <w:tcBorders>
              <w:top w:val="nil"/>
              <w:left w:val="nil"/>
              <w:bottom w:val="nil"/>
              <w:right w:val="nil"/>
              <w:insideH w:val="nil"/>
              <w:insideV w:val="nil"/>
            </w:tcBorders>
            <w:vAlign w:val="center"/>
          </w:tcPr>
          <w:p w14:paraId="21570244">
            <w:pPr>
              <w:spacing w:before="0" w:after="10" w:line="240" w:lineRule="auto"/>
              <w:jc w:val="center"/>
            </w:pPr>
            <w:r>
              <w:rPr>
                <w:sz w:val="15"/>
              </w:rPr>
              <w:t>0.069</w:t>
            </w:r>
          </w:p>
        </w:tc>
        <w:tc>
          <w:tcPr>
            <w:tcW w:w="2550" w:type="dxa"/>
            <w:tcBorders>
              <w:top w:val="nil"/>
              <w:left w:val="nil"/>
              <w:bottom w:val="nil"/>
              <w:right w:val="nil"/>
              <w:insideH w:val="nil"/>
              <w:insideV w:val="nil"/>
            </w:tcBorders>
            <w:vAlign w:val="center"/>
          </w:tcPr>
          <w:p w14:paraId="044E8BC1">
            <w:pPr>
              <w:spacing w:before="0" w:after="10" w:line="240" w:lineRule="auto"/>
              <w:jc w:val="center"/>
            </w:pPr>
            <w:r>
              <w:rPr>
                <w:sz w:val="15"/>
              </w:rPr>
              <w:t>Retained</w:t>
            </w:r>
          </w:p>
        </w:tc>
      </w:tr>
      <w:tr w14:paraId="0A1C24FA">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56D8331C">
            <w:pPr>
              <w:spacing w:before="0" w:after="10" w:line="240" w:lineRule="auto"/>
              <w:jc w:val="left"/>
            </w:pPr>
            <w:r>
              <w:rPr>
                <w:sz w:val="15"/>
              </w:rPr>
              <w:t>White rice</w:t>
            </w:r>
          </w:p>
        </w:tc>
        <w:tc>
          <w:tcPr>
            <w:tcW w:w="2550" w:type="dxa"/>
            <w:tcBorders>
              <w:top w:val="nil"/>
              <w:left w:val="nil"/>
              <w:bottom w:val="nil"/>
              <w:right w:val="nil"/>
              <w:insideH w:val="nil"/>
              <w:insideV w:val="nil"/>
            </w:tcBorders>
            <w:vAlign w:val="center"/>
          </w:tcPr>
          <w:p w14:paraId="394E10C1">
            <w:pPr>
              <w:spacing w:before="0" w:after="10" w:line="240" w:lineRule="auto"/>
              <w:jc w:val="center"/>
            </w:pPr>
            <w:r>
              <w:rPr>
                <w:sz w:val="15"/>
              </w:rPr>
              <w:t>fg1</w:t>
            </w:r>
          </w:p>
        </w:tc>
        <w:tc>
          <w:tcPr>
            <w:tcW w:w="2550" w:type="dxa"/>
            <w:tcBorders>
              <w:top w:val="nil"/>
              <w:left w:val="nil"/>
              <w:bottom w:val="nil"/>
              <w:right w:val="nil"/>
              <w:insideH w:val="nil"/>
              <w:insideV w:val="nil"/>
            </w:tcBorders>
            <w:vAlign w:val="center"/>
          </w:tcPr>
          <w:p w14:paraId="51359C04">
            <w:pPr>
              <w:spacing w:before="0" w:after="10" w:line="240" w:lineRule="auto"/>
              <w:jc w:val="center"/>
            </w:pPr>
            <w:r>
              <w:rPr>
                <w:sz w:val="15"/>
              </w:rPr>
              <w:t>0.067</w:t>
            </w:r>
          </w:p>
        </w:tc>
        <w:tc>
          <w:tcPr>
            <w:tcW w:w="2550" w:type="dxa"/>
            <w:tcBorders>
              <w:top w:val="nil"/>
              <w:left w:val="nil"/>
              <w:bottom w:val="nil"/>
              <w:right w:val="nil"/>
              <w:insideH w:val="nil"/>
              <w:insideV w:val="nil"/>
            </w:tcBorders>
            <w:vAlign w:val="center"/>
          </w:tcPr>
          <w:p w14:paraId="0DD60D8C">
            <w:pPr>
              <w:spacing w:before="0" w:after="10" w:line="240" w:lineRule="auto"/>
              <w:jc w:val="center"/>
            </w:pPr>
            <w:r>
              <w:rPr>
                <w:sz w:val="15"/>
              </w:rPr>
              <w:t>Retained</w:t>
            </w:r>
          </w:p>
        </w:tc>
      </w:tr>
      <w:tr w14:paraId="47FCADD8">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2F9371BB">
            <w:pPr>
              <w:spacing w:before="0" w:after="10" w:line="240" w:lineRule="auto"/>
              <w:jc w:val="left"/>
            </w:pPr>
            <w:r>
              <w:rPr>
                <w:sz w:val="15"/>
              </w:rPr>
              <w:t>Lean pork</w:t>
            </w:r>
          </w:p>
        </w:tc>
        <w:tc>
          <w:tcPr>
            <w:tcW w:w="2550" w:type="dxa"/>
            <w:tcBorders>
              <w:top w:val="nil"/>
              <w:left w:val="nil"/>
              <w:bottom w:val="nil"/>
              <w:right w:val="nil"/>
              <w:insideH w:val="nil"/>
              <w:insideV w:val="nil"/>
            </w:tcBorders>
            <w:vAlign w:val="center"/>
          </w:tcPr>
          <w:p w14:paraId="617E3DBC">
            <w:pPr>
              <w:spacing w:before="0" w:after="10" w:line="240" w:lineRule="auto"/>
              <w:jc w:val="center"/>
            </w:pPr>
            <w:r>
              <w:rPr>
                <w:sz w:val="15"/>
              </w:rPr>
              <w:t>fg17</w:t>
            </w:r>
          </w:p>
        </w:tc>
        <w:tc>
          <w:tcPr>
            <w:tcW w:w="2550" w:type="dxa"/>
            <w:tcBorders>
              <w:top w:val="nil"/>
              <w:left w:val="nil"/>
              <w:bottom w:val="nil"/>
              <w:right w:val="nil"/>
              <w:insideH w:val="nil"/>
              <w:insideV w:val="nil"/>
            </w:tcBorders>
            <w:vAlign w:val="center"/>
          </w:tcPr>
          <w:p w14:paraId="562AB5FC">
            <w:pPr>
              <w:spacing w:before="0" w:after="10" w:line="240" w:lineRule="auto"/>
              <w:jc w:val="center"/>
            </w:pPr>
            <w:r>
              <w:rPr>
                <w:sz w:val="15"/>
              </w:rPr>
              <w:t>0.052</w:t>
            </w:r>
          </w:p>
        </w:tc>
        <w:tc>
          <w:tcPr>
            <w:tcW w:w="2550" w:type="dxa"/>
            <w:tcBorders>
              <w:top w:val="nil"/>
              <w:left w:val="nil"/>
              <w:bottom w:val="nil"/>
              <w:right w:val="nil"/>
              <w:insideH w:val="nil"/>
              <w:insideV w:val="nil"/>
            </w:tcBorders>
            <w:vAlign w:val="center"/>
          </w:tcPr>
          <w:p w14:paraId="7FDA8B94">
            <w:pPr>
              <w:spacing w:before="0" w:after="10" w:line="240" w:lineRule="auto"/>
              <w:jc w:val="center"/>
            </w:pPr>
            <w:r>
              <w:rPr>
                <w:sz w:val="15"/>
              </w:rPr>
              <w:t>Retained</w:t>
            </w:r>
          </w:p>
        </w:tc>
      </w:tr>
      <w:tr w14:paraId="344B07F6">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EE42CDD">
            <w:pPr>
              <w:spacing w:before="0" w:after="10" w:line="240" w:lineRule="auto"/>
              <w:jc w:val="left"/>
            </w:pPr>
            <w:r>
              <w:rPr>
                <w:sz w:val="15"/>
              </w:rPr>
              <w:t>Organ meats</w:t>
            </w:r>
          </w:p>
        </w:tc>
        <w:tc>
          <w:tcPr>
            <w:tcW w:w="2550" w:type="dxa"/>
            <w:tcBorders>
              <w:top w:val="nil"/>
              <w:left w:val="nil"/>
              <w:bottom w:val="nil"/>
              <w:right w:val="nil"/>
              <w:insideH w:val="nil"/>
              <w:insideV w:val="nil"/>
            </w:tcBorders>
            <w:vAlign w:val="center"/>
          </w:tcPr>
          <w:p w14:paraId="51B12CCB">
            <w:pPr>
              <w:spacing w:before="0" w:after="10" w:line="240" w:lineRule="auto"/>
              <w:jc w:val="center"/>
            </w:pPr>
            <w:r>
              <w:rPr>
                <w:sz w:val="15"/>
              </w:rPr>
              <w:t>fg21</w:t>
            </w:r>
          </w:p>
        </w:tc>
        <w:tc>
          <w:tcPr>
            <w:tcW w:w="2550" w:type="dxa"/>
            <w:tcBorders>
              <w:top w:val="nil"/>
              <w:left w:val="nil"/>
              <w:bottom w:val="nil"/>
              <w:right w:val="nil"/>
              <w:insideH w:val="nil"/>
              <w:insideV w:val="nil"/>
            </w:tcBorders>
            <w:vAlign w:val="center"/>
          </w:tcPr>
          <w:p w14:paraId="0A637576">
            <w:pPr>
              <w:spacing w:before="0" w:after="10" w:line="240" w:lineRule="auto"/>
              <w:jc w:val="center"/>
            </w:pPr>
            <w:r>
              <w:rPr>
                <w:sz w:val="15"/>
              </w:rPr>
              <w:t>0.047</w:t>
            </w:r>
          </w:p>
        </w:tc>
        <w:tc>
          <w:tcPr>
            <w:tcW w:w="2550" w:type="dxa"/>
            <w:tcBorders>
              <w:top w:val="nil"/>
              <w:left w:val="nil"/>
              <w:bottom w:val="nil"/>
              <w:right w:val="nil"/>
              <w:insideH w:val="nil"/>
              <w:insideV w:val="nil"/>
            </w:tcBorders>
            <w:vAlign w:val="center"/>
          </w:tcPr>
          <w:p w14:paraId="2E2A35A7">
            <w:pPr>
              <w:spacing w:before="0" w:after="10" w:line="240" w:lineRule="auto"/>
              <w:jc w:val="center"/>
            </w:pPr>
            <w:r>
              <w:rPr>
                <w:sz w:val="15"/>
              </w:rPr>
              <w:t>Retained</w:t>
            </w:r>
          </w:p>
        </w:tc>
      </w:tr>
      <w:tr w14:paraId="5169F4AF">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626B7C5D">
            <w:pPr>
              <w:spacing w:before="0" w:after="10" w:line="240" w:lineRule="auto"/>
              <w:jc w:val="left"/>
            </w:pPr>
            <w:r>
              <w:rPr>
                <w:sz w:val="15"/>
              </w:rPr>
              <w:t>Fish</w:t>
            </w:r>
          </w:p>
        </w:tc>
        <w:tc>
          <w:tcPr>
            <w:tcW w:w="2550" w:type="dxa"/>
            <w:tcBorders>
              <w:top w:val="nil"/>
              <w:left w:val="nil"/>
              <w:bottom w:val="nil"/>
              <w:right w:val="nil"/>
              <w:insideH w:val="nil"/>
              <w:insideV w:val="nil"/>
            </w:tcBorders>
            <w:vAlign w:val="center"/>
          </w:tcPr>
          <w:p w14:paraId="6947B221">
            <w:pPr>
              <w:spacing w:before="0" w:after="10" w:line="240" w:lineRule="auto"/>
              <w:jc w:val="center"/>
            </w:pPr>
            <w:r>
              <w:rPr>
                <w:sz w:val="15"/>
              </w:rPr>
              <w:t>fg22</w:t>
            </w:r>
          </w:p>
        </w:tc>
        <w:tc>
          <w:tcPr>
            <w:tcW w:w="2550" w:type="dxa"/>
            <w:tcBorders>
              <w:top w:val="nil"/>
              <w:left w:val="nil"/>
              <w:bottom w:val="nil"/>
              <w:right w:val="nil"/>
              <w:insideH w:val="nil"/>
              <w:insideV w:val="nil"/>
            </w:tcBorders>
            <w:vAlign w:val="center"/>
          </w:tcPr>
          <w:p w14:paraId="60CC0FD5">
            <w:pPr>
              <w:spacing w:before="0" w:after="10" w:line="240" w:lineRule="auto"/>
              <w:jc w:val="center"/>
            </w:pPr>
            <w:r>
              <w:rPr>
                <w:sz w:val="15"/>
              </w:rPr>
              <w:t>0.046</w:t>
            </w:r>
          </w:p>
        </w:tc>
        <w:tc>
          <w:tcPr>
            <w:tcW w:w="2550" w:type="dxa"/>
            <w:tcBorders>
              <w:top w:val="nil"/>
              <w:left w:val="nil"/>
              <w:bottom w:val="nil"/>
              <w:right w:val="nil"/>
              <w:insideH w:val="nil"/>
              <w:insideV w:val="nil"/>
            </w:tcBorders>
            <w:vAlign w:val="center"/>
          </w:tcPr>
          <w:p w14:paraId="5463D483">
            <w:pPr>
              <w:spacing w:before="0" w:after="10" w:line="240" w:lineRule="auto"/>
              <w:jc w:val="center"/>
            </w:pPr>
            <w:r>
              <w:rPr>
                <w:sz w:val="15"/>
              </w:rPr>
              <w:t>Retained</w:t>
            </w:r>
          </w:p>
        </w:tc>
      </w:tr>
      <w:tr w14:paraId="25C72302">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5449025C">
            <w:pPr>
              <w:spacing w:before="0" w:after="10" w:line="240" w:lineRule="auto"/>
              <w:jc w:val="left"/>
            </w:pPr>
            <w:r>
              <w:rPr>
                <w:sz w:val="15"/>
              </w:rPr>
              <w:t>Nuts and seeds</w:t>
            </w:r>
          </w:p>
        </w:tc>
        <w:tc>
          <w:tcPr>
            <w:tcW w:w="2550" w:type="dxa"/>
            <w:tcBorders>
              <w:top w:val="nil"/>
              <w:left w:val="nil"/>
              <w:bottom w:val="nil"/>
              <w:right w:val="nil"/>
              <w:insideH w:val="nil"/>
              <w:insideV w:val="nil"/>
            </w:tcBorders>
            <w:vAlign w:val="center"/>
          </w:tcPr>
          <w:p w14:paraId="0554FE1C">
            <w:pPr>
              <w:spacing w:before="0" w:after="10" w:line="240" w:lineRule="auto"/>
              <w:jc w:val="center"/>
            </w:pPr>
            <w:r>
              <w:rPr>
                <w:sz w:val="15"/>
              </w:rPr>
              <w:t>fg15</w:t>
            </w:r>
          </w:p>
        </w:tc>
        <w:tc>
          <w:tcPr>
            <w:tcW w:w="2550" w:type="dxa"/>
            <w:tcBorders>
              <w:top w:val="nil"/>
              <w:left w:val="nil"/>
              <w:bottom w:val="nil"/>
              <w:right w:val="nil"/>
              <w:insideH w:val="nil"/>
              <w:insideV w:val="nil"/>
            </w:tcBorders>
            <w:vAlign w:val="center"/>
          </w:tcPr>
          <w:p w14:paraId="236398F8">
            <w:pPr>
              <w:spacing w:before="0" w:after="10" w:line="240" w:lineRule="auto"/>
              <w:jc w:val="center"/>
            </w:pPr>
            <w:r>
              <w:rPr>
                <w:sz w:val="15"/>
              </w:rPr>
              <w:t>0.031</w:t>
            </w:r>
          </w:p>
        </w:tc>
        <w:tc>
          <w:tcPr>
            <w:tcW w:w="2550" w:type="dxa"/>
            <w:tcBorders>
              <w:top w:val="nil"/>
              <w:left w:val="nil"/>
              <w:bottom w:val="nil"/>
              <w:right w:val="nil"/>
              <w:insideH w:val="nil"/>
              <w:insideV w:val="nil"/>
            </w:tcBorders>
            <w:vAlign w:val="center"/>
          </w:tcPr>
          <w:p w14:paraId="5FB77F77">
            <w:pPr>
              <w:spacing w:before="0" w:after="10" w:line="240" w:lineRule="auto"/>
              <w:jc w:val="center"/>
            </w:pPr>
            <w:r>
              <w:rPr>
                <w:sz w:val="15"/>
              </w:rPr>
              <w:t>Retained</w:t>
            </w:r>
          </w:p>
        </w:tc>
      </w:tr>
      <w:tr w14:paraId="37F29598">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0E8A63CE">
            <w:pPr>
              <w:spacing w:before="0" w:after="10" w:line="240" w:lineRule="auto"/>
              <w:jc w:val="left"/>
            </w:pPr>
            <w:r>
              <w:rPr>
                <w:sz w:val="15"/>
              </w:rPr>
              <w:t>Dark non-leafy vegetables</w:t>
            </w:r>
          </w:p>
        </w:tc>
        <w:tc>
          <w:tcPr>
            <w:tcW w:w="2550" w:type="dxa"/>
            <w:tcBorders>
              <w:top w:val="nil"/>
              <w:left w:val="nil"/>
              <w:bottom w:val="nil"/>
              <w:right w:val="nil"/>
              <w:insideH w:val="nil"/>
              <w:insideV w:val="nil"/>
            </w:tcBorders>
            <w:vAlign w:val="center"/>
          </w:tcPr>
          <w:p w14:paraId="5050A0B5">
            <w:pPr>
              <w:spacing w:before="0" w:after="10" w:line="240" w:lineRule="auto"/>
              <w:jc w:val="center"/>
            </w:pPr>
            <w:r>
              <w:rPr>
                <w:sz w:val="15"/>
              </w:rPr>
              <w:t>fg9</w:t>
            </w:r>
          </w:p>
        </w:tc>
        <w:tc>
          <w:tcPr>
            <w:tcW w:w="2550" w:type="dxa"/>
            <w:tcBorders>
              <w:top w:val="nil"/>
              <w:left w:val="nil"/>
              <w:bottom w:val="nil"/>
              <w:right w:val="nil"/>
              <w:insideH w:val="nil"/>
              <w:insideV w:val="nil"/>
            </w:tcBorders>
            <w:vAlign w:val="center"/>
          </w:tcPr>
          <w:p w14:paraId="0E7FCC55">
            <w:pPr>
              <w:spacing w:before="0" w:after="10" w:line="240" w:lineRule="auto"/>
              <w:jc w:val="center"/>
            </w:pPr>
            <w:r>
              <w:rPr>
                <w:sz w:val="15"/>
              </w:rPr>
              <w:t>0.024</w:t>
            </w:r>
          </w:p>
        </w:tc>
        <w:tc>
          <w:tcPr>
            <w:tcW w:w="2550" w:type="dxa"/>
            <w:tcBorders>
              <w:top w:val="nil"/>
              <w:left w:val="nil"/>
              <w:bottom w:val="nil"/>
              <w:right w:val="nil"/>
              <w:insideH w:val="nil"/>
              <w:insideV w:val="nil"/>
            </w:tcBorders>
            <w:vAlign w:val="center"/>
          </w:tcPr>
          <w:p w14:paraId="11242B14">
            <w:pPr>
              <w:spacing w:before="0" w:after="10" w:line="240" w:lineRule="auto"/>
              <w:jc w:val="center"/>
            </w:pPr>
            <w:r>
              <w:rPr>
                <w:sz w:val="15"/>
              </w:rPr>
              <w:t>Retained</w:t>
            </w:r>
          </w:p>
        </w:tc>
      </w:tr>
      <w:tr w14:paraId="2A1462FC">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5E3BB9FD">
            <w:pPr>
              <w:spacing w:before="0" w:after="10" w:line="240" w:lineRule="auto"/>
              <w:jc w:val="left"/>
            </w:pPr>
            <w:r>
              <w:rPr>
                <w:sz w:val="15"/>
              </w:rPr>
              <w:t>Tea</w:t>
            </w:r>
          </w:p>
        </w:tc>
        <w:tc>
          <w:tcPr>
            <w:tcW w:w="2550" w:type="dxa"/>
            <w:tcBorders>
              <w:top w:val="nil"/>
              <w:left w:val="nil"/>
              <w:bottom w:val="nil"/>
              <w:right w:val="nil"/>
              <w:insideH w:val="nil"/>
              <w:insideV w:val="nil"/>
            </w:tcBorders>
            <w:vAlign w:val="center"/>
          </w:tcPr>
          <w:p w14:paraId="41F0B660">
            <w:pPr>
              <w:spacing w:before="0" w:after="10" w:line="240" w:lineRule="auto"/>
              <w:jc w:val="center"/>
            </w:pPr>
            <w:r>
              <w:rPr>
                <w:sz w:val="15"/>
              </w:rPr>
              <w:t>fg28</w:t>
            </w:r>
          </w:p>
        </w:tc>
        <w:tc>
          <w:tcPr>
            <w:tcW w:w="2550" w:type="dxa"/>
            <w:tcBorders>
              <w:top w:val="nil"/>
              <w:left w:val="nil"/>
              <w:bottom w:val="nil"/>
              <w:right w:val="nil"/>
              <w:insideH w:val="nil"/>
              <w:insideV w:val="nil"/>
            </w:tcBorders>
            <w:vAlign w:val="center"/>
          </w:tcPr>
          <w:p w14:paraId="0CE35A0E">
            <w:pPr>
              <w:spacing w:before="0" w:after="10" w:line="240" w:lineRule="auto"/>
              <w:jc w:val="center"/>
            </w:pPr>
            <w:r>
              <w:rPr>
                <w:sz w:val="15"/>
              </w:rPr>
              <w:t>0.022</w:t>
            </w:r>
          </w:p>
        </w:tc>
        <w:tc>
          <w:tcPr>
            <w:tcW w:w="2550" w:type="dxa"/>
            <w:tcBorders>
              <w:top w:val="nil"/>
              <w:left w:val="nil"/>
              <w:bottom w:val="nil"/>
              <w:right w:val="nil"/>
              <w:insideH w:val="nil"/>
              <w:insideV w:val="nil"/>
            </w:tcBorders>
            <w:vAlign w:val="center"/>
          </w:tcPr>
          <w:p w14:paraId="28CCC08D">
            <w:pPr>
              <w:spacing w:before="0" w:after="10" w:line="240" w:lineRule="auto"/>
              <w:jc w:val="center"/>
            </w:pPr>
            <w:r>
              <w:rPr>
                <w:sz w:val="15"/>
              </w:rPr>
              <w:t>Retained</w:t>
            </w:r>
          </w:p>
        </w:tc>
      </w:tr>
      <w:tr w14:paraId="4CFF5180">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C0CFDAC">
            <w:pPr>
              <w:spacing w:before="0" w:after="10" w:line="240" w:lineRule="auto"/>
              <w:jc w:val="left"/>
            </w:pPr>
            <w:r>
              <w:rPr>
                <w:sz w:val="15"/>
              </w:rPr>
              <w:t>Processed meat</w:t>
            </w:r>
          </w:p>
        </w:tc>
        <w:tc>
          <w:tcPr>
            <w:tcW w:w="2550" w:type="dxa"/>
            <w:tcBorders>
              <w:top w:val="nil"/>
              <w:left w:val="nil"/>
              <w:bottom w:val="nil"/>
              <w:right w:val="nil"/>
              <w:insideH w:val="nil"/>
              <w:insideV w:val="nil"/>
            </w:tcBorders>
            <w:vAlign w:val="center"/>
          </w:tcPr>
          <w:p w14:paraId="282A8A80">
            <w:pPr>
              <w:spacing w:before="0" w:after="10" w:line="240" w:lineRule="auto"/>
              <w:jc w:val="center"/>
            </w:pPr>
            <w:r>
              <w:rPr>
                <w:sz w:val="15"/>
              </w:rPr>
              <w:t>fg20</w:t>
            </w:r>
          </w:p>
        </w:tc>
        <w:tc>
          <w:tcPr>
            <w:tcW w:w="2550" w:type="dxa"/>
            <w:tcBorders>
              <w:top w:val="nil"/>
              <w:left w:val="nil"/>
              <w:bottom w:val="nil"/>
              <w:right w:val="nil"/>
              <w:insideH w:val="nil"/>
              <w:insideV w:val="nil"/>
            </w:tcBorders>
            <w:vAlign w:val="center"/>
          </w:tcPr>
          <w:p w14:paraId="11996DD2">
            <w:pPr>
              <w:spacing w:before="0" w:after="10" w:line="240" w:lineRule="auto"/>
              <w:jc w:val="center"/>
            </w:pPr>
            <w:r>
              <w:rPr>
                <w:sz w:val="15"/>
              </w:rPr>
              <w:t>0.022</w:t>
            </w:r>
          </w:p>
        </w:tc>
        <w:tc>
          <w:tcPr>
            <w:tcW w:w="2550" w:type="dxa"/>
            <w:tcBorders>
              <w:top w:val="nil"/>
              <w:left w:val="nil"/>
              <w:bottom w:val="nil"/>
              <w:right w:val="nil"/>
              <w:insideH w:val="nil"/>
              <w:insideV w:val="nil"/>
            </w:tcBorders>
            <w:vAlign w:val="center"/>
          </w:tcPr>
          <w:p w14:paraId="700D507C">
            <w:pPr>
              <w:spacing w:before="0" w:after="10" w:line="240" w:lineRule="auto"/>
              <w:jc w:val="center"/>
            </w:pPr>
            <w:r>
              <w:rPr>
                <w:sz w:val="15"/>
              </w:rPr>
              <w:t>Retained</w:t>
            </w:r>
          </w:p>
        </w:tc>
      </w:tr>
      <w:tr w14:paraId="6F38AC22">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4566EB14">
            <w:pPr>
              <w:spacing w:before="0" w:after="10" w:line="240" w:lineRule="auto"/>
              <w:jc w:val="left"/>
            </w:pPr>
            <w:r>
              <w:rPr>
                <w:sz w:val="15"/>
              </w:rPr>
              <w:t>Animal fats</w:t>
            </w:r>
          </w:p>
        </w:tc>
        <w:tc>
          <w:tcPr>
            <w:tcW w:w="2550" w:type="dxa"/>
            <w:tcBorders>
              <w:top w:val="nil"/>
              <w:left w:val="nil"/>
              <w:bottom w:val="nil"/>
              <w:right w:val="nil"/>
              <w:insideH w:val="nil"/>
              <w:insideV w:val="nil"/>
            </w:tcBorders>
            <w:vAlign w:val="center"/>
          </w:tcPr>
          <w:p w14:paraId="50D2D1D0">
            <w:pPr>
              <w:spacing w:before="0" w:after="10" w:line="240" w:lineRule="auto"/>
              <w:jc w:val="center"/>
            </w:pPr>
            <w:r>
              <w:rPr>
                <w:sz w:val="15"/>
              </w:rPr>
              <w:t>fg27</w:t>
            </w:r>
          </w:p>
        </w:tc>
        <w:tc>
          <w:tcPr>
            <w:tcW w:w="2550" w:type="dxa"/>
            <w:tcBorders>
              <w:top w:val="nil"/>
              <w:left w:val="nil"/>
              <w:bottom w:val="nil"/>
              <w:right w:val="nil"/>
              <w:insideH w:val="nil"/>
              <w:insideV w:val="nil"/>
            </w:tcBorders>
            <w:vAlign w:val="center"/>
          </w:tcPr>
          <w:p w14:paraId="7EBCF83B">
            <w:pPr>
              <w:spacing w:before="0" w:after="10" w:line="240" w:lineRule="auto"/>
              <w:jc w:val="center"/>
            </w:pPr>
            <w:r>
              <w:rPr>
                <w:sz w:val="15"/>
              </w:rPr>
              <w:t>−0.023</w:t>
            </w:r>
          </w:p>
        </w:tc>
        <w:tc>
          <w:tcPr>
            <w:tcW w:w="2550" w:type="dxa"/>
            <w:tcBorders>
              <w:top w:val="nil"/>
              <w:left w:val="nil"/>
              <w:bottom w:val="nil"/>
              <w:right w:val="nil"/>
              <w:insideH w:val="nil"/>
              <w:insideV w:val="nil"/>
            </w:tcBorders>
            <w:vAlign w:val="center"/>
          </w:tcPr>
          <w:p w14:paraId="3B39FB24">
            <w:pPr>
              <w:spacing w:before="0" w:after="10" w:line="240" w:lineRule="auto"/>
              <w:jc w:val="center"/>
            </w:pPr>
            <w:r>
              <w:rPr>
                <w:sz w:val="15"/>
              </w:rPr>
              <w:t>Retained</w:t>
            </w:r>
          </w:p>
        </w:tc>
      </w:tr>
      <w:tr w14:paraId="64F25889">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BEF2C15">
            <w:pPr>
              <w:spacing w:before="0" w:after="10" w:line="240" w:lineRule="auto"/>
              <w:jc w:val="left"/>
            </w:pPr>
            <w:r>
              <w:rPr>
                <w:sz w:val="15"/>
              </w:rPr>
              <w:t>Dark leafy vegetables</w:t>
            </w:r>
          </w:p>
        </w:tc>
        <w:tc>
          <w:tcPr>
            <w:tcW w:w="2550" w:type="dxa"/>
            <w:tcBorders>
              <w:top w:val="nil"/>
              <w:left w:val="nil"/>
              <w:bottom w:val="nil"/>
              <w:right w:val="nil"/>
              <w:insideH w:val="nil"/>
              <w:insideV w:val="nil"/>
            </w:tcBorders>
            <w:vAlign w:val="center"/>
          </w:tcPr>
          <w:p w14:paraId="545D3D4A">
            <w:pPr>
              <w:spacing w:before="0" w:after="10" w:line="240" w:lineRule="auto"/>
              <w:jc w:val="center"/>
            </w:pPr>
            <w:r>
              <w:rPr>
                <w:sz w:val="15"/>
              </w:rPr>
              <w:t>fg8</w:t>
            </w:r>
          </w:p>
        </w:tc>
        <w:tc>
          <w:tcPr>
            <w:tcW w:w="2550" w:type="dxa"/>
            <w:tcBorders>
              <w:top w:val="nil"/>
              <w:left w:val="nil"/>
              <w:bottom w:val="nil"/>
              <w:right w:val="nil"/>
              <w:insideH w:val="nil"/>
              <w:insideV w:val="nil"/>
            </w:tcBorders>
            <w:vAlign w:val="center"/>
          </w:tcPr>
          <w:p w14:paraId="4A28D9A2">
            <w:pPr>
              <w:spacing w:before="0" w:after="10" w:line="240" w:lineRule="auto"/>
              <w:jc w:val="center"/>
            </w:pPr>
            <w:r>
              <w:rPr>
                <w:sz w:val="15"/>
              </w:rPr>
              <w:t>−0.025</w:t>
            </w:r>
          </w:p>
        </w:tc>
        <w:tc>
          <w:tcPr>
            <w:tcW w:w="2550" w:type="dxa"/>
            <w:tcBorders>
              <w:top w:val="nil"/>
              <w:left w:val="nil"/>
              <w:bottom w:val="nil"/>
              <w:right w:val="nil"/>
              <w:insideH w:val="nil"/>
              <w:insideV w:val="nil"/>
            </w:tcBorders>
            <w:vAlign w:val="center"/>
          </w:tcPr>
          <w:p w14:paraId="3D843DF2">
            <w:pPr>
              <w:spacing w:before="0" w:after="10" w:line="240" w:lineRule="auto"/>
              <w:jc w:val="center"/>
            </w:pPr>
            <w:r>
              <w:rPr>
                <w:sz w:val="15"/>
              </w:rPr>
              <w:t>Retained</w:t>
            </w:r>
          </w:p>
        </w:tc>
      </w:tr>
      <w:tr w14:paraId="2EF0A1D7">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6EE28A81">
            <w:pPr>
              <w:spacing w:before="0" w:after="10" w:line="240" w:lineRule="auto"/>
              <w:jc w:val="left"/>
            </w:pPr>
            <w:r>
              <w:rPr>
                <w:sz w:val="15"/>
              </w:rPr>
              <w:t>Fresh fruit</w:t>
            </w:r>
          </w:p>
        </w:tc>
        <w:tc>
          <w:tcPr>
            <w:tcW w:w="2550" w:type="dxa"/>
            <w:tcBorders>
              <w:top w:val="nil"/>
              <w:left w:val="nil"/>
              <w:bottom w:val="nil"/>
              <w:right w:val="nil"/>
              <w:insideH w:val="nil"/>
              <w:insideV w:val="nil"/>
            </w:tcBorders>
            <w:vAlign w:val="center"/>
          </w:tcPr>
          <w:p w14:paraId="7E0FF303">
            <w:pPr>
              <w:spacing w:before="0" w:after="10" w:line="240" w:lineRule="auto"/>
              <w:jc w:val="center"/>
            </w:pPr>
            <w:r>
              <w:rPr>
                <w:sz w:val="15"/>
              </w:rPr>
              <w:t>fg14</w:t>
            </w:r>
          </w:p>
        </w:tc>
        <w:tc>
          <w:tcPr>
            <w:tcW w:w="2550" w:type="dxa"/>
            <w:tcBorders>
              <w:top w:val="nil"/>
              <w:left w:val="nil"/>
              <w:bottom w:val="nil"/>
              <w:right w:val="nil"/>
              <w:insideH w:val="nil"/>
              <w:insideV w:val="nil"/>
            </w:tcBorders>
            <w:vAlign w:val="center"/>
          </w:tcPr>
          <w:p w14:paraId="22034559">
            <w:pPr>
              <w:spacing w:before="0" w:after="10" w:line="240" w:lineRule="auto"/>
              <w:jc w:val="center"/>
            </w:pPr>
            <w:r>
              <w:rPr>
                <w:sz w:val="15"/>
              </w:rPr>
              <w:t>−0.025</w:t>
            </w:r>
          </w:p>
        </w:tc>
        <w:tc>
          <w:tcPr>
            <w:tcW w:w="2550" w:type="dxa"/>
            <w:tcBorders>
              <w:top w:val="nil"/>
              <w:left w:val="nil"/>
              <w:bottom w:val="nil"/>
              <w:right w:val="nil"/>
              <w:insideH w:val="nil"/>
              <w:insideV w:val="nil"/>
            </w:tcBorders>
            <w:vAlign w:val="center"/>
          </w:tcPr>
          <w:p w14:paraId="3756C401">
            <w:pPr>
              <w:spacing w:before="0" w:after="10" w:line="240" w:lineRule="auto"/>
              <w:jc w:val="center"/>
            </w:pPr>
            <w:r>
              <w:rPr>
                <w:sz w:val="15"/>
              </w:rPr>
              <w:t>Retained</w:t>
            </w:r>
          </w:p>
        </w:tc>
      </w:tr>
      <w:tr w14:paraId="2EFFB2DA">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4B80F720">
            <w:pPr>
              <w:spacing w:before="0" w:after="10" w:line="240" w:lineRule="auto"/>
              <w:jc w:val="left"/>
            </w:pPr>
            <w:r>
              <w:rPr>
                <w:sz w:val="15"/>
              </w:rPr>
              <w:t>Pickled vegetables</w:t>
            </w:r>
          </w:p>
        </w:tc>
        <w:tc>
          <w:tcPr>
            <w:tcW w:w="2550" w:type="dxa"/>
            <w:tcBorders>
              <w:top w:val="nil"/>
              <w:left w:val="nil"/>
              <w:bottom w:val="nil"/>
              <w:right w:val="nil"/>
              <w:insideH w:val="nil"/>
              <w:insideV w:val="nil"/>
            </w:tcBorders>
            <w:vAlign w:val="center"/>
          </w:tcPr>
          <w:p w14:paraId="3E923DB2">
            <w:pPr>
              <w:spacing w:before="0" w:after="10" w:line="240" w:lineRule="auto"/>
              <w:jc w:val="center"/>
            </w:pPr>
            <w:r>
              <w:rPr>
                <w:sz w:val="15"/>
              </w:rPr>
              <w:t>fg12</w:t>
            </w:r>
          </w:p>
        </w:tc>
        <w:tc>
          <w:tcPr>
            <w:tcW w:w="2550" w:type="dxa"/>
            <w:tcBorders>
              <w:top w:val="nil"/>
              <w:left w:val="nil"/>
              <w:bottom w:val="nil"/>
              <w:right w:val="nil"/>
              <w:insideH w:val="nil"/>
              <w:insideV w:val="nil"/>
            </w:tcBorders>
            <w:vAlign w:val="center"/>
          </w:tcPr>
          <w:p w14:paraId="352D99EF">
            <w:pPr>
              <w:spacing w:before="0" w:after="10" w:line="240" w:lineRule="auto"/>
              <w:jc w:val="center"/>
            </w:pPr>
            <w:r>
              <w:rPr>
                <w:sz w:val="15"/>
              </w:rPr>
              <w:t>−0.027</w:t>
            </w:r>
          </w:p>
        </w:tc>
        <w:tc>
          <w:tcPr>
            <w:tcW w:w="2550" w:type="dxa"/>
            <w:tcBorders>
              <w:top w:val="nil"/>
              <w:left w:val="nil"/>
              <w:bottom w:val="nil"/>
              <w:right w:val="nil"/>
              <w:insideH w:val="nil"/>
              <w:insideV w:val="nil"/>
            </w:tcBorders>
            <w:vAlign w:val="center"/>
          </w:tcPr>
          <w:p w14:paraId="3160D5EF">
            <w:pPr>
              <w:spacing w:before="0" w:after="10" w:line="240" w:lineRule="auto"/>
              <w:jc w:val="center"/>
            </w:pPr>
            <w:r>
              <w:rPr>
                <w:sz w:val="15"/>
              </w:rPr>
              <w:t>Retained</w:t>
            </w:r>
          </w:p>
        </w:tc>
      </w:tr>
      <w:tr w14:paraId="01606853">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4804556">
            <w:pPr>
              <w:spacing w:before="0" w:after="10" w:line="240" w:lineRule="auto"/>
              <w:jc w:val="left"/>
            </w:pPr>
            <w:r>
              <w:rPr>
                <w:sz w:val="15"/>
              </w:rPr>
              <w:t>Fried wheat products</w:t>
            </w:r>
          </w:p>
        </w:tc>
        <w:tc>
          <w:tcPr>
            <w:tcW w:w="2550" w:type="dxa"/>
            <w:tcBorders>
              <w:top w:val="nil"/>
              <w:left w:val="nil"/>
              <w:bottom w:val="nil"/>
              <w:right w:val="nil"/>
              <w:insideH w:val="nil"/>
              <w:insideV w:val="nil"/>
            </w:tcBorders>
            <w:vAlign w:val="center"/>
          </w:tcPr>
          <w:p w14:paraId="0BDE5152">
            <w:pPr>
              <w:spacing w:before="0" w:after="10" w:line="240" w:lineRule="auto"/>
              <w:jc w:val="center"/>
            </w:pPr>
            <w:r>
              <w:rPr>
                <w:sz w:val="15"/>
              </w:rPr>
              <w:t>fg3</w:t>
            </w:r>
          </w:p>
        </w:tc>
        <w:tc>
          <w:tcPr>
            <w:tcW w:w="2550" w:type="dxa"/>
            <w:tcBorders>
              <w:top w:val="nil"/>
              <w:left w:val="nil"/>
              <w:bottom w:val="nil"/>
              <w:right w:val="nil"/>
              <w:insideH w:val="nil"/>
              <w:insideV w:val="nil"/>
            </w:tcBorders>
            <w:vAlign w:val="center"/>
          </w:tcPr>
          <w:p w14:paraId="23726C24">
            <w:pPr>
              <w:spacing w:before="0" w:after="10" w:line="240" w:lineRule="auto"/>
              <w:jc w:val="center"/>
            </w:pPr>
            <w:r>
              <w:rPr>
                <w:sz w:val="15"/>
              </w:rPr>
              <w:t>−0.040</w:t>
            </w:r>
          </w:p>
        </w:tc>
        <w:tc>
          <w:tcPr>
            <w:tcW w:w="2550" w:type="dxa"/>
            <w:tcBorders>
              <w:top w:val="nil"/>
              <w:left w:val="nil"/>
              <w:bottom w:val="nil"/>
              <w:right w:val="nil"/>
              <w:insideH w:val="nil"/>
              <w:insideV w:val="nil"/>
            </w:tcBorders>
            <w:vAlign w:val="center"/>
          </w:tcPr>
          <w:p w14:paraId="40E14028">
            <w:pPr>
              <w:spacing w:before="0" w:after="10" w:line="240" w:lineRule="auto"/>
              <w:jc w:val="center"/>
            </w:pPr>
            <w:r>
              <w:rPr>
                <w:sz w:val="15"/>
              </w:rPr>
              <w:t>Retained</w:t>
            </w:r>
          </w:p>
        </w:tc>
      </w:tr>
      <w:tr w14:paraId="4156DF15">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60F675D">
            <w:pPr>
              <w:spacing w:before="0" w:after="10" w:line="240" w:lineRule="auto"/>
              <w:jc w:val="left"/>
            </w:pPr>
            <w:r>
              <w:rPr>
                <w:sz w:val="15"/>
              </w:rPr>
              <w:t>Potatoes and tubers</w:t>
            </w:r>
          </w:p>
        </w:tc>
        <w:tc>
          <w:tcPr>
            <w:tcW w:w="2550" w:type="dxa"/>
            <w:tcBorders>
              <w:top w:val="nil"/>
              <w:left w:val="nil"/>
              <w:bottom w:val="nil"/>
              <w:right w:val="nil"/>
              <w:insideH w:val="nil"/>
              <w:insideV w:val="nil"/>
            </w:tcBorders>
            <w:vAlign w:val="center"/>
          </w:tcPr>
          <w:p w14:paraId="0D6CD2DF">
            <w:pPr>
              <w:spacing w:before="0" w:after="10" w:line="240" w:lineRule="auto"/>
              <w:jc w:val="center"/>
            </w:pPr>
            <w:r>
              <w:rPr>
                <w:sz w:val="15"/>
              </w:rPr>
              <w:t>fg5</w:t>
            </w:r>
          </w:p>
        </w:tc>
        <w:tc>
          <w:tcPr>
            <w:tcW w:w="2550" w:type="dxa"/>
            <w:tcBorders>
              <w:top w:val="nil"/>
              <w:left w:val="nil"/>
              <w:bottom w:val="nil"/>
              <w:right w:val="nil"/>
              <w:insideH w:val="nil"/>
              <w:insideV w:val="nil"/>
            </w:tcBorders>
            <w:vAlign w:val="center"/>
          </w:tcPr>
          <w:p w14:paraId="36795F03">
            <w:pPr>
              <w:spacing w:before="0" w:after="10" w:line="240" w:lineRule="auto"/>
              <w:jc w:val="center"/>
            </w:pPr>
            <w:r>
              <w:rPr>
                <w:sz w:val="15"/>
              </w:rPr>
              <w:t>−0.040</w:t>
            </w:r>
          </w:p>
        </w:tc>
        <w:tc>
          <w:tcPr>
            <w:tcW w:w="2550" w:type="dxa"/>
            <w:tcBorders>
              <w:top w:val="nil"/>
              <w:left w:val="nil"/>
              <w:bottom w:val="nil"/>
              <w:right w:val="nil"/>
              <w:insideH w:val="nil"/>
              <w:insideV w:val="nil"/>
            </w:tcBorders>
            <w:vAlign w:val="center"/>
          </w:tcPr>
          <w:p w14:paraId="471BCA9C">
            <w:pPr>
              <w:spacing w:before="0" w:after="10" w:line="240" w:lineRule="auto"/>
              <w:jc w:val="center"/>
            </w:pPr>
            <w:r>
              <w:rPr>
                <w:sz w:val="15"/>
              </w:rPr>
              <w:t>Retained</w:t>
            </w:r>
          </w:p>
        </w:tc>
      </w:tr>
      <w:tr w14:paraId="4DE1A679">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04235EE8">
            <w:pPr>
              <w:spacing w:before="0" w:after="10" w:line="240" w:lineRule="auto"/>
              <w:jc w:val="left"/>
            </w:pPr>
            <w:r>
              <w:rPr>
                <w:sz w:val="15"/>
              </w:rPr>
              <w:t>Eggs</w:t>
            </w:r>
          </w:p>
        </w:tc>
        <w:tc>
          <w:tcPr>
            <w:tcW w:w="2550" w:type="dxa"/>
            <w:tcBorders>
              <w:top w:val="nil"/>
              <w:left w:val="nil"/>
              <w:bottom w:val="nil"/>
              <w:right w:val="nil"/>
              <w:insideH w:val="nil"/>
              <w:insideV w:val="nil"/>
            </w:tcBorders>
            <w:vAlign w:val="center"/>
          </w:tcPr>
          <w:p w14:paraId="2C57244A">
            <w:pPr>
              <w:spacing w:before="0" w:after="10" w:line="240" w:lineRule="auto"/>
              <w:jc w:val="center"/>
            </w:pPr>
            <w:r>
              <w:rPr>
                <w:sz w:val="15"/>
              </w:rPr>
              <w:t>fg24</w:t>
            </w:r>
          </w:p>
        </w:tc>
        <w:tc>
          <w:tcPr>
            <w:tcW w:w="2550" w:type="dxa"/>
            <w:tcBorders>
              <w:top w:val="nil"/>
              <w:left w:val="nil"/>
              <w:bottom w:val="nil"/>
              <w:right w:val="nil"/>
              <w:insideH w:val="nil"/>
              <w:insideV w:val="nil"/>
            </w:tcBorders>
            <w:vAlign w:val="center"/>
          </w:tcPr>
          <w:p w14:paraId="627F155F">
            <w:pPr>
              <w:spacing w:before="0" w:after="10" w:line="240" w:lineRule="auto"/>
              <w:jc w:val="center"/>
            </w:pPr>
            <w:bookmarkStart w:id="0" w:name="_GoBack"/>
            <w:bookmarkEnd w:id="0"/>
            <w:r>
              <w:rPr>
                <w:sz w:val="15"/>
              </w:rPr>
              <w:t>−0.065</w:t>
            </w:r>
          </w:p>
        </w:tc>
        <w:tc>
          <w:tcPr>
            <w:tcW w:w="2550" w:type="dxa"/>
            <w:tcBorders>
              <w:top w:val="nil"/>
              <w:left w:val="nil"/>
              <w:bottom w:val="nil"/>
              <w:right w:val="nil"/>
              <w:insideH w:val="nil"/>
              <w:insideV w:val="nil"/>
            </w:tcBorders>
            <w:vAlign w:val="center"/>
          </w:tcPr>
          <w:p w14:paraId="15D71E6B">
            <w:pPr>
              <w:spacing w:before="0" w:after="10" w:line="240" w:lineRule="auto"/>
              <w:jc w:val="center"/>
            </w:pPr>
            <w:r>
              <w:rPr>
                <w:sz w:val="15"/>
              </w:rPr>
              <w:t>Retained</w:t>
            </w:r>
          </w:p>
        </w:tc>
      </w:tr>
      <w:tr w14:paraId="00CA8C62">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60DBBCF9">
            <w:pPr>
              <w:spacing w:before="0" w:after="10" w:line="240" w:lineRule="auto"/>
              <w:jc w:val="left"/>
            </w:pPr>
            <w:r>
              <w:rPr>
                <w:sz w:val="15"/>
              </w:rPr>
              <w:t>Cruciferous vegetables</w:t>
            </w:r>
          </w:p>
        </w:tc>
        <w:tc>
          <w:tcPr>
            <w:tcW w:w="2550" w:type="dxa"/>
            <w:tcBorders>
              <w:top w:val="nil"/>
              <w:left w:val="nil"/>
              <w:bottom w:val="nil"/>
              <w:right w:val="nil"/>
              <w:insideH w:val="nil"/>
              <w:insideV w:val="nil"/>
            </w:tcBorders>
            <w:vAlign w:val="center"/>
          </w:tcPr>
          <w:p w14:paraId="7E61BD40">
            <w:pPr>
              <w:spacing w:before="0" w:after="10" w:line="240" w:lineRule="auto"/>
              <w:jc w:val="center"/>
            </w:pPr>
            <w:r>
              <w:rPr>
                <w:sz w:val="15"/>
              </w:rPr>
              <w:t>fg11</w:t>
            </w:r>
          </w:p>
        </w:tc>
        <w:tc>
          <w:tcPr>
            <w:tcW w:w="2550" w:type="dxa"/>
            <w:tcBorders>
              <w:top w:val="nil"/>
              <w:left w:val="nil"/>
              <w:bottom w:val="nil"/>
              <w:right w:val="nil"/>
              <w:insideH w:val="nil"/>
              <w:insideV w:val="nil"/>
            </w:tcBorders>
            <w:vAlign w:val="center"/>
          </w:tcPr>
          <w:p w14:paraId="5F20563F">
            <w:pPr>
              <w:spacing w:before="0" w:after="10" w:line="240" w:lineRule="auto"/>
              <w:jc w:val="center"/>
            </w:pPr>
            <w:r>
              <w:rPr>
                <w:sz w:val="15"/>
              </w:rPr>
              <w:t>−0.067</w:t>
            </w:r>
          </w:p>
        </w:tc>
        <w:tc>
          <w:tcPr>
            <w:tcW w:w="2550" w:type="dxa"/>
            <w:tcBorders>
              <w:top w:val="nil"/>
              <w:left w:val="nil"/>
              <w:bottom w:val="nil"/>
              <w:right w:val="nil"/>
              <w:insideH w:val="nil"/>
              <w:insideV w:val="nil"/>
            </w:tcBorders>
            <w:vAlign w:val="center"/>
          </w:tcPr>
          <w:p w14:paraId="1549CF12">
            <w:pPr>
              <w:spacing w:before="0" w:after="10" w:line="240" w:lineRule="auto"/>
              <w:jc w:val="center"/>
            </w:pPr>
            <w:r>
              <w:rPr>
                <w:sz w:val="15"/>
              </w:rPr>
              <w:t>Retained</w:t>
            </w:r>
          </w:p>
        </w:tc>
      </w:tr>
      <w:tr w14:paraId="02B74FF0">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25352E20">
            <w:pPr>
              <w:spacing w:before="0" w:after="10" w:line="240" w:lineRule="auto"/>
              <w:jc w:val="left"/>
            </w:pPr>
            <w:r>
              <w:rPr>
                <w:sz w:val="15"/>
              </w:rPr>
              <w:t>Wheat-based staples</w:t>
            </w:r>
          </w:p>
        </w:tc>
        <w:tc>
          <w:tcPr>
            <w:tcW w:w="2550" w:type="dxa"/>
            <w:tcBorders>
              <w:top w:val="nil"/>
              <w:left w:val="nil"/>
              <w:bottom w:val="nil"/>
              <w:right w:val="nil"/>
              <w:insideH w:val="nil"/>
              <w:insideV w:val="nil"/>
            </w:tcBorders>
            <w:vAlign w:val="center"/>
          </w:tcPr>
          <w:p w14:paraId="61792672">
            <w:pPr>
              <w:spacing w:before="0" w:after="10" w:line="240" w:lineRule="auto"/>
              <w:jc w:val="center"/>
            </w:pPr>
            <w:r>
              <w:rPr>
                <w:sz w:val="15"/>
              </w:rPr>
              <w:t>fg2</w:t>
            </w:r>
          </w:p>
        </w:tc>
        <w:tc>
          <w:tcPr>
            <w:tcW w:w="2550" w:type="dxa"/>
            <w:tcBorders>
              <w:top w:val="nil"/>
              <w:left w:val="nil"/>
              <w:bottom w:val="nil"/>
              <w:right w:val="nil"/>
              <w:insideH w:val="nil"/>
              <w:insideV w:val="nil"/>
            </w:tcBorders>
            <w:vAlign w:val="center"/>
          </w:tcPr>
          <w:p w14:paraId="6AAC301C">
            <w:pPr>
              <w:spacing w:before="0" w:after="10" w:line="240" w:lineRule="auto"/>
              <w:jc w:val="center"/>
            </w:pPr>
            <w:r>
              <w:rPr>
                <w:sz w:val="15"/>
              </w:rPr>
              <w:t>−0.100</w:t>
            </w:r>
          </w:p>
        </w:tc>
        <w:tc>
          <w:tcPr>
            <w:tcW w:w="2550" w:type="dxa"/>
            <w:tcBorders>
              <w:top w:val="nil"/>
              <w:left w:val="nil"/>
              <w:bottom w:val="nil"/>
              <w:right w:val="nil"/>
              <w:insideH w:val="nil"/>
              <w:insideV w:val="nil"/>
            </w:tcBorders>
            <w:vAlign w:val="center"/>
          </w:tcPr>
          <w:p w14:paraId="164EE4DB">
            <w:pPr>
              <w:spacing w:before="0" w:after="10" w:line="240" w:lineRule="auto"/>
              <w:jc w:val="center"/>
            </w:pPr>
            <w:r>
              <w:rPr>
                <w:sz w:val="15"/>
              </w:rPr>
              <w:t>Retained</w:t>
            </w:r>
          </w:p>
        </w:tc>
      </w:tr>
      <w:tr w14:paraId="072FDAE1">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7E67C295">
            <w:pPr>
              <w:spacing w:before="0" w:after="10" w:line="240" w:lineRule="auto"/>
              <w:jc w:val="left"/>
            </w:pPr>
            <w:r>
              <w:rPr>
                <w:sz w:val="15"/>
              </w:rPr>
              <w:t>Whole grains</w:t>
            </w:r>
          </w:p>
        </w:tc>
        <w:tc>
          <w:tcPr>
            <w:tcW w:w="2550" w:type="dxa"/>
            <w:tcBorders>
              <w:top w:val="nil"/>
              <w:left w:val="nil"/>
              <w:bottom w:val="nil"/>
              <w:right w:val="nil"/>
              <w:insideH w:val="nil"/>
              <w:insideV w:val="nil"/>
            </w:tcBorders>
            <w:vAlign w:val="center"/>
          </w:tcPr>
          <w:p w14:paraId="24C39E70">
            <w:pPr>
              <w:spacing w:before="0" w:after="10" w:line="240" w:lineRule="auto"/>
              <w:jc w:val="center"/>
            </w:pPr>
            <w:r>
              <w:rPr>
                <w:sz w:val="15"/>
              </w:rPr>
              <w:t>fg4</w:t>
            </w:r>
          </w:p>
        </w:tc>
        <w:tc>
          <w:tcPr>
            <w:tcW w:w="2550" w:type="dxa"/>
            <w:tcBorders>
              <w:top w:val="nil"/>
              <w:left w:val="nil"/>
              <w:bottom w:val="nil"/>
              <w:right w:val="nil"/>
              <w:insideH w:val="nil"/>
              <w:insideV w:val="nil"/>
            </w:tcBorders>
            <w:vAlign w:val="center"/>
          </w:tcPr>
          <w:p w14:paraId="0FAB0BD3">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25A5A344">
            <w:pPr>
              <w:spacing w:before="0" w:after="10" w:line="240" w:lineRule="auto"/>
              <w:jc w:val="center"/>
            </w:pPr>
            <w:r>
              <w:rPr>
                <w:sz w:val="15"/>
              </w:rPr>
              <w:t>Thresholded</w:t>
            </w:r>
          </w:p>
        </w:tc>
      </w:tr>
      <w:tr w14:paraId="06DEA909">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516AF2CB">
            <w:pPr>
              <w:spacing w:before="0" w:after="10" w:line="240" w:lineRule="auto"/>
              <w:jc w:val="left"/>
            </w:pPr>
            <w:r>
              <w:rPr>
                <w:sz w:val="15"/>
              </w:rPr>
              <w:t>Dried legumes</w:t>
            </w:r>
          </w:p>
        </w:tc>
        <w:tc>
          <w:tcPr>
            <w:tcW w:w="2550" w:type="dxa"/>
            <w:tcBorders>
              <w:top w:val="nil"/>
              <w:left w:val="nil"/>
              <w:bottom w:val="nil"/>
              <w:right w:val="nil"/>
              <w:insideH w:val="nil"/>
              <w:insideV w:val="nil"/>
            </w:tcBorders>
            <w:vAlign w:val="center"/>
          </w:tcPr>
          <w:p w14:paraId="4FD66B7D">
            <w:pPr>
              <w:spacing w:before="0" w:after="10" w:line="240" w:lineRule="auto"/>
              <w:jc w:val="center"/>
            </w:pPr>
            <w:r>
              <w:rPr>
                <w:sz w:val="15"/>
              </w:rPr>
              <w:t>fg7</w:t>
            </w:r>
          </w:p>
        </w:tc>
        <w:tc>
          <w:tcPr>
            <w:tcW w:w="2550" w:type="dxa"/>
            <w:tcBorders>
              <w:top w:val="nil"/>
              <w:left w:val="nil"/>
              <w:bottom w:val="nil"/>
              <w:right w:val="nil"/>
              <w:insideH w:val="nil"/>
              <w:insideV w:val="nil"/>
            </w:tcBorders>
            <w:vAlign w:val="center"/>
          </w:tcPr>
          <w:p w14:paraId="144E2E0B">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00A0E8E9">
            <w:pPr>
              <w:spacing w:before="0" w:after="10" w:line="240" w:lineRule="auto"/>
              <w:jc w:val="center"/>
            </w:pPr>
            <w:r>
              <w:rPr>
                <w:sz w:val="15"/>
              </w:rPr>
              <w:t>Thresholded</w:t>
            </w:r>
          </w:p>
        </w:tc>
      </w:tr>
      <w:tr w14:paraId="2B9CE051">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401CF66C">
            <w:pPr>
              <w:spacing w:before="0" w:after="10" w:line="240" w:lineRule="auto"/>
              <w:jc w:val="left"/>
            </w:pPr>
            <w:r>
              <w:rPr>
                <w:sz w:val="15"/>
              </w:rPr>
              <w:t>Light-coloured vegetables</w:t>
            </w:r>
          </w:p>
        </w:tc>
        <w:tc>
          <w:tcPr>
            <w:tcW w:w="2550" w:type="dxa"/>
            <w:tcBorders>
              <w:top w:val="nil"/>
              <w:left w:val="nil"/>
              <w:bottom w:val="nil"/>
              <w:right w:val="nil"/>
              <w:insideH w:val="nil"/>
              <w:insideV w:val="nil"/>
            </w:tcBorders>
            <w:vAlign w:val="center"/>
          </w:tcPr>
          <w:p w14:paraId="396EDA12">
            <w:pPr>
              <w:spacing w:before="0" w:after="10" w:line="240" w:lineRule="auto"/>
              <w:jc w:val="center"/>
            </w:pPr>
            <w:r>
              <w:rPr>
                <w:sz w:val="15"/>
              </w:rPr>
              <w:t>fg10</w:t>
            </w:r>
          </w:p>
        </w:tc>
        <w:tc>
          <w:tcPr>
            <w:tcW w:w="2550" w:type="dxa"/>
            <w:tcBorders>
              <w:top w:val="nil"/>
              <w:left w:val="nil"/>
              <w:bottom w:val="nil"/>
              <w:right w:val="nil"/>
              <w:insideH w:val="nil"/>
              <w:insideV w:val="nil"/>
            </w:tcBorders>
            <w:vAlign w:val="center"/>
          </w:tcPr>
          <w:p w14:paraId="56D69BA7">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1EE4BC77">
            <w:pPr>
              <w:spacing w:before="0" w:after="10" w:line="240" w:lineRule="auto"/>
              <w:jc w:val="center"/>
            </w:pPr>
            <w:r>
              <w:rPr>
                <w:sz w:val="15"/>
              </w:rPr>
              <w:t>Thresholded</w:t>
            </w:r>
          </w:p>
        </w:tc>
      </w:tr>
      <w:tr w14:paraId="64F55649">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24C98F5">
            <w:pPr>
              <w:spacing w:before="0" w:after="10" w:line="240" w:lineRule="auto"/>
              <w:jc w:val="left"/>
            </w:pPr>
            <w:r>
              <w:rPr>
                <w:sz w:val="15"/>
              </w:rPr>
              <w:t>Mushrooms and seaweed</w:t>
            </w:r>
          </w:p>
        </w:tc>
        <w:tc>
          <w:tcPr>
            <w:tcW w:w="2550" w:type="dxa"/>
            <w:tcBorders>
              <w:top w:val="nil"/>
              <w:left w:val="nil"/>
              <w:bottom w:val="nil"/>
              <w:right w:val="nil"/>
              <w:insideH w:val="nil"/>
              <w:insideV w:val="nil"/>
            </w:tcBorders>
            <w:vAlign w:val="center"/>
          </w:tcPr>
          <w:p w14:paraId="23A426AB">
            <w:pPr>
              <w:spacing w:before="0" w:after="10" w:line="240" w:lineRule="auto"/>
              <w:jc w:val="center"/>
            </w:pPr>
            <w:r>
              <w:rPr>
                <w:sz w:val="15"/>
              </w:rPr>
              <w:t>fg13</w:t>
            </w:r>
          </w:p>
        </w:tc>
        <w:tc>
          <w:tcPr>
            <w:tcW w:w="2550" w:type="dxa"/>
            <w:tcBorders>
              <w:top w:val="nil"/>
              <w:left w:val="nil"/>
              <w:bottom w:val="nil"/>
              <w:right w:val="nil"/>
              <w:insideH w:val="nil"/>
              <w:insideV w:val="nil"/>
            </w:tcBorders>
            <w:vAlign w:val="center"/>
          </w:tcPr>
          <w:p w14:paraId="105537EC">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22C7E9AA">
            <w:pPr>
              <w:spacing w:before="0" w:after="10" w:line="240" w:lineRule="auto"/>
              <w:jc w:val="center"/>
            </w:pPr>
            <w:r>
              <w:rPr>
                <w:sz w:val="15"/>
              </w:rPr>
              <w:t>Thresholded</w:t>
            </w:r>
          </w:p>
        </w:tc>
      </w:tr>
      <w:tr w14:paraId="356ACA3A">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74BFCEA3">
            <w:pPr>
              <w:spacing w:before="0" w:after="10" w:line="240" w:lineRule="auto"/>
              <w:jc w:val="left"/>
            </w:pPr>
            <w:r>
              <w:rPr>
                <w:sz w:val="15"/>
              </w:rPr>
              <w:t>Poultry</w:t>
            </w:r>
          </w:p>
        </w:tc>
        <w:tc>
          <w:tcPr>
            <w:tcW w:w="2550" w:type="dxa"/>
            <w:tcBorders>
              <w:top w:val="nil"/>
              <w:left w:val="nil"/>
              <w:bottom w:val="nil"/>
              <w:right w:val="nil"/>
              <w:insideH w:val="nil"/>
              <w:insideV w:val="nil"/>
            </w:tcBorders>
            <w:vAlign w:val="center"/>
          </w:tcPr>
          <w:p w14:paraId="5124D60D">
            <w:pPr>
              <w:spacing w:before="0" w:after="10" w:line="240" w:lineRule="auto"/>
              <w:jc w:val="center"/>
            </w:pPr>
            <w:r>
              <w:rPr>
                <w:sz w:val="15"/>
              </w:rPr>
              <w:t>fg18</w:t>
            </w:r>
          </w:p>
        </w:tc>
        <w:tc>
          <w:tcPr>
            <w:tcW w:w="2550" w:type="dxa"/>
            <w:tcBorders>
              <w:top w:val="nil"/>
              <w:left w:val="nil"/>
              <w:bottom w:val="nil"/>
              <w:right w:val="nil"/>
              <w:insideH w:val="nil"/>
              <w:insideV w:val="nil"/>
            </w:tcBorders>
            <w:vAlign w:val="center"/>
          </w:tcPr>
          <w:p w14:paraId="619FC41C">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118A65AF">
            <w:pPr>
              <w:spacing w:before="0" w:after="10" w:line="240" w:lineRule="auto"/>
              <w:jc w:val="center"/>
            </w:pPr>
            <w:r>
              <w:rPr>
                <w:sz w:val="15"/>
              </w:rPr>
              <w:t>Thresholded</w:t>
            </w:r>
          </w:p>
        </w:tc>
      </w:tr>
      <w:tr w14:paraId="4CBFA423">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2C3E5007">
            <w:pPr>
              <w:spacing w:before="0" w:after="10" w:line="240" w:lineRule="auto"/>
              <w:jc w:val="left"/>
            </w:pPr>
            <w:r>
              <w:rPr>
                <w:sz w:val="15"/>
              </w:rPr>
              <w:t>Beef and lamb</w:t>
            </w:r>
          </w:p>
        </w:tc>
        <w:tc>
          <w:tcPr>
            <w:tcW w:w="2550" w:type="dxa"/>
            <w:tcBorders>
              <w:top w:val="nil"/>
              <w:left w:val="nil"/>
              <w:bottom w:val="nil"/>
              <w:right w:val="nil"/>
              <w:insideH w:val="nil"/>
              <w:insideV w:val="nil"/>
            </w:tcBorders>
            <w:vAlign w:val="center"/>
          </w:tcPr>
          <w:p w14:paraId="082074DB">
            <w:pPr>
              <w:spacing w:before="0" w:after="10" w:line="240" w:lineRule="auto"/>
              <w:jc w:val="center"/>
            </w:pPr>
            <w:r>
              <w:rPr>
                <w:sz w:val="15"/>
              </w:rPr>
              <w:t>fg19</w:t>
            </w:r>
          </w:p>
        </w:tc>
        <w:tc>
          <w:tcPr>
            <w:tcW w:w="2550" w:type="dxa"/>
            <w:tcBorders>
              <w:top w:val="nil"/>
              <w:left w:val="nil"/>
              <w:bottom w:val="nil"/>
              <w:right w:val="nil"/>
              <w:insideH w:val="nil"/>
              <w:insideV w:val="nil"/>
            </w:tcBorders>
            <w:vAlign w:val="center"/>
          </w:tcPr>
          <w:p w14:paraId="6AFB066F">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6144900B">
            <w:pPr>
              <w:spacing w:before="0" w:after="10" w:line="240" w:lineRule="auto"/>
              <w:jc w:val="center"/>
            </w:pPr>
            <w:r>
              <w:rPr>
                <w:sz w:val="15"/>
              </w:rPr>
              <w:t>Thresholded</w:t>
            </w:r>
          </w:p>
        </w:tc>
      </w:tr>
      <w:tr w14:paraId="536DFD12">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37730F53">
            <w:pPr>
              <w:spacing w:before="0" w:after="10" w:line="240" w:lineRule="auto"/>
              <w:jc w:val="left"/>
            </w:pPr>
            <w:r>
              <w:rPr>
                <w:sz w:val="15"/>
              </w:rPr>
              <w:t>Shellfish</w:t>
            </w:r>
          </w:p>
        </w:tc>
        <w:tc>
          <w:tcPr>
            <w:tcW w:w="2550" w:type="dxa"/>
            <w:tcBorders>
              <w:top w:val="nil"/>
              <w:left w:val="nil"/>
              <w:bottom w:val="nil"/>
              <w:right w:val="nil"/>
              <w:insideH w:val="nil"/>
              <w:insideV w:val="nil"/>
            </w:tcBorders>
            <w:vAlign w:val="center"/>
          </w:tcPr>
          <w:p w14:paraId="7F606ABE">
            <w:pPr>
              <w:spacing w:before="0" w:after="10" w:line="240" w:lineRule="auto"/>
              <w:jc w:val="center"/>
            </w:pPr>
            <w:r>
              <w:rPr>
                <w:sz w:val="15"/>
              </w:rPr>
              <w:t>fg23</w:t>
            </w:r>
          </w:p>
        </w:tc>
        <w:tc>
          <w:tcPr>
            <w:tcW w:w="2550" w:type="dxa"/>
            <w:tcBorders>
              <w:top w:val="nil"/>
              <w:left w:val="nil"/>
              <w:bottom w:val="nil"/>
              <w:right w:val="nil"/>
              <w:insideH w:val="nil"/>
              <w:insideV w:val="nil"/>
            </w:tcBorders>
            <w:vAlign w:val="center"/>
          </w:tcPr>
          <w:p w14:paraId="4B5F00D6">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1ECC84F3">
            <w:pPr>
              <w:spacing w:before="0" w:after="10" w:line="240" w:lineRule="auto"/>
              <w:jc w:val="center"/>
            </w:pPr>
            <w:r>
              <w:rPr>
                <w:sz w:val="15"/>
              </w:rPr>
              <w:t>Thresholded</w:t>
            </w:r>
          </w:p>
        </w:tc>
      </w:tr>
      <w:tr w14:paraId="4052125C">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7C36E83E">
            <w:pPr>
              <w:spacing w:before="0" w:after="10" w:line="240" w:lineRule="auto"/>
              <w:jc w:val="left"/>
            </w:pPr>
            <w:r>
              <w:rPr>
                <w:sz w:val="15"/>
              </w:rPr>
              <w:t>Milk and dairy products</w:t>
            </w:r>
          </w:p>
        </w:tc>
        <w:tc>
          <w:tcPr>
            <w:tcW w:w="2550" w:type="dxa"/>
            <w:tcBorders>
              <w:top w:val="nil"/>
              <w:left w:val="nil"/>
              <w:bottom w:val="nil"/>
              <w:right w:val="nil"/>
              <w:insideH w:val="nil"/>
              <w:insideV w:val="nil"/>
            </w:tcBorders>
            <w:vAlign w:val="center"/>
          </w:tcPr>
          <w:p w14:paraId="17CAD594">
            <w:pPr>
              <w:spacing w:before="0" w:after="10" w:line="240" w:lineRule="auto"/>
              <w:jc w:val="center"/>
            </w:pPr>
            <w:r>
              <w:rPr>
                <w:sz w:val="15"/>
              </w:rPr>
              <w:t>fg25</w:t>
            </w:r>
          </w:p>
        </w:tc>
        <w:tc>
          <w:tcPr>
            <w:tcW w:w="2550" w:type="dxa"/>
            <w:tcBorders>
              <w:top w:val="nil"/>
              <w:left w:val="nil"/>
              <w:bottom w:val="nil"/>
              <w:right w:val="nil"/>
              <w:insideH w:val="nil"/>
              <w:insideV w:val="nil"/>
            </w:tcBorders>
            <w:vAlign w:val="center"/>
          </w:tcPr>
          <w:p w14:paraId="0948211D">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73E84138">
            <w:pPr>
              <w:spacing w:before="0" w:after="10" w:line="240" w:lineRule="auto"/>
              <w:jc w:val="center"/>
            </w:pPr>
            <w:r>
              <w:rPr>
                <w:sz w:val="15"/>
              </w:rPr>
              <w:t>Thresholded</w:t>
            </w:r>
          </w:p>
        </w:tc>
      </w:tr>
      <w:tr w14:paraId="4DD5A3E3">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19B73AE0">
            <w:pPr>
              <w:spacing w:before="0" w:after="10" w:line="240" w:lineRule="auto"/>
              <w:jc w:val="left"/>
            </w:pPr>
            <w:r>
              <w:rPr>
                <w:sz w:val="15"/>
              </w:rPr>
              <w:t>Vegetable oils</w:t>
            </w:r>
          </w:p>
        </w:tc>
        <w:tc>
          <w:tcPr>
            <w:tcW w:w="2550" w:type="dxa"/>
            <w:tcBorders>
              <w:top w:val="nil"/>
              <w:left w:val="nil"/>
              <w:bottom w:val="nil"/>
              <w:right w:val="nil"/>
              <w:insideH w:val="nil"/>
              <w:insideV w:val="nil"/>
            </w:tcBorders>
            <w:vAlign w:val="center"/>
          </w:tcPr>
          <w:p w14:paraId="7FD3DADB">
            <w:pPr>
              <w:spacing w:before="0" w:after="10" w:line="240" w:lineRule="auto"/>
              <w:jc w:val="center"/>
            </w:pPr>
            <w:r>
              <w:rPr>
                <w:sz w:val="15"/>
              </w:rPr>
              <w:t>fg26</w:t>
            </w:r>
          </w:p>
        </w:tc>
        <w:tc>
          <w:tcPr>
            <w:tcW w:w="2550" w:type="dxa"/>
            <w:tcBorders>
              <w:top w:val="nil"/>
              <w:left w:val="nil"/>
              <w:bottom w:val="nil"/>
              <w:right w:val="nil"/>
              <w:insideH w:val="nil"/>
              <w:insideV w:val="nil"/>
            </w:tcBorders>
            <w:vAlign w:val="center"/>
          </w:tcPr>
          <w:p w14:paraId="6086C6AA">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3ACAB8DB">
            <w:pPr>
              <w:spacing w:before="0" w:after="10" w:line="240" w:lineRule="auto"/>
              <w:jc w:val="center"/>
            </w:pPr>
            <w:r>
              <w:rPr>
                <w:sz w:val="15"/>
              </w:rPr>
              <w:t>Thresholded</w:t>
            </w:r>
          </w:p>
        </w:tc>
      </w:tr>
      <w:tr w14:paraId="759522ED">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39705E5D">
            <w:pPr>
              <w:spacing w:before="0" w:after="10" w:line="240" w:lineRule="auto"/>
              <w:jc w:val="left"/>
            </w:pPr>
            <w:r>
              <w:rPr>
                <w:sz w:val="15"/>
              </w:rPr>
              <w:t>Sugar-sweetened beverages</w:t>
            </w:r>
          </w:p>
        </w:tc>
        <w:tc>
          <w:tcPr>
            <w:tcW w:w="2550" w:type="dxa"/>
            <w:tcBorders>
              <w:top w:val="nil"/>
              <w:left w:val="nil"/>
              <w:bottom w:val="nil"/>
              <w:right w:val="nil"/>
              <w:insideH w:val="nil"/>
              <w:insideV w:val="nil"/>
            </w:tcBorders>
            <w:vAlign w:val="center"/>
          </w:tcPr>
          <w:p w14:paraId="0AC91810">
            <w:pPr>
              <w:spacing w:before="0" w:after="10" w:line="240" w:lineRule="auto"/>
              <w:jc w:val="center"/>
            </w:pPr>
            <w:r>
              <w:rPr>
                <w:sz w:val="15"/>
              </w:rPr>
              <w:t>fg29</w:t>
            </w:r>
          </w:p>
        </w:tc>
        <w:tc>
          <w:tcPr>
            <w:tcW w:w="2550" w:type="dxa"/>
            <w:tcBorders>
              <w:top w:val="nil"/>
              <w:left w:val="nil"/>
              <w:bottom w:val="nil"/>
              <w:right w:val="nil"/>
              <w:insideH w:val="nil"/>
              <w:insideV w:val="nil"/>
            </w:tcBorders>
            <w:vAlign w:val="center"/>
          </w:tcPr>
          <w:p w14:paraId="5E4B50E4">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329C0D00">
            <w:pPr>
              <w:spacing w:before="0" w:after="10" w:line="240" w:lineRule="auto"/>
              <w:jc w:val="center"/>
            </w:pPr>
            <w:r>
              <w:rPr>
                <w:sz w:val="15"/>
              </w:rPr>
              <w:t>Thresholded</w:t>
            </w:r>
          </w:p>
        </w:tc>
      </w:tr>
      <w:tr w14:paraId="354FA4AE">
        <w:tblPrEx>
          <w:tblCellMar>
            <w:top w:w="0" w:type="dxa"/>
            <w:left w:w="108" w:type="dxa"/>
            <w:bottom w:w="0" w:type="dxa"/>
            <w:right w:w="108" w:type="dxa"/>
          </w:tblCellMar>
        </w:tblPrEx>
        <w:trPr>
          <w:tblHeader/>
          <w:jc w:val="center"/>
        </w:trPr>
        <w:tc>
          <w:tcPr>
            <w:tcW w:w="2550" w:type="dxa"/>
            <w:tcBorders>
              <w:top w:val="nil"/>
              <w:left w:val="nil"/>
              <w:bottom w:val="nil"/>
              <w:right w:val="nil"/>
              <w:insideH w:val="nil"/>
              <w:insideV w:val="nil"/>
            </w:tcBorders>
            <w:vAlign w:val="center"/>
          </w:tcPr>
          <w:p w14:paraId="4181DCA8">
            <w:pPr>
              <w:spacing w:before="0" w:after="10" w:line="240" w:lineRule="auto"/>
              <w:jc w:val="left"/>
            </w:pPr>
            <w:r>
              <w:rPr>
                <w:sz w:val="15"/>
              </w:rPr>
              <w:t>Snacks and desserts</w:t>
            </w:r>
          </w:p>
        </w:tc>
        <w:tc>
          <w:tcPr>
            <w:tcW w:w="2550" w:type="dxa"/>
            <w:tcBorders>
              <w:top w:val="nil"/>
              <w:left w:val="nil"/>
              <w:bottom w:val="nil"/>
              <w:right w:val="nil"/>
              <w:insideH w:val="nil"/>
              <w:insideV w:val="nil"/>
            </w:tcBorders>
            <w:vAlign w:val="center"/>
          </w:tcPr>
          <w:p w14:paraId="4EFD04A6">
            <w:pPr>
              <w:spacing w:before="0" w:after="10" w:line="240" w:lineRule="auto"/>
              <w:jc w:val="center"/>
            </w:pPr>
            <w:r>
              <w:rPr>
                <w:sz w:val="15"/>
              </w:rPr>
              <w:t>fg31</w:t>
            </w:r>
          </w:p>
        </w:tc>
        <w:tc>
          <w:tcPr>
            <w:tcW w:w="2550" w:type="dxa"/>
            <w:tcBorders>
              <w:top w:val="nil"/>
              <w:left w:val="nil"/>
              <w:bottom w:val="nil"/>
              <w:right w:val="nil"/>
              <w:insideH w:val="nil"/>
              <w:insideV w:val="nil"/>
            </w:tcBorders>
            <w:vAlign w:val="center"/>
          </w:tcPr>
          <w:p w14:paraId="69FAA087">
            <w:pPr>
              <w:spacing w:before="0" w:after="10" w:line="240" w:lineRule="auto"/>
              <w:jc w:val="center"/>
            </w:pPr>
            <w:r>
              <w:rPr>
                <w:sz w:val="15"/>
              </w:rPr>
              <w:t>0</w:t>
            </w:r>
          </w:p>
        </w:tc>
        <w:tc>
          <w:tcPr>
            <w:tcW w:w="2550" w:type="dxa"/>
            <w:tcBorders>
              <w:top w:val="nil"/>
              <w:left w:val="nil"/>
              <w:bottom w:val="nil"/>
              <w:right w:val="nil"/>
              <w:insideH w:val="nil"/>
              <w:insideV w:val="nil"/>
            </w:tcBorders>
            <w:vAlign w:val="center"/>
          </w:tcPr>
          <w:p w14:paraId="6078E946">
            <w:pPr>
              <w:spacing w:before="0" w:after="10" w:line="240" w:lineRule="auto"/>
              <w:jc w:val="center"/>
            </w:pPr>
            <w:r>
              <w:rPr>
                <w:sz w:val="15"/>
              </w:rPr>
              <w:t>Thresholded</w:t>
            </w:r>
          </w:p>
        </w:tc>
      </w:tr>
      <w:tr w14:paraId="25E28075">
        <w:tblPrEx>
          <w:tblCellMar>
            <w:top w:w="0" w:type="dxa"/>
            <w:left w:w="108" w:type="dxa"/>
            <w:bottom w:w="0" w:type="dxa"/>
            <w:right w:w="108" w:type="dxa"/>
          </w:tblCellMar>
        </w:tblPrEx>
        <w:trPr>
          <w:tblHeader/>
          <w:jc w:val="center"/>
        </w:trPr>
        <w:tc>
          <w:tcPr>
            <w:tcW w:w="2550" w:type="dxa"/>
            <w:tcBorders>
              <w:top w:val="nil"/>
              <w:left w:val="nil"/>
              <w:bottom w:val="single" w:color="000000" w:sz="8" w:space="0"/>
              <w:right w:val="nil"/>
              <w:insideH w:val="nil"/>
              <w:insideV w:val="nil"/>
            </w:tcBorders>
            <w:vAlign w:val="center"/>
          </w:tcPr>
          <w:p w14:paraId="564C4251">
            <w:pPr>
              <w:spacing w:before="0" w:after="10" w:line="240" w:lineRule="auto"/>
              <w:jc w:val="left"/>
            </w:pPr>
            <w:r>
              <w:rPr>
                <w:sz w:val="15"/>
              </w:rPr>
              <w:t>Instant and convenience foods</w:t>
            </w:r>
          </w:p>
        </w:tc>
        <w:tc>
          <w:tcPr>
            <w:tcW w:w="2550" w:type="dxa"/>
            <w:tcBorders>
              <w:top w:val="nil"/>
              <w:left w:val="nil"/>
              <w:bottom w:val="single" w:color="000000" w:sz="8" w:space="0"/>
              <w:right w:val="nil"/>
              <w:insideH w:val="nil"/>
              <w:insideV w:val="nil"/>
            </w:tcBorders>
            <w:vAlign w:val="center"/>
          </w:tcPr>
          <w:p w14:paraId="47CFED85">
            <w:pPr>
              <w:spacing w:before="0" w:after="10" w:line="240" w:lineRule="auto"/>
              <w:jc w:val="center"/>
            </w:pPr>
            <w:r>
              <w:rPr>
                <w:sz w:val="15"/>
              </w:rPr>
              <w:t>fg32</w:t>
            </w:r>
          </w:p>
        </w:tc>
        <w:tc>
          <w:tcPr>
            <w:tcW w:w="2550" w:type="dxa"/>
            <w:tcBorders>
              <w:top w:val="nil"/>
              <w:left w:val="nil"/>
              <w:bottom w:val="single" w:color="000000" w:sz="8" w:space="0"/>
              <w:right w:val="nil"/>
              <w:insideH w:val="nil"/>
              <w:insideV w:val="nil"/>
            </w:tcBorders>
            <w:vAlign w:val="center"/>
          </w:tcPr>
          <w:p w14:paraId="737A50B1">
            <w:pPr>
              <w:spacing w:before="0" w:after="10" w:line="240" w:lineRule="auto"/>
              <w:jc w:val="center"/>
            </w:pPr>
            <w:r>
              <w:rPr>
                <w:sz w:val="15"/>
              </w:rPr>
              <w:t>0</w:t>
            </w:r>
          </w:p>
        </w:tc>
        <w:tc>
          <w:tcPr>
            <w:tcW w:w="2550" w:type="dxa"/>
            <w:tcBorders>
              <w:top w:val="nil"/>
              <w:left w:val="nil"/>
              <w:bottom w:val="single" w:color="000000" w:sz="8" w:space="0"/>
              <w:right w:val="nil"/>
              <w:insideH w:val="nil"/>
              <w:insideV w:val="nil"/>
            </w:tcBorders>
            <w:vAlign w:val="center"/>
          </w:tcPr>
          <w:p w14:paraId="6E4A1204">
            <w:pPr>
              <w:spacing w:before="0" w:after="10" w:line="240" w:lineRule="auto"/>
              <w:jc w:val="center"/>
            </w:pPr>
            <w:r>
              <w:rPr>
                <w:sz w:val="15"/>
              </w:rPr>
              <w:t>Thresholded</w:t>
            </w:r>
          </w:p>
        </w:tc>
      </w:tr>
    </w:tbl>
    <w:p w14:paraId="6F6020FF">
      <w:pPr>
        <w:spacing w:before="20" w:after="20" w:line="240" w:lineRule="auto"/>
      </w:pPr>
      <w:r>
        <w:rPr>
          <w:b/>
          <w:sz w:val="16"/>
        </w:rPr>
        <w:t>Notes:</w:t>
      </w:r>
      <w:r>
        <w:rPr>
          <w:sz w:val="16"/>
        </w:rPr>
        <w:t xml:space="preserve"> RRR weights were derived using BMI-residualised hs-CRP, HOMA-IR, TG/HDL-C, and serum uric acid as response variables. Food groups with absolute standardised weights below 0.5 SD of the distribution of the 32 food-group weights were assigned a weight of zero without refitting the RRR model. Twenty of the 32 food groups were retained in the primary C-DMIP score.</w:t>
      </w:r>
    </w:p>
    <w:p w14:paraId="53F4ADD1">
      <w:pPr>
        <w:spacing w:before="20" w:after="20" w:line="240" w:lineRule="auto"/>
      </w:pPr>
      <w:r>
        <w:rPr>
          <w:b/>
          <w:sz w:val="16"/>
        </w:rPr>
        <w:t>Abbreviations:</w:t>
      </w:r>
      <w:r>
        <w:rPr>
          <w:sz w:val="16"/>
        </w:rPr>
        <w:t xml:space="preserve"> BMI, body mass index; C-DMIP, China-specific Dietary Metabolic-Inflammatory Pattern; HDL-C, high-density lipoprotein cholesterol; HOMA-IR, homeostatic model assessment of insulin resistance; hs-CRP, high-sensitivity C-reactive protein; RRR, reduced rank regression; SD, standard deviation; TG, triglycerides.</w:t>
      </w:r>
    </w:p>
    <w:p w14:paraId="25738B40">
      <w:pPr>
        <w:spacing w:after="100"/>
      </w:pPr>
      <w:r>
        <w:rPr>
          <w:b/>
          <w:sz w:val="20"/>
        </w:rPr>
        <w:t>Supplementary Table S2. Geographic distribution and province-normalised analyses of C-DMIP</w:t>
      </w:r>
    </w:p>
    <w:p w14:paraId="6C35E3C1">
      <w:pPr>
        <w:spacing w:before="100" w:after="60"/>
      </w:pPr>
      <w:r>
        <w:rPr>
          <w:b/>
          <w:sz w:val="18"/>
        </w:rPr>
        <w:t>A. Province-level C-DMIP scores and T2DM prevalence in the eligible 2009 cross-sectional sample</w:t>
      </w:r>
    </w:p>
    <w:tbl>
      <w:tblPr>
        <w:tblStyle w:val="4"/>
        <w:tblW w:w="0" w:type="auto"/>
        <w:jc w:val="center"/>
        <w:tblLayout w:type="autofit"/>
        <w:tblCellMar>
          <w:top w:w="0" w:type="dxa"/>
          <w:left w:w="108" w:type="dxa"/>
          <w:bottom w:w="0" w:type="dxa"/>
          <w:right w:w="108" w:type="dxa"/>
        </w:tblCellMar>
      </w:tblPr>
      <w:tblGrid>
        <w:gridCol w:w="1755"/>
        <w:gridCol w:w="1605"/>
        <w:gridCol w:w="1538"/>
        <w:gridCol w:w="1594"/>
        <w:gridCol w:w="1654"/>
        <w:gridCol w:w="1816"/>
      </w:tblGrid>
      <w:tr w14:paraId="585F6F1E">
        <w:tblPrEx>
          <w:tblCellMar>
            <w:top w:w="0" w:type="dxa"/>
            <w:left w:w="108" w:type="dxa"/>
            <w:bottom w:w="0" w:type="dxa"/>
            <w:right w:w="108" w:type="dxa"/>
          </w:tblCellMar>
        </w:tblPrEx>
        <w:trPr>
          <w:jc w:val="center"/>
        </w:trPr>
        <w:tc>
          <w:tcPr>
            <w:tcW w:w="2375" w:type="dxa"/>
            <w:tcBorders>
              <w:top w:val="single" w:color="000000" w:sz="8" w:space="0"/>
              <w:left w:val="nil"/>
              <w:bottom w:val="single" w:color="000000" w:sz="8" w:space="0"/>
              <w:right w:val="nil"/>
              <w:insideH w:val="nil"/>
              <w:insideV w:val="nil"/>
            </w:tcBorders>
            <w:vAlign w:val="center"/>
          </w:tcPr>
          <w:p w14:paraId="416BD6C7">
            <w:pPr>
              <w:spacing w:before="0" w:after="10" w:line="240" w:lineRule="auto"/>
              <w:jc w:val="left"/>
            </w:pPr>
            <w:r>
              <w:rPr>
                <w:b/>
                <w:sz w:val="15"/>
              </w:rPr>
              <w:t>Province</w:t>
            </w:r>
          </w:p>
        </w:tc>
        <w:tc>
          <w:tcPr>
            <w:tcW w:w="2375" w:type="dxa"/>
            <w:tcBorders>
              <w:top w:val="single" w:color="000000" w:sz="8" w:space="0"/>
              <w:left w:val="nil"/>
              <w:bottom w:val="single" w:color="000000" w:sz="8" w:space="0"/>
              <w:right w:val="nil"/>
              <w:insideH w:val="nil"/>
              <w:insideV w:val="nil"/>
            </w:tcBorders>
            <w:vAlign w:val="center"/>
          </w:tcPr>
          <w:p w14:paraId="67C00ACA">
            <w:pPr>
              <w:spacing w:before="0" w:after="10" w:line="240" w:lineRule="auto"/>
              <w:jc w:val="center"/>
            </w:pPr>
            <w:r>
              <w:rPr>
                <w:b/>
                <w:sz w:val="15"/>
              </w:rPr>
              <w:t>Region</w:t>
            </w:r>
          </w:p>
        </w:tc>
        <w:tc>
          <w:tcPr>
            <w:tcW w:w="2375" w:type="dxa"/>
            <w:tcBorders>
              <w:top w:val="single" w:color="000000" w:sz="8" w:space="0"/>
              <w:left w:val="nil"/>
              <w:bottom w:val="single" w:color="000000" w:sz="8" w:space="0"/>
              <w:right w:val="nil"/>
              <w:insideH w:val="nil"/>
              <w:insideV w:val="nil"/>
            </w:tcBorders>
            <w:vAlign w:val="center"/>
          </w:tcPr>
          <w:p w14:paraId="2CF40E25">
            <w:pPr>
              <w:spacing w:before="0" w:after="10" w:line="240" w:lineRule="auto"/>
              <w:jc w:val="center"/>
            </w:pPr>
            <w:r>
              <w:rPr>
                <w:b/>
                <w:sz w:val="15"/>
              </w:rPr>
              <w:t>n</w:t>
            </w:r>
          </w:p>
        </w:tc>
        <w:tc>
          <w:tcPr>
            <w:tcW w:w="2375" w:type="dxa"/>
            <w:tcBorders>
              <w:top w:val="single" w:color="000000" w:sz="8" w:space="0"/>
              <w:left w:val="nil"/>
              <w:bottom w:val="single" w:color="000000" w:sz="8" w:space="0"/>
              <w:right w:val="nil"/>
              <w:insideH w:val="nil"/>
              <w:insideV w:val="nil"/>
            </w:tcBorders>
            <w:vAlign w:val="center"/>
          </w:tcPr>
          <w:p w14:paraId="38664DBF">
            <w:pPr>
              <w:spacing w:before="0" w:after="10" w:line="240" w:lineRule="auto"/>
              <w:jc w:val="center"/>
            </w:pPr>
            <w:r>
              <w:rPr>
                <w:b/>
                <w:sz w:val="15"/>
              </w:rPr>
              <w:t>T2DM cases</w:t>
            </w:r>
          </w:p>
        </w:tc>
        <w:tc>
          <w:tcPr>
            <w:tcW w:w="2375" w:type="dxa"/>
            <w:tcBorders>
              <w:top w:val="single" w:color="000000" w:sz="8" w:space="0"/>
              <w:left w:val="nil"/>
              <w:bottom w:val="single" w:color="000000" w:sz="8" w:space="0"/>
              <w:right w:val="nil"/>
              <w:insideH w:val="nil"/>
              <w:insideV w:val="nil"/>
            </w:tcBorders>
            <w:vAlign w:val="center"/>
          </w:tcPr>
          <w:p w14:paraId="579205B7">
            <w:pPr>
              <w:spacing w:before="0" w:after="10" w:line="240" w:lineRule="auto"/>
              <w:jc w:val="center"/>
            </w:pPr>
            <w:r>
              <w:rPr>
                <w:b/>
                <w:sz w:val="15"/>
              </w:rPr>
              <w:t>Mean C-DMIP</w:t>
            </w:r>
          </w:p>
        </w:tc>
        <w:tc>
          <w:tcPr>
            <w:tcW w:w="2375" w:type="dxa"/>
            <w:tcBorders>
              <w:top w:val="single" w:color="000000" w:sz="8" w:space="0"/>
              <w:left w:val="nil"/>
              <w:bottom w:val="single" w:color="000000" w:sz="8" w:space="0"/>
              <w:right w:val="nil"/>
              <w:insideH w:val="nil"/>
              <w:insideV w:val="nil"/>
            </w:tcBorders>
            <w:vAlign w:val="center"/>
          </w:tcPr>
          <w:p w14:paraId="3FC8240C">
            <w:pPr>
              <w:spacing w:before="0" w:after="10" w:line="240" w:lineRule="auto"/>
              <w:jc w:val="center"/>
            </w:pPr>
            <w:r>
              <w:rPr>
                <w:b/>
                <w:sz w:val="15"/>
              </w:rPr>
              <w:t>T2DM prevalence, %</w:t>
            </w:r>
          </w:p>
        </w:tc>
      </w:tr>
      <w:tr w14:paraId="08C4D9EA">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3F5929F0">
            <w:pPr>
              <w:spacing w:before="0" w:after="10" w:line="240" w:lineRule="auto"/>
              <w:jc w:val="left"/>
            </w:pPr>
            <w:r>
              <w:rPr>
                <w:sz w:val="15"/>
              </w:rPr>
              <w:t>Hunan</w:t>
            </w:r>
          </w:p>
        </w:tc>
        <w:tc>
          <w:tcPr>
            <w:tcW w:w="2375" w:type="dxa"/>
            <w:tcBorders>
              <w:top w:val="nil"/>
              <w:left w:val="nil"/>
              <w:bottom w:val="nil"/>
              <w:right w:val="nil"/>
              <w:insideH w:val="nil"/>
              <w:insideV w:val="nil"/>
            </w:tcBorders>
            <w:vAlign w:val="center"/>
          </w:tcPr>
          <w:p w14:paraId="18AC8105">
            <w:pPr>
              <w:spacing w:before="0" w:after="10" w:line="240" w:lineRule="auto"/>
              <w:jc w:val="center"/>
            </w:pPr>
            <w:r>
              <w:rPr>
                <w:sz w:val="15"/>
              </w:rPr>
              <w:t>South</w:t>
            </w:r>
          </w:p>
        </w:tc>
        <w:tc>
          <w:tcPr>
            <w:tcW w:w="2375" w:type="dxa"/>
            <w:tcBorders>
              <w:top w:val="nil"/>
              <w:left w:val="nil"/>
              <w:bottom w:val="nil"/>
              <w:right w:val="nil"/>
              <w:insideH w:val="nil"/>
              <w:insideV w:val="nil"/>
            </w:tcBorders>
            <w:vAlign w:val="center"/>
          </w:tcPr>
          <w:p w14:paraId="53829FE9">
            <w:pPr>
              <w:spacing w:before="0" w:after="10" w:line="240" w:lineRule="auto"/>
              <w:jc w:val="center"/>
            </w:pPr>
            <w:r>
              <w:rPr>
                <w:sz w:val="15"/>
              </w:rPr>
              <w:t>1011</w:t>
            </w:r>
          </w:p>
        </w:tc>
        <w:tc>
          <w:tcPr>
            <w:tcW w:w="2375" w:type="dxa"/>
            <w:tcBorders>
              <w:top w:val="nil"/>
              <w:left w:val="nil"/>
              <w:bottom w:val="nil"/>
              <w:right w:val="nil"/>
              <w:insideH w:val="nil"/>
              <w:insideV w:val="nil"/>
            </w:tcBorders>
            <w:vAlign w:val="center"/>
          </w:tcPr>
          <w:p w14:paraId="4DA898FD">
            <w:pPr>
              <w:spacing w:before="0" w:after="10" w:line="240" w:lineRule="auto"/>
              <w:jc w:val="center"/>
            </w:pPr>
            <w:r>
              <w:rPr>
                <w:sz w:val="15"/>
              </w:rPr>
              <w:t>80</w:t>
            </w:r>
          </w:p>
        </w:tc>
        <w:tc>
          <w:tcPr>
            <w:tcW w:w="2375" w:type="dxa"/>
            <w:tcBorders>
              <w:top w:val="nil"/>
              <w:left w:val="nil"/>
              <w:bottom w:val="nil"/>
              <w:right w:val="nil"/>
              <w:insideH w:val="nil"/>
              <w:insideV w:val="nil"/>
            </w:tcBorders>
            <w:vAlign w:val="center"/>
          </w:tcPr>
          <w:p w14:paraId="06B717A6">
            <w:pPr>
              <w:spacing w:before="0" w:after="10" w:line="240" w:lineRule="auto"/>
              <w:jc w:val="center"/>
            </w:pPr>
            <w:r>
              <w:rPr>
                <w:sz w:val="15"/>
              </w:rPr>
              <w:t>0.172</w:t>
            </w:r>
          </w:p>
        </w:tc>
        <w:tc>
          <w:tcPr>
            <w:tcW w:w="2375" w:type="dxa"/>
            <w:tcBorders>
              <w:top w:val="nil"/>
              <w:left w:val="nil"/>
              <w:bottom w:val="nil"/>
              <w:right w:val="nil"/>
              <w:insideH w:val="nil"/>
              <w:insideV w:val="nil"/>
            </w:tcBorders>
            <w:vAlign w:val="center"/>
          </w:tcPr>
          <w:p w14:paraId="655E1BAE">
            <w:pPr>
              <w:spacing w:before="0" w:after="10" w:line="240" w:lineRule="auto"/>
              <w:jc w:val="center"/>
            </w:pPr>
            <w:r>
              <w:rPr>
                <w:sz w:val="15"/>
              </w:rPr>
              <w:t>7.9</w:t>
            </w:r>
          </w:p>
        </w:tc>
      </w:tr>
      <w:tr w14:paraId="1963D8E5">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2AF8CCFC">
            <w:pPr>
              <w:spacing w:before="0" w:after="10" w:line="240" w:lineRule="auto"/>
              <w:jc w:val="left"/>
            </w:pPr>
            <w:r>
              <w:rPr>
                <w:sz w:val="15"/>
              </w:rPr>
              <w:t>Guangxi</w:t>
            </w:r>
          </w:p>
        </w:tc>
        <w:tc>
          <w:tcPr>
            <w:tcW w:w="2375" w:type="dxa"/>
            <w:tcBorders>
              <w:top w:val="nil"/>
              <w:left w:val="nil"/>
              <w:bottom w:val="nil"/>
              <w:right w:val="nil"/>
              <w:insideH w:val="nil"/>
              <w:insideV w:val="nil"/>
            </w:tcBorders>
            <w:vAlign w:val="center"/>
          </w:tcPr>
          <w:p w14:paraId="4655C8D8">
            <w:pPr>
              <w:spacing w:before="0" w:after="10" w:line="240" w:lineRule="auto"/>
              <w:jc w:val="center"/>
            </w:pPr>
            <w:r>
              <w:rPr>
                <w:sz w:val="15"/>
              </w:rPr>
              <w:t>South</w:t>
            </w:r>
          </w:p>
        </w:tc>
        <w:tc>
          <w:tcPr>
            <w:tcW w:w="2375" w:type="dxa"/>
            <w:tcBorders>
              <w:top w:val="nil"/>
              <w:left w:val="nil"/>
              <w:bottom w:val="nil"/>
              <w:right w:val="nil"/>
              <w:insideH w:val="nil"/>
              <w:insideV w:val="nil"/>
            </w:tcBorders>
            <w:vAlign w:val="center"/>
          </w:tcPr>
          <w:p w14:paraId="08AD2424">
            <w:pPr>
              <w:spacing w:before="0" w:after="10" w:line="240" w:lineRule="auto"/>
              <w:jc w:val="center"/>
            </w:pPr>
            <w:r>
              <w:rPr>
                <w:sz w:val="15"/>
              </w:rPr>
              <w:t>981</w:t>
            </w:r>
          </w:p>
        </w:tc>
        <w:tc>
          <w:tcPr>
            <w:tcW w:w="2375" w:type="dxa"/>
            <w:tcBorders>
              <w:top w:val="nil"/>
              <w:left w:val="nil"/>
              <w:bottom w:val="nil"/>
              <w:right w:val="nil"/>
              <w:insideH w:val="nil"/>
              <w:insideV w:val="nil"/>
            </w:tcBorders>
            <w:vAlign w:val="center"/>
          </w:tcPr>
          <w:p w14:paraId="34796891">
            <w:pPr>
              <w:spacing w:before="0" w:after="10" w:line="240" w:lineRule="auto"/>
              <w:jc w:val="center"/>
            </w:pPr>
            <w:r>
              <w:rPr>
                <w:sz w:val="15"/>
              </w:rPr>
              <w:t>51</w:t>
            </w:r>
          </w:p>
        </w:tc>
        <w:tc>
          <w:tcPr>
            <w:tcW w:w="2375" w:type="dxa"/>
            <w:tcBorders>
              <w:top w:val="nil"/>
              <w:left w:val="nil"/>
              <w:bottom w:val="nil"/>
              <w:right w:val="nil"/>
              <w:insideH w:val="nil"/>
              <w:insideV w:val="nil"/>
            </w:tcBorders>
            <w:vAlign w:val="center"/>
          </w:tcPr>
          <w:p w14:paraId="05D4AD29">
            <w:pPr>
              <w:spacing w:before="0" w:after="10" w:line="240" w:lineRule="auto"/>
              <w:jc w:val="center"/>
            </w:pPr>
            <w:r>
              <w:rPr>
                <w:sz w:val="15"/>
              </w:rPr>
              <w:t>0.156</w:t>
            </w:r>
          </w:p>
        </w:tc>
        <w:tc>
          <w:tcPr>
            <w:tcW w:w="2375" w:type="dxa"/>
            <w:tcBorders>
              <w:top w:val="nil"/>
              <w:left w:val="nil"/>
              <w:bottom w:val="nil"/>
              <w:right w:val="nil"/>
              <w:insideH w:val="nil"/>
              <w:insideV w:val="nil"/>
            </w:tcBorders>
            <w:vAlign w:val="center"/>
          </w:tcPr>
          <w:p w14:paraId="3E3FCBEC">
            <w:pPr>
              <w:spacing w:before="0" w:after="10" w:line="240" w:lineRule="auto"/>
              <w:jc w:val="center"/>
            </w:pPr>
            <w:r>
              <w:rPr>
                <w:sz w:val="15"/>
              </w:rPr>
              <w:t>5.2</w:t>
            </w:r>
          </w:p>
        </w:tc>
      </w:tr>
      <w:tr w14:paraId="6598B7C3">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7934617">
            <w:pPr>
              <w:spacing w:before="0" w:after="10" w:line="240" w:lineRule="auto"/>
              <w:jc w:val="left"/>
            </w:pPr>
            <w:r>
              <w:rPr>
                <w:sz w:val="15"/>
              </w:rPr>
              <w:t>Guizhou</w:t>
            </w:r>
          </w:p>
        </w:tc>
        <w:tc>
          <w:tcPr>
            <w:tcW w:w="2375" w:type="dxa"/>
            <w:tcBorders>
              <w:top w:val="nil"/>
              <w:left w:val="nil"/>
              <w:bottom w:val="nil"/>
              <w:right w:val="nil"/>
              <w:insideH w:val="nil"/>
              <w:insideV w:val="nil"/>
            </w:tcBorders>
            <w:vAlign w:val="center"/>
          </w:tcPr>
          <w:p w14:paraId="7093C6E4">
            <w:pPr>
              <w:spacing w:before="0" w:after="10" w:line="240" w:lineRule="auto"/>
              <w:jc w:val="center"/>
            </w:pPr>
            <w:r>
              <w:rPr>
                <w:sz w:val="15"/>
              </w:rPr>
              <w:t>South</w:t>
            </w:r>
          </w:p>
        </w:tc>
        <w:tc>
          <w:tcPr>
            <w:tcW w:w="2375" w:type="dxa"/>
            <w:tcBorders>
              <w:top w:val="nil"/>
              <w:left w:val="nil"/>
              <w:bottom w:val="nil"/>
              <w:right w:val="nil"/>
              <w:insideH w:val="nil"/>
              <w:insideV w:val="nil"/>
            </w:tcBorders>
            <w:vAlign w:val="center"/>
          </w:tcPr>
          <w:p w14:paraId="57C5D0D9">
            <w:pPr>
              <w:spacing w:before="0" w:after="10" w:line="240" w:lineRule="auto"/>
              <w:jc w:val="center"/>
            </w:pPr>
            <w:r>
              <w:rPr>
                <w:sz w:val="15"/>
              </w:rPr>
              <w:t>702</w:t>
            </w:r>
          </w:p>
        </w:tc>
        <w:tc>
          <w:tcPr>
            <w:tcW w:w="2375" w:type="dxa"/>
            <w:tcBorders>
              <w:top w:val="nil"/>
              <w:left w:val="nil"/>
              <w:bottom w:val="nil"/>
              <w:right w:val="nil"/>
              <w:insideH w:val="nil"/>
              <w:insideV w:val="nil"/>
            </w:tcBorders>
            <w:vAlign w:val="center"/>
          </w:tcPr>
          <w:p w14:paraId="33C5A82C">
            <w:pPr>
              <w:spacing w:before="0" w:after="10" w:line="240" w:lineRule="auto"/>
              <w:jc w:val="center"/>
            </w:pPr>
            <w:r>
              <w:rPr>
                <w:sz w:val="15"/>
              </w:rPr>
              <w:t>50</w:t>
            </w:r>
          </w:p>
        </w:tc>
        <w:tc>
          <w:tcPr>
            <w:tcW w:w="2375" w:type="dxa"/>
            <w:tcBorders>
              <w:top w:val="nil"/>
              <w:left w:val="nil"/>
              <w:bottom w:val="nil"/>
              <w:right w:val="nil"/>
              <w:insideH w:val="nil"/>
              <w:insideV w:val="nil"/>
            </w:tcBorders>
            <w:vAlign w:val="center"/>
          </w:tcPr>
          <w:p w14:paraId="2B41D426">
            <w:pPr>
              <w:spacing w:before="0" w:after="10" w:line="240" w:lineRule="auto"/>
              <w:jc w:val="center"/>
            </w:pPr>
            <w:r>
              <w:rPr>
                <w:sz w:val="15"/>
              </w:rPr>
              <w:t>0.141</w:t>
            </w:r>
          </w:p>
        </w:tc>
        <w:tc>
          <w:tcPr>
            <w:tcW w:w="2375" w:type="dxa"/>
            <w:tcBorders>
              <w:top w:val="nil"/>
              <w:left w:val="nil"/>
              <w:bottom w:val="nil"/>
              <w:right w:val="nil"/>
              <w:insideH w:val="nil"/>
              <w:insideV w:val="nil"/>
            </w:tcBorders>
            <w:vAlign w:val="center"/>
          </w:tcPr>
          <w:p w14:paraId="34748897">
            <w:pPr>
              <w:spacing w:before="0" w:after="10" w:line="240" w:lineRule="auto"/>
              <w:jc w:val="center"/>
            </w:pPr>
            <w:r>
              <w:rPr>
                <w:sz w:val="15"/>
              </w:rPr>
              <w:t>7.1</w:t>
            </w:r>
          </w:p>
        </w:tc>
      </w:tr>
      <w:tr w14:paraId="38F335AF">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51B73A8F">
            <w:pPr>
              <w:spacing w:before="0" w:after="10" w:line="240" w:lineRule="auto"/>
              <w:jc w:val="left"/>
            </w:pPr>
            <w:r>
              <w:rPr>
                <w:sz w:val="15"/>
              </w:rPr>
              <w:t>Jiangsu</w:t>
            </w:r>
          </w:p>
        </w:tc>
        <w:tc>
          <w:tcPr>
            <w:tcW w:w="2375" w:type="dxa"/>
            <w:tcBorders>
              <w:top w:val="nil"/>
              <w:left w:val="nil"/>
              <w:bottom w:val="nil"/>
              <w:right w:val="nil"/>
              <w:insideH w:val="nil"/>
              <w:insideV w:val="nil"/>
            </w:tcBorders>
            <w:vAlign w:val="center"/>
          </w:tcPr>
          <w:p w14:paraId="5FF058C2">
            <w:pPr>
              <w:spacing w:before="0" w:after="10" w:line="240" w:lineRule="auto"/>
              <w:jc w:val="center"/>
            </w:pPr>
            <w:r>
              <w:rPr>
                <w:sz w:val="15"/>
              </w:rPr>
              <w:t>South</w:t>
            </w:r>
          </w:p>
        </w:tc>
        <w:tc>
          <w:tcPr>
            <w:tcW w:w="2375" w:type="dxa"/>
            <w:tcBorders>
              <w:top w:val="nil"/>
              <w:left w:val="nil"/>
              <w:bottom w:val="nil"/>
              <w:right w:val="nil"/>
              <w:insideH w:val="nil"/>
              <w:insideV w:val="nil"/>
            </w:tcBorders>
            <w:vAlign w:val="center"/>
          </w:tcPr>
          <w:p w14:paraId="7CB50870">
            <w:pPr>
              <w:spacing w:before="0" w:after="10" w:line="240" w:lineRule="auto"/>
              <w:jc w:val="center"/>
            </w:pPr>
            <w:r>
              <w:rPr>
                <w:sz w:val="15"/>
              </w:rPr>
              <w:t>1030</w:t>
            </w:r>
          </w:p>
        </w:tc>
        <w:tc>
          <w:tcPr>
            <w:tcW w:w="2375" w:type="dxa"/>
            <w:tcBorders>
              <w:top w:val="nil"/>
              <w:left w:val="nil"/>
              <w:bottom w:val="nil"/>
              <w:right w:val="nil"/>
              <w:insideH w:val="nil"/>
              <w:insideV w:val="nil"/>
            </w:tcBorders>
            <w:vAlign w:val="center"/>
          </w:tcPr>
          <w:p w14:paraId="498074BA">
            <w:pPr>
              <w:spacing w:before="0" w:after="10" w:line="240" w:lineRule="auto"/>
              <w:jc w:val="center"/>
            </w:pPr>
            <w:r>
              <w:rPr>
                <w:sz w:val="15"/>
              </w:rPr>
              <w:t>107</w:t>
            </w:r>
          </w:p>
        </w:tc>
        <w:tc>
          <w:tcPr>
            <w:tcW w:w="2375" w:type="dxa"/>
            <w:tcBorders>
              <w:top w:val="nil"/>
              <w:left w:val="nil"/>
              <w:bottom w:val="nil"/>
              <w:right w:val="nil"/>
              <w:insideH w:val="nil"/>
              <w:insideV w:val="nil"/>
            </w:tcBorders>
            <w:vAlign w:val="center"/>
          </w:tcPr>
          <w:p w14:paraId="4F5D7BF8">
            <w:pPr>
              <w:spacing w:before="0" w:after="10" w:line="240" w:lineRule="auto"/>
              <w:jc w:val="center"/>
            </w:pPr>
            <w:r>
              <w:rPr>
                <w:sz w:val="15"/>
              </w:rPr>
              <w:t>0.073</w:t>
            </w:r>
          </w:p>
        </w:tc>
        <w:tc>
          <w:tcPr>
            <w:tcW w:w="2375" w:type="dxa"/>
            <w:tcBorders>
              <w:top w:val="nil"/>
              <w:left w:val="nil"/>
              <w:bottom w:val="nil"/>
              <w:right w:val="nil"/>
              <w:insideH w:val="nil"/>
              <w:insideV w:val="nil"/>
            </w:tcBorders>
            <w:vAlign w:val="center"/>
          </w:tcPr>
          <w:p w14:paraId="60A84E0E">
            <w:pPr>
              <w:spacing w:before="0" w:after="10" w:line="240" w:lineRule="auto"/>
              <w:jc w:val="center"/>
            </w:pPr>
            <w:r>
              <w:rPr>
                <w:sz w:val="15"/>
              </w:rPr>
              <w:t>10.4</w:t>
            </w:r>
          </w:p>
        </w:tc>
      </w:tr>
      <w:tr w14:paraId="3FDFDBCC">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4EBC2045">
            <w:pPr>
              <w:spacing w:before="0" w:after="10" w:line="240" w:lineRule="auto"/>
              <w:jc w:val="left"/>
            </w:pPr>
            <w:r>
              <w:rPr>
                <w:sz w:val="15"/>
              </w:rPr>
              <w:t>Hubei</w:t>
            </w:r>
          </w:p>
        </w:tc>
        <w:tc>
          <w:tcPr>
            <w:tcW w:w="2375" w:type="dxa"/>
            <w:tcBorders>
              <w:top w:val="nil"/>
              <w:left w:val="nil"/>
              <w:bottom w:val="nil"/>
              <w:right w:val="nil"/>
              <w:insideH w:val="nil"/>
              <w:insideV w:val="nil"/>
            </w:tcBorders>
            <w:vAlign w:val="center"/>
          </w:tcPr>
          <w:p w14:paraId="2DB335EF">
            <w:pPr>
              <w:spacing w:before="0" w:after="10" w:line="240" w:lineRule="auto"/>
              <w:jc w:val="center"/>
            </w:pPr>
            <w:r>
              <w:rPr>
                <w:sz w:val="15"/>
              </w:rPr>
              <w:t>South</w:t>
            </w:r>
          </w:p>
        </w:tc>
        <w:tc>
          <w:tcPr>
            <w:tcW w:w="2375" w:type="dxa"/>
            <w:tcBorders>
              <w:top w:val="nil"/>
              <w:left w:val="nil"/>
              <w:bottom w:val="nil"/>
              <w:right w:val="nil"/>
              <w:insideH w:val="nil"/>
              <w:insideV w:val="nil"/>
            </w:tcBorders>
            <w:vAlign w:val="center"/>
          </w:tcPr>
          <w:p w14:paraId="391B420B">
            <w:pPr>
              <w:spacing w:before="0" w:after="10" w:line="240" w:lineRule="auto"/>
              <w:jc w:val="center"/>
            </w:pPr>
            <w:r>
              <w:rPr>
                <w:sz w:val="15"/>
              </w:rPr>
              <w:t>808</w:t>
            </w:r>
          </w:p>
        </w:tc>
        <w:tc>
          <w:tcPr>
            <w:tcW w:w="2375" w:type="dxa"/>
            <w:tcBorders>
              <w:top w:val="nil"/>
              <w:left w:val="nil"/>
              <w:bottom w:val="nil"/>
              <w:right w:val="nil"/>
              <w:insideH w:val="nil"/>
              <w:insideV w:val="nil"/>
            </w:tcBorders>
            <w:vAlign w:val="center"/>
          </w:tcPr>
          <w:p w14:paraId="1BEFEE70">
            <w:pPr>
              <w:spacing w:before="0" w:after="10" w:line="240" w:lineRule="auto"/>
              <w:jc w:val="center"/>
            </w:pPr>
            <w:r>
              <w:rPr>
                <w:sz w:val="15"/>
              </w:rPr>
              <w:t>80</w:t>
            </w:r>
          </w:p>
        </w:tc>
        <w:tc>
          <w:tcPr>
            <w:tcW w:w="2375" w:type="dxa"/>
            <w:tcBorders>
              <w:top w:val="nil"/>
              <w:left w:val="nil"/>
              <w:bottom w:val="nil"/>
              <w:right w:val="nil"/>
              <w:insideH w:val="nil"/>
              <w:insideV w:val="nil"/>
            </w:tcBorders>
            <w:vAlign w:val="center"/>
          </w:tcPr>
          <w:p w14:paraId="76A5B9D4">
            <w:pPr>
              <w:spacing w:before="0" w:after="10" w:line="240" w:lineRule="auto"/>
              <w:jc w:val="center"/>
            </w:pPr>
            <w:r>
              <w:rPr>
                <w:sz w:val="15"/>
              </w:rPr>
              <w:t>0.038</w:t>
            </w:r>
          </w:p>
        </w:tc>
        <w:tc>
          <w:tcPr>
            <w:tcW w:w="2375" w:type="dxa"/>
            <w:tcBorders>
              <w:top w:val="nil"/>
              <w:left w:val="nil"/>
              <w:bottom w:val="nil"/>
              <w:right w:val="nil"/>
              <w:insideH w:val="nil"/>
              <w:insideV w:val="nil"/>
            </w:tcBorders>
            <w:vAlign w:val="center"/>
          </w:tcPr>
          <w:p w14:paraId="19367197">
            <w:pPr>
              <w:spacing w:before="0" w:after="10" w:line="240" w:lineRule="auto"/>
              <w:jc w:val="center"/>
            </w:pPr>
            <w:r>
              <w:rPr>
                <w:sz w:val="15"/>
              </w:rPr>
              <w:t>9.9</w:t>
            </w:r>
          </w:p>
        </w:tc>
      </w:tr>
      <w:tr w14:paraId="3AD1D53B">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2201A0A8">
            <w:pPr>
              <w:spacing w:before="0" w:after="10" w:line="240" w:lineRule="auto"/>
              <w:jc w:val="left"/>
            </w:pPr>
            <w:r>
              <w:rPr>
                <w:sz w:val="15"/>
              </w:rPr>
              <w:t>Liaoning</w:t>
            </w:r>
          </w:p>
        </w:tc>
        <w:tc>
          <w:tcPr>
            <w:tcW w:w="2375" w:type="dxa"/>
            <w:tcBorders>
              <w:top w:val="nil"/>
              <w:left w:val="nil"/>
              <w:bottom w:val="nil"/>
              <w:right w:val="nil"/>
              <w:insideH w:val="nil"/>
              <w:insideV w:val="nil"/>
            </w:tcBorders>
            <w:vAlign w:val="center"/>
          </w:tcPr>
          <w:p w14:paraId="5D1B3C2C">
            <w:pPr>
              <w:spacing w:before="0" w:after="10" w:line="240" w:lineRule="auto"/>
              <w:jc w:val="center"/>
            </w:pPr>
            <w:r>
              <w:rPr>
                <w:sz w:val="15"/>
              </w:rPr>
              <w:t>North</w:t>
            </w:r>
          </w:p>
        </w:tc>
        <w:tc>
          <w:tcPr>
            <w:tcW w:w="2375" w:type="dxa"/>
            <w:tcBorders>
              <w:top w:val="nil"/>
              <w:left w:val="nil"/>
              <w:bottom w:val="nil"/>
              <w:right w:val="nil"/>
              <w:insideH w:val="nil"/>
              <w:insideV w:val="nil"/>
            </w:tcBorders>
            <w:vAlign w:val="center"/>
          </w:tcPr>
          <w:p w14:paraId="5FD5787E">
            <w:pPr>
              <w:spacing w:before="0" w:after="10" w:line="240" w:lineRule="auto"/>
              <w:jc w:val="center"/>
            </w:pPr>
            <w:r>
              <w:rPr>
                <w:sz w:val="15"/>
              </w:rPr>
              <w:t>771</w:t>
            </w:r>
          </w:p>
        </w:tc>
        <w:tc>
          <w:tcPr>
            <w:tcW w:w="2375" w:type="dxa"/>
            <w:tcBorders>
              <w:top w:val="nil"/>
              <w:left w:val="nil"/>
              <w:bottom w:val="nil"/>
              <w:right w:val="nil"/>
              <w:insideH w:val="nil"/>
              <w:insideV w:val="nil"/>
            </w:tcBorders>
            <w:vAlign w:val="center"/>
          </w:tcPr>
          <w:p w14:paraId="4B025643">
            <w:pPr>
              <w:spacing w:before="0" w:after="10" w:line="240" w:lineRule="auto"/>
              <w:jc w:val="center"/>
            </w:pPr>
            <w:r>
              <w:rPr>
                <w:sz w:val="15"/>
              </w:rPr>
              <w:t>100</w:t>
            </w:r>
          </w:p>
        </w:tc>
        <w:tc>
          <w:tcPr>
            <w:tcW w:w="2375" w:type="dxa"/>
            <w:tcBorders>
              <w:top w:val="nil"/>
              <w:left w:val="nil"/>
              <w:bottom w:val="nil"/>
              <w:right w:val="nil"/>
              <w:insideH w:val="nil"/>
              <w:insideV w:val="nil"/>
            </w:tcBorders>
            <w:vAlign w:val="center"/>
          </w:tcPr>
          <w:p w14:paraId="164B6253">
            <w:pPr>
              <w:spacing w:before="0" w:after="10" w:line="240" w:lineRule="auto"/>
              <w:jc w:val="center"/>
            </w:pPr>
            <w:r>
              <w:rPr>
                <w:sz w:val="15"/>
              </w:rPr>
              <w:t>0.002</w:t>
            </w:r>
          </w:p>
        </w:tc>
        <w:tc>
          <w:tcPr>
            <w:tcW w:w="2375" w:type="dxa"/>
            <w:tcBorders>
              <w:top w:val="nil"/>
              <w:left w:val="nil"/>
              <w:bottom w:val="nil"/>
              <w:right w:val="nil"/>
              <w:insideH w:val="nil"/>
              <w:insideV w:val="nil"/>
            </w:tcBorders>
            <w:vAlign w:val="center"/>
          </w:tcPr>
          <w:p w14:paraId="27A0A807">
            <w:pPr>
              <w:spacing w:before="0" w:after="10" w:line="240" w:lineRule="auto"/>
              <w:jc w:val="center"/>
            </w:pPr>
            <w:r>
              <w:rPr>
                <w:sz w:val="15"/>
              </w:rPr>
              <w:t>13.0</w:t>
            </w:r>
          </w:p>
        </w:tc>
      </w:tr>
      <w:tr w14:paraId="348C3B3B">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4CE9655">
            <w:pPr>
              <w:spacing w:before="0" w:after="10" w:line="240" w:lineRule="auto"/>
              <w:jc w:val="left"/>
            </w:pPr>
            <w:r>
              <w:rPr>
                <w:sz w:val="15"/>
              </w:rPr>
              <w:t>Heilongjiang</w:t>
            </w:r>
          </w:p>
        </w:tc>
        <w:tc>
          <w:tcPr>
            <w:tcW w:w="2375" w:type="dxa"/>
            <w:tcBorders>
              <w:top w:val="nil"/>
              <w:left w:val="nil"/>
              <w:bottom w:val="nil"/>
              <w:right w:val="nil"/>
              <w:insideH w:val="nil"/>
              <w:insideV w:val="nil"/>
            </w:tcBorders>
            <w:vAlign w:val="center"/>
          </w:tcPr>
          <w:p w14:paraId="32534951">
            <w:pPr>
              <w:spacing w:before="0" w:after="10" w:line="240" w:lineRule="auto"/>
              <w:jc w:val="center"/>
            </w:pPr>
            <w:r>
              <w:rPr>
                <w:sz w:val="15"/>
              </w:rPr>
              <w:t>North</w:t>
            </w:r>
          </w:p>
        </w:tc>
        <w:tc>
          <w:tcPr>
            <w:tcW w:w="2375" w:type="dxa"/>
            <w:tcBorders>
              <w:top w:val="nil"/>
              <w:left w:val="nil"/>
              <w:bottom w:val="nil"/>
              <w:right w:val="nil"/>
              <w:insideH w:val="nil"/>
              <w:insideV w:val="nil"/>
            </w:tcBorders>
            <w:vAlign w:val="center"/>
          </w:tcPr>
          <w:p w14:paraId="36FC705D">
            <w:pPr>
              <w:spacing w:before="0" w:after="10" w:line="240" w:lineRule="auto"/>
              <w:jc w:val="center"/>
            </w:pPr>
            <w:r>
              <w:rPr>
                <w:sz w:val="15"/>
              </w:rPr>
              <w:t>843</w:t>
            </w:r>
          </w:p>
        </w:tc>
        <w:tc>
          <w:tcPr>
            <w:tcW w:w="2375" w:type="dxa"/>
            <w:tcBorders>
              <w:top w:val="nil"/>
              <w:left w:val="nil"/>
              <w:bottom w:val="nil"/>
              <w:right w:val="nil"/>
              <w:insideH w:val="nil"/>
              <w:insideV w:val="nil"/>
            </w:tcBorders>
            <w:vAlign w:val="center"/>
          </w:tcPr>
          <w:p w14:paraId="37EA3E19">
            <w:pPr>
              <w:spacing w:before="0" w:after="10" w:line="240" w:lineRule="auto"/>
              <w:jc w:val="center"/>
            </w:pPr>
            <w:r>
              <w:rPr>
                <w:sz w:val="15"/>
              </w:rPr>
              <w:t>69</w:t>
            </w:r>
          </w:p>
        </w:tc>
        <w:tc>
          <w:tcPr>
            <w:tcW w:w="2375" w:type="dxa"/>
            <w:tcBorders>
              <w:top w:val="nil"/>
              <w:left w:val="nil"/>
              <w:bottom w:val="nil"/>
              <w:right w:val="nil"/>
              <w:insideH w:val="nil"/>
              <w:insideV w:val="nil"/>
            </w:tcBorders>
            <w:vAlign w:val="center"/>
          </w:tcPr>
          <w:p w14:paraId="46750318">
            <w:pPr>
              <w:spacing w:before="0" w:after="10" w:line="240" w:lineRule="auto"/>
              <w:jc w:val="center"/>
            </w:pPr>
            <w:r>
              <w:rPr>
                <w:sz w:val="15"/>
              </w:rPr>
              <w:t>−0.087</w:t>
            </w:r>
          </w:p>
        </w:tc>
        <w:tc>
          <w:tcPr>
            <w:tcW w:w="2375" w:type="dxa"/>
            <w:tcBorders>
              <w:top w:val="nil"/>
              <w:left w:val="nil"/>
              <w:bottom w:val="nil"/>
              <w:right w:val="nil"/>
              <w:insideH w:val="nil"/>
              <w:insideV w:val="nil"/>
            </w:tcBorders>
            <w:vAlign w:val="center"/>
          </w:tcPr>
          <w:p w14:paraId="3C9DF329">
            <w:pPr>
              <w:spacing w:before="0" w:after="10" w:line="240" w:lineRule="auto"/>
              <w:jc w:val="center"/>
            </w:pPr>
            <w:r>
              <w:rPr>
                <w:sz w:val="15"/>
              </w:rPr>
              <w:t>8.2</w:t>
            </w:r>
          </w:p>
        </w:tc>
      </w:tr>
      <w:tr w14:paraId="6175C348">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5A3CD99C">
            <w:pPr>
              <w:spacing w:before="0" w:after="10" w:line="240" w:lineRule="auto"/>
              <w:jc w:val="left"/>
            </w:pPr>
            <w:r>
              <w:rPr>
                <w:sz w:val="15"/>
              </w:rPr>
              <w:t>Henan</w:t>
            </w:r>
          </w:p>
        </w:tc>
        <w:tc>
          <w:tcPr>
            <w:tcW w:w="2375" w:type="dxa"/>
            <w:tcBorders>
              <w:top w:val="nil"/>
              <w:left w:val="nil"/>
              <w:bottom w:val="nil"/>
              <w:right w:val="nil"/>
              <w:insideH w:val="nil"/>
              <w:insideV w:val="nil"/>
            </w:tcBorders>
            <w:vAlign w:val="center"/>
          </w:tcPr>
          <w:p w14:paraId="49774414">
            <w:pPr>
              <w:spacing w:before="0" w:after="10" w:line="240" w:lineRule="auto"/>
              <w:jc w:val="center"/>
            </w:pPr>
            <w:r>
              <w:rPr>
                <w:sz w:val="15"/>
              </w:rPr>
              <w:t>North</w:t>
            </w:r>
          </w:p>
        </w:tc>
        <w:tc>
          <w:tcPr>
            <w:tcW w:w="2375" w:type="dxa"/>
            <w:tcBorders>
              <w:top w:val="nil"/>
              <w:left w:val="nil"/>
              <w:bottom w:val="nil"/>
              <w:right w:val="nil"/>
              <w:insideH w:val="nil"/>
              <w:insideV w:val="nil"/>
            </w:tcBorders>
            <w:vAlign w:val="center"/>
          </w:tcPr>
          <w:p w14:paraId="57955DE5">
            <w:pPr>
              <w:spacing w:before="0" w:after="10" w:line="240" w:lineRule="auto"/>
              <w:jc w:val="center"/>
            </w:pPr>
            <w:r>
              <w:rPr>
                <w:sz w:val="15"/>
              </w:rPr>
              <w:t>901</w:t>
            </w:r>
          </w:p>
        </w:tc>
        <w:tc>
          <w:tcPr>
            <w:tcW w:w="2375" w:type="dxa"/>
            <w:tcBorders>
              <w:top w:val="nil"/>
              <w:left w:val="nil"/>
              <w:bottom w:val="nil"/>
              <w:right w:val="nil"/>
              <w:insideH w:val="nil"/>
              <w:insideV w:val="nil"/>
            </w:tcBorders>
            <w:vAlign w:val="center"/>
          </w:tcPr>
          <w:p w14:paraId="3F077635">
            <w:pPr>
              <w:spacing w:before="0" w:after="10" w:line="240" w:lineRule="auto"/>
              <w:jc w:val="center"/>
            </w:pPr>
            <w:r>
              <w:rPr>
                <w:sz w:val="15"/>
              </w:rPr>
              <w:t>105</w:t>
            </w:r>
          </w:p>
        </w:tc>
        <w:tc>
          <w:tcPr>
            <w:tcW w:w="2375" w:type="dxa"/>
            <w:tcBorders>
              <w:top w:val="nil"/>
              <w:left w:val="nil"/>
              <w:bottom w:val="nil"/>
              <w:right w:val="nil"/>
              <w:insideH w:val="nil"/>
              <w:insideV w:val="nil"/>
            </w:tcBorders>
            <w:vAlign w:val="center"/>
          </w:tcPr>
          <w:p w14:paraId="41F5096B">
            <w:pPr>
              <w:spacing w:before="0" w:after="10" w:line="240" w:lineRule="auto"/>
              <w:jc w:val="center"/>
            </w:pPr>
            <w:r>
              <w:rPr>
                <w:sz w:val="15"/>
              </w:rPr>
              <w:t>−0.272</w:t>
            </w:r>
          </w:p>
        </w:tc>
        <w:tc>
          <w:tcPr>
            <w:tcW w:w="2375" w:type="dxa"/>
            <w:tcBorders>
              <w:top w:val="nil"/>
              <w:left w:val="nil"/>
              <w:bottom w:val="nil"/>
              <w:right w:val="nil"/>
              <w:insideH w:val="nil"/>
              <w:insideV w:val="nil"/>
            </w:tcBorders>
            <w:vAlign w:val="center"/>
          </w:tcPr>
          <w:p w14:paraId="25A5FF44">
            <w:pPr>
              <w:spacing w:before="0" w:after="10" w:line="240" w:lineRule="auto"/>
              <w:jc w:val="center"/>
            </w:pPr>
            <w:r>
              <w:rPr>
                <w:sz w:val="15"/>
              </w:rPr>
              <w:t>11.7</w:t>
            </w:r>
          </w:p>
        </w:tc>
      </w:tr>
      <w:tr w14:paraId="7D1B49EE">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3DFF2555">
            <w:pPr>
              <w:spacing w:before="0" w:after="10" w:line="240" w:lineRule="auto"/>
              <w:jc w:val="left"/>
            </w:pPr>
            <w:r>
              <w:rPr>
                <w:sz w:val="15"/>
              </w:rPr>
              <w:t>Shandong</w:t>
            </w:r>
          </w:p>
        </w:tc>
        <w:tc>
          <w:tcPr>
            <w:tcW w:w="2375" w:type="dxa"/>
            <w:tcBorders>
              <w:top w:val="nil"/>
              <w:left w:val="nil"/>
              <w:bottom w:val="nil"/>
              <w:right w:val="nil"/>
              <w:insideH w:val="nil"/>
              <w:insideV w:val="nil"/>
            </w:tcBorders>
            <w:vAlign w:val="center"/>
          </w:tcPr>
          <w:p w14:paraId="458214FF">
            <w:pPr>
              <w:spacing w:before="0" w:after="10" w:line="240" w:lineRule="auto"/>
              <w:jc w:val="center"/>
            </w:pPr>
            <w:r>
              <w:rPr>
                <w:sz w:val="15"/>
              </w:rPr>
              <w:t>North</w:t>
            </w:r>
          </w:p>
        </w:tc>
        <w:tc>
          <w:tcPr>
            <w:tcW w:w="2375" w:type="dxa"/>
            <w:tcBorders>
              <w:top w:val="nil"/>
              <w:left w:val="nil"/>
              <w:bottom w:val="nil"/>
              <w:right w:val="nil"/>
              <w:insideH w:val="nil"/>
              <w:insideV w:val="nil"/>
            </w:tcBorders>
            <w:vAlign w:val="center"/>
          </w:tcPr>
          <w:p w14:paraId="063CB1AC">
            <w:pPr>
              <w:spacing w:before="0" w:after="10" w:line="240" w:lineRule="auto"/>
              <w:jc w:val="center"/>
            </w:pPr>
            <w:r>
              <w:rPr>
                <w:sz w:val="15"/>
              </w:rPr>
              <w:t>881</w:t>
            </w:r>
          </w:p>
        </w:tc>
        <w:tc>
          <w:tcPr>
            <w:tcW w:w="2375" w:type="dxa"/>
            <w:tcBorders>
              <w:top w:val="nil"/>
              <w:left w:val="nil"/>
              <w:bottom w:val="nil"/>
              <w:right w:val="nil"/>
              <w:insideH w:val="nil"/>
              <w:insideV w:val="nil"/>
            </w:tcBorders>
            <w:vAlign w:val="center"/>
          </w:tcPr>
          <w:p w14:paraId="4421D6E8">
            <w:pPr>
              <w:spacing w:before="0" w:after="10" w:line="240" w:lineRule="auto"/>
              <w:jc w:val="center"/>
            </w:pPr>
            <w:r>
              <w:rPr>
                <w:sz w:val="15"/>
              </w:rPr>
              <w:t>160</w:t>
            </w:r>
          </w:p>
        </w:tc>
        <w:tc>
          <w:tcPr>
            <w:tcW w:w="2375" w:type="dxa"/>
            <w:tcBorders>
              <w:top w:val="nil"/>
              <w:left w:val="nil"/>
              <w:bottom w:val="nil"/>
              <w:right w:val="nil"/>
              <w:insideH w:val="nil"/>
              <w:insideV w:val="nil"/>
            </w:tcBorders>
            <w:vAlign w:val="center"/>
          </w:tcPr>
          <w:p w14:paraId="540F0F86">
            <w:pPr>
              <w:spacing w:before="0" w:after="10" w:line="240" w:lineRule="auto"/>
              <w:jc w:val="center"/>
            </w:pPr>
            <w:r>
              <w:rPr>
                <w:sz w:val="15"/>
              </w:rPr>
              <w:t>−0.284</w:t>
            </w:r>
          </w:p>
        </w:tc>
        <w:tc>
          <w:tcPr>
            <w:tcW w:w="2375" w:type="dxa"/>
            <w:tcBorders>
              <w:top w:val="nil"/>
              <w:left w:val="nil"/>
              <w:bottom w:val="nil"/>
              <w:right w:val="nil"/>
              <w:insideH w:val="nil"/>
              <w:insideV w:val="nil"/>
            </w:tcBorders>
            <w:vAlign w:val="center"/>
          </w:tcPr>
          <w:p w14:paraId="14522AC0">
            <w:pPr>
              <w:spacing w:before="0" w:after="10" w:line="240" w:lineRule="auto"/>
              <w:jc w:val="center"/>
            </w:pPr>
            <w:r>
              <w:rPr>
                <w:sz w:val="15"/>
              </w:rPr>
              <w:t>18.2</w:t>
            </w:r>
          </w:p>
        </w:tc>
      </w:tr>
      <w:tr w14:paraId="1A33FD49">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12BFCBF">
            <w:pPr>
              <w:spacing w:before="0" w:after="10" w:line="240" w:lineRule="auto"/>
              <w:jc w:val="left"/>
            </w:pPr>
            <w:r>
              <w:rPr>
                <w:sz w:val="15"/>
              </w:rPr>
              <w:t>North overall</w:t>
            </w:r>
          </w:p>
        </w:tc>
        <w:tc>
          <w:tcPr>
            <w:tcW w:w="2375" w:type="dxa"/>
            <w:tcBorders>
              <w:top w:val="nil"/>
              <w:left w:val="nil"/>
              <w:bottom w:val="nil"/>
              <w:right w:val="nil"/>
              <w:insideH w:val="nil"/>
              <w:insideV w:val="nil"/>
            </w:tcBorders>
            <w:vAlign w:val="center"/>
          </w:tcPr>
          <w:p w14:paraId="7B79B388">
            <w:pPr>
              <w:spacing w:before="0" w:after="10" w:line="240" w:lineRule="auto"/>
              <w:jc w:val="center"/>
            </w:pPr>
          </w:p>
        </w:tc>
        <w:tc>
          <w:tcPr>
            <w:tcW w:w="2375" w:type="dxa"/>
            <w:tcBorders>
              <w:top w:val="nil"/>
              <w:left w:val="nil"/>
              <w:bottom w:val="nil"/>
              <w:right w:val="nil"/>
              <w:insideH w:val="nil"/>
              <w:insideV w:val="nil"/>
            </w:tcBorders>
            <w:vAlign w:val="center"/>
          </w:tcPr>
          <w:p w14:paraId="4DB790F5">
            <w:pPr>
              <w:spacing w:before="0" w:after="10" w:line="240" w:lineRule="auto"/>
              <w:jc w:val="center"/>
            </w:pPr>
            <w:r>
              <w:rPr>
                <w:sz w:val="15"/>
              </w:rPr>
              <w:t>3396</w:t>
            </w:r>
          </w:p>
        </w:tc>
        <w:tc>
          <w:tcPr>
            <w:tcW w:w="2375" w:type="dxa"/>
            <w:tcBorders>
              <w:top w:val="nil"/>
              <w:left w:val="nil"/>
              <w:bottom w:val="nil"/>
              <w:right w:val="nil"/>
              <w:insideH w:val="nil"/>
              <w:insideV w:val="nil"/>
            </w:tcBorders>
            <w:vAlign w:val="center"/>
          </w:tcPr>
          <w:p w14:paraId="7F44D5B6">
            <w:pPr>
              <w:spacing w:before="0" w:after="10" w:line="240" w:lineRule="auto"/>
              <w:jc w:val="center"/>
            </w:pPr>
            <w:r>
              <w:rPr>
                <w:sz w:val="15"/>
              </w:rPr>
              <w:t>434</w:t>
            </w:r>
          </w:p>
        </w:tc>
        <w:tc>
          <w:tcPr>
            <w:tcW w:w="2375" w:type="dxa"/>
            <w:tcBorders>
              <w:top w:val="nil"/>
              <w:left w:val="nil"/>
              <w:bottom w:val="nil"/>
              <w:right w:val="nil"/>
              <w:insideH w:val="nil"/>
              <w:insideV w:val="nil"/>
            </w:tcBorders>
            <w:vAlign w:val="center"/>
          </w:tcPr>
          <w:p w14:paraId="69DB75D0">
            <w:pPr>
              <w:spacing w:before="0" w:after="10" w:line="240" w:lineRule="auto"/>
              <w:jc w:val="center"/>
            </w:pPr>
            <w:r>
              <w:rPr>
                <w:sz w:val="15"/>
              </w:rPr>
              <w:t>−0.167</w:t>
            </w:r>
          </w:p>
        </w:tc>
        <w:tc>
          <w:tcPr>
            <w:tcW w:w="2375" w:type="dxa"/>
            <w:tcBorders>
              <w:top w:val="nil"/>
              <w:left w:val="nil"/>
              <w:bottom w:val="nil"/>
              <w:right w:val="nil"/>
              <w:insideH w:val="nil"/>
              <w:insideV w:val="nil"/>
            </w:tcBorders>
            <w:vAlign w:val="center"/>
          </w:tcPr>
          <w:p w14:paraId="4169871D">
            <w:pPr>
              <w:spacing w:before="0" w:after="10" w:line="240" w:lineRule="auto"/>
              <w:jc w:val="center"/>
            </w:pPr>
            <w:r>
              <w:rPr>
                <w:sz w:val="15"/>
              </w:rPr>
              <w:t>12.8</w:t>
            </w:r>
          </w:p>
        </w:tc>
      </w:tr>
      <w:tr w14:paraId="65A3811C">
        <w:tblPrEx>
          <w:tblCellMar>
            <w:top w:w="0" w:type="dxa"/>
            <w:left w:w="108" w:type="dxa"/>
            <w:bottom w:w="0" w:type="dxa"/>
            <w:right w:w="108" w:type="dxa"/>
          </w:tblCellMar>
        </w:tblPrEx>
        <w:trPr>
          <w:jc w:val="center"/>
        </w:trPr>
        <w:tc>
          <w:tcPr>
            <w:tcW w:w="2375" w:type="dxa"/>
            <w:tcBorders>
              <w:top w:val="nil"/>
              <w:left w:val="nil"/>
              <w:bottom w:val="single" w:color="000000" w:sz="8" w:space="0"/>
              <w:right w:val="nil"/>
              <w:insideH w:val="nil"/>
              <w:insideV w:val="nil"/>
            </w:tcBorders>
            <w:vAlign w:val="center"/>
          </w:tcPr>
          <w:p w14:paraId="17AE5469">
            <w:pPr>
              <w:spacing w:before="0" w:after="10" w:line="240" w:lineRule="auto"/>
              <w:jc w:val="left"/>
            </w:pPr>
            <w:r>
              <w:rPr>
                <w:sz w:val="15"/>
              </w:rPr>
              <w:t>South overall</w:t>
            </w:r>
          </w:p>
        </w:tc>
        <w:tc>
          <w:tcPr>
            <w:tcW w:w="2375" w:type="dxa"/>
            <w:tcBorders>
              <w:top w:val="nil"/>
              <w:left w:val="nil"/>
              <w:bottom w:val="single" w:color="000000" w:sz="8" w:space="0"/>
              <w:right w:val="nil"/>
              <w:insideH w:val="nil"/>
              <w:insideV w:val="nil"/>
            </w:tcBorders>
            <w:vAlign w:val="center"/>
          </w:tcPr>
          <w:p w14:paraId="3CD646F5">
            <w:pPr>
              <w:spacing w:before="0" w:after="10" w:line="240" w:lineRule="auto"/>
              <w:jc w:val="center"/>
            </w:pPr>
          </w:p>
        </w:tc>
        <w:tc>
          <w:tcPr>
            <w:tcW w:w="2375" w:type="dxa"/>
            <w:tcBorders>
              <w:top w:val="nil"/>
              <w:left w:val="nil"/>
              <w:bottom w:val="single" w:color="000000" w:sz="8" w:space="0"/>
              <w:right w:val="nil"/>
              <w:insideH w:val="nil"/>
              <w:insideV w:val="nil"/>
            </w:tcBorders>
            <w:vAlign w:val="center"/>
          </w:tcPr>
          <w:p w14:paraId="2F62A76F">
            <w:pPr>
              <w:spacing w:before="0" w:after="10" w:line="240" w:lineRule="auto"/>
              <w:jc w:val="center"/>
            </w:pPr>
            <w:r>
              <w:rPr>
                <w:sz w:val="15"/>
              </w:rPr>
              <w:t>4532</w:t>
            </w:r>
          </w:p>
        </w:tc>
        <w:tc>
          <w:tcPr>
            <w:tcW w:w="2375" w:type="dxa"/>
            <w:tcBorders>
              <w:top w:val="nil"/>
              <w:left w:val="nil"/>
              <w:bottom w:val="single" w:color="000000" w:sz="8" w:space="0"/>
              <w:right w:val="nil"/>
              <w:insideH w:val="nil"/>
              <w:insideV w:val="nil"/>
            </w:tcBorders>
            <w:vAlign w:val="center"/>
          </w:tcPr>
          <w:p w14:paraId="02E4D2BC">
            <w:pPr>
              <w:spacing w:before="0" w:after="10" w:line="240" w:lineRule="auto"/>
              <w:jc w:val="center"/>
            </w:pPr>
            <w:r>
              <w:rPr>
                <w:sz w:val="15"/>
              </w:rPr>
              <w:t>368</w:t>
            </w:r>
          </w:p>
        </w:tc>
        <w:tc>
          <w:tcPr>
            <w:tcW w:w="2375" w:type="dxa"/>
            <w:tcBorders>
              <w:top w:val="nil"/>
              <w:left w:val="nil"/>
              <w:bottom w:val="single" w:color="000000" w:sz="8" w:space="0"/>
              <w:right w:val="nil"/>
              <w:insideH w:val="nil"/>
              <w:insideV w:val="nil"/>
            </w:tcBorders>
            <w:vAlign w:val="center"/>
          </w:tcPr>
          <w:p w14:paraId="48D8C707">
            <w:pPr>
              <w:spacing w:before="0" w:after="10" w:line="240" w:lineRule="auto"/>
              <w:jc w:val="center"/>
            </w:pPr>
            <w:r>
              <w:rPr>
                <w:sz w:val="15"/>
              </w:rPr>
              <w:t>0.117</w:t>
            </w:r>
          </w:p>
        </w:tc>
        <w:tc>
          <w:tcPr>
            <w:tcW w:w="2375" w:type="dxa"/>
            <w:tcBorders>
              <w:top w:val="nil"/>
              <w:left w:val="nil"/>
              <w:bottom w:val="single" w:color="000000" w:sz="8" w:space="0"/>
              <w:right w:val="nil"/>
              <w:insideH w:val="nil"/>
              <w:insideV w:val="nil"/>
            </w:tcBorders>
            <w:vAlign w:val="center"/>
          </w:tcPr>
          <w:p w14:paraId="0D1027F1">
            <w:pPr>
              <w:spacing w:before="0" w:after="10" w:line="240" w:lineRule="auto"/>
              <w:jc w:val="center"/>
            </w:pPr>
            <w:r>
              <w:rPr>
                <w:sz w:val="15"/>
              </w:rPr>
              <w:t>8.1</w:t>
            </w:r>
          </w:p>
        </w:tc>
      </w:tr>
    </w:tbl>
    <w:p w14:paraId="4F42C2F5">
      <w:pPr>
        <w:spacing w:before="20" w:after="20" w:line="240" w:lineRule="auto"/>
      </w:pPr>
      <w:r>
        <w:rPr>
          <w:sz w:val="16"/>
        </w:rPr>
        <w:t>Province-level correlation: Pearson r = −0.766 (95% CI, −0.948 to −0.208; p = 0.016; nine provinces).</w:t>
      </w:r>
    </w:p>
    <w:p w14:paraId="35A5731C">
      <w:pPr>
        <w:spacing w:before="100" w:after="60"/>
      </w:pPr>
      <w:r>
        <w:rPr>
          <w:b/>
          <w:sz w:val="18"/>
        </w:rPr>
        <w:t>B. Association with prevalent T2DM before and after province normalisation</w:t>
      </w:r>
    </w:p>
    <w:tbl>
      <w:tblPr>
        <w:tblStyle w:val="4"/>
        <w:tblW w:w="0" w:type="auto"/>
        <w:jc w:val="center"/>
        <w:tblLayout w:type="autofit"/>
        <w:tblCellMar>
          <w:top w:w="0" w:type="dxa"/>
          <w:left w:w="108" w:type="dxa"/>
          <w:bottom w:w="0" w:type="dxa"/>
          <w:right w:w="108" w:type="dxa"/>
        </w:tblCellMar>
      </w:tblPr>
      <w:tblGrid>
        <w:gridCol w:w="2280"/>
        <w:gridCol w:w="1836"/>
        <w:gridCol w:w="1898"/>
        <w:gridCol w:w="2093"/>
        <w:gridCol w:w="1855"/>
      </w:tblGrid>
      <w:tr w14:paraId="78D304C7">
        <w:tblPrEx>
          <w:tblCellMar>
            <w:top w:w="0" w:type="dxa"/>
            <w:left w:w="108" w:type="dxa"/>
            <w:bottom w:w="0" w:type="dxa"/>
            <w:right w:w="108" w:type="dxa"/>
          </w:tblCellMar>
        </w:tblPrEx>
        <w:trPr>
          <w:jc w:val="center"/>
        </w:trPr>
        <w:tc>
          <w:tcPr>
            <w:tcW w:w="2850" w:type="dxa"/>
            <w:tcBorders>
              <w:top w:val="single" w:color="000000" w:sz="8" w:space="0"/>
              <w:left w:val="nil"/>
              <w:bottom w:val="single" w:color="000000" w:sz="8" w:space="0"/>
              <w:right w:val="nil"/>
              <w:insideH w:val="nil"/>
              <w:insideV w:val="nil"/>
            </w:tcBorders>
            <w:vAlign w:val="center"/>
          </w:tcPr>
          <w:p w14:paraId="48E317F1">
            <w:pPr>
              <w:spacing w:before="0" w:after="10" w:line="240" w:lineRule="auto"/>
              <w:jc w:val="left"/>
            </w:pPr>
            <w:r>
              <w:rPr>
                <w:b/>
                <w:sz w:val="16"/>
              </w:rPr>
              <w:t>Exposure</w:t>
            </w:r>
          </w:p>
        </w:tc>
        <w:tc>
          <w:tcPr>
            <w:tcW w:w="2850" w:type="dxa"/>
            <w:tcBorders>
              <w:top w:val="single" w:color="000000" w:sz="8" w:space="0"/>
              <w:left w:val="nil"/>
              <w:bottom w:val="single" w:color="000000" w:sz="8" w:space="0"/>
              <w:right w:val="nil"/>
              <w:insideH w:val="nil"/>
              <w:insideV w:val="nil"/>
            </w:tcBorders>
            <w:vAlign w:val="center"/>
          </w:tcPr>
          <w:p w14:paraId="5B2A3274">
            <w:pPr>
              <w:spacing w:before="0" w:after="10" w:line="240" w:lineRule="auto"/>
              <w:jc w:val="center"/>
            </w:pPr>
            <w:r>
              <w:rPr>
                <w:b/>
                <w:sz w:val="16"/>
              </w:rPr>
              <w:t>n</w:t>
            </w:r>
          </w:p>
        </w:tc>
        <w:tc>
          <w:tcPr>
            <w:tcW w:w="2850" w:type="dxa"/>
            <w:tcBorders>
              <w:top w:val="single" w:color="000000" w:sz="8" w:space="0"/>
              <w:left w:val="nil"/>
              <w:bottom w:val="single" w:color="000000" w:sz="8" w:space="0"/>
              <w:right w:val="nil"/>
              <w:insideH w:val="nil"/>
              <w:insideV w:val="nil"/>
            </w:tcBorders>
            <w:vAlign w:val="center"/>
          </w:tcPr>
          <w:p w14:paraId="32FC1E7F">
            <w:pPr>
              <w:spacing w:before="0" w:after="10" w:line="240" w:lineRule="auto"/>
              <w:jc w:val="center"/>
            </w:pPr>
            <w:r>
              <w:rPr>
                <w:b/>
                <w:sz w:val="16"/>
              </w:rPr>
              <w:t>Events</w:t>
            </w:r>
          </w:p>
        </w:tc>
        <w:tc>
          <w:tcPr>
            <w:tcW w:w="2850" w:type="dxa"/>
            <w:tcBorders>
              <w:top w:val="single" w:color="000000" w:sz="8" w:space="0"/>
              <w:left w:val="nil"/>
              <w:bottom w:val="single" w:color="000000" w:sz="8" w:space="0"/>
              <w:right w:val="nil"/>
              <w:insideH w:val="nil"/>
              <w:insideV w:val="nil"/>
            </w:tcBorders>
            <w:vAlign w:val="center"/>
          </w:tcPr>
          <w:p w14:paraId="3EF2A423">
            <w:pPr>
              <w:spacing w:before="0" w:after="10" w:line="240" w:lineRule="auto"/>
              <w:jc w:val="center"/>
            </w:pPr>
            <w:r>
              <w:rPr>
                <w:b/>
                <w:sz w:val="16"/>
              </w:rPr>
              <w:t>OR (95% CI)</w:t>
            </w:r>
          </w:p>
        </w:tc>
        <w:tc>
          <w:tcPr>
            <w:tcW w:w="2850" w:type="dxa"/>
            <w:tcBorders>
              <w:top w:val="single" w:color="000000" w:sz="8" w:space="0"/>
              <w:left w:val="nil"/>
              <w:bottom w:val="single" w:color="000000" w:sz="8" w:space="0"/>
              <w:right w:val="nil"/>
              <w:insideH w:val="nil"/>
              <w:insideV w:val="nil"/>
            </w:tcBorders>
            <w:vAlign w:val="center"/>
          </w:tcPr>
          <w:p w14:paraId="10D8F093">
            <w:pPr>
              <w:spacing w:before="0" w:after="10" w:line="240" w:lineRule="auto"/>
              <w:jc w:val="center"/>
            </w:pPr>
            <w:r>
              <w:rPr>
                <w:b/>
                <w:sz w:val="16"/>
              </w:rPr>
              <w:t>P value</w:t>
            </w:r>
          </w:p>
        </w:tc>
      </w:tr>
      <w:tr w14:paraId="3F8FB97F">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031A2966">
            <w:pPr>
              <w:spacing w:before="0" w:after="10" w:line="240" w:lineRule="auto"/>
              <w:jc w:val="left"/>
            </w:pPr>
            <w:r>
              <w:rPr>
                <w:sz w:val="16"/>
              </w:rPr>
              <w:t>Original C-DMIP</w:t>
            </w:r>
          </w:p>
        </w:tc>
        <w:tc>
          <w:tcPr>
            <w:tcW w:w="2850" w:type="dxa"/>
            <w:tcBorders>
              <w:top w:val="nil"/>
              <w:left w:val="nil"/>
              <w:bottom w:val="nil"/>
              <w:right w:val="nil"/>
              <w:insideH w:val="nil"/>
              <w:insideV w:val="nil"/>
            </w:tcBorders>
            <w:vAlign w:val="center"/>
          </w:tcPr>
          <w:p w14:paraId="45D888E7">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6CFDBF2F">
            <w:pPr>
              <w:spacing w:before="0" w:after="10" w:line="240" w:lineRule="auto"/>
              <w:jc w:val="center"/>
            </w:pPr>
            <w:r>
              <w:rPr>
                <w:sz w:val="16"/>
              </w:rPr>
              <w:t>790</w:t>
            </w:r>
          </w:p>
        </w:tc>
        <w:tc>
          <w:tcPr>
            <w:tcW w:w="2850" w:type="dxa"/>
            <w:tcBorders>
              <w:top w:val="nil"/>
              <w:left w:val="nil"/>
              <w:bottom w:val="nil"/>
              <w:right w:val="nil"/>
              <w:insideH w:val="nil"/>
              <w:insideV w:val="nil"/>
            </w:tcBorders>
            <w:vAlign w:val="center"/>
          </w:tcPr>
          <w:p w14:paraId="4FA8BFE9">
            <w:pPr>
              <w:spacing w:before="0" w:after="10" w:line="240" w:lineRule="auto"/>
              <w:jc w:val="center"/>
            </w:pPr>
            <w:r>
              <w:rPr>
                <w:sz w:val="16"/>
              </w:rPr>
              <w:t>0.900 (0.818–0.991)</w:t>
            </w:r>
          </w:p>
        </w:tc>
        <w:tc>
          <w:tcPr>
            <w:tcW w:w="2850" w:type="dxa"/>
            <w:tcBorders>
              <w:top w:val="nil"/>
              <w:left w:val="nil"/>
              <w:bottom w:val="nil"/>
              <w:right w:val="nil"/>
              <w:insideH w:val="nil"/>
              <w:insideV w:val="nil"/>
            </w:tcBorders>
            <w:vAlign w:val="center"/>
          </w:tcPr>
          <w:p w14:paraId="2BDE6B77">
            <w:pPr>
              <w:spacing w:before="0" w:after="10" w:line="240" w:lineRule="auto"/>
              <w:jc w:val="center"/>
            </w:pPr>
            <w:r>
              <w:rPr>
                <w:sz w:val="16"/>
              </w:rPr>
              <w:t>0.032</w:t>
            </w:r>
          </w:p>
        </w:tc>
      </w:tr>
      <w:tr w14:paraId="7210A9A3">
        <w:tblPrEx>
          <w:tblCellMar>
            <w:top w:w="0" w:type="dxa"/>
            <w:left w:w="108" w:type="dxa"/>
            <w:bottom w:w="0" w:type="dxa"/>
            <w:right w:w="108" w:type="dxa"/>
          </w:tblCellMar>
        </w:tblPrEx>
        <w:trPr>
          <w:jc w:val="center"/>
        </w:trPr>
        <w:tc>
          <w:tcPr>
            <w:tcW w:w="2850" w:type="dxa"/>
            <w:tcBorders>
              <w:top w:val="nil"/>
              <w:left w:val="nil"/>
              <w:bottom w:val="single" w:color="000000" w:sz="8" w:space="0"/>
              <w:right w:val="nil"/>
              <w:insideH w:val="nil"/>
              <w:insideV w:val="nil"/>
            </w:tcBorders>
            <w:vAlign w:val="center"/>
          </w:tcPr>
          <w:p w14:paraId="43B2D6D9">
            <w:pPr>
              <w:spacing w:before="0" w:after="10" w:line="240" w:lineRule="auto"/>
              <w:jc w:val="left"/>
            </w:pPr>
            <w:r>
              <w:rPr>
                <w:sz w:val="16"/>
              </w:rPr>
              <w:t>Province-normalised C-DMIP</w:t>
            </w:r>
          </w:p>
        </w:tc>
        <w:tc>
          <w:tcPr>
            <w:tcW w:w="2850" w:type="dxa"/>
            <w:tcBorders>
              <w:top w:val="nil"/>
              <w:left w:val="nil"/>
              <w:bottom w:val="single" w:color="000000" w:sz="8" w:space="0"/>
              <w:right w:val="nil"/>
              <w:insideH w:val="nil"/>
              <w:insideV w:val="nil"/>
            </w:tcBorders>
            <w:vAlign w:val="center"/>
          </w:tcPr>
          <w:p w14:paraId="4CF65495">
            <w:pPr>
              <w:spacing w:before="0" w:after="10" w:line="240" w:lineRule="auto"/>
              <w:jc w:val="center"/>
            </w:pPr>
            <w:r>
              <w:rPr>
                <w:sz w:val="16"/>
              </w:rPr>
              <w:t>7846</w:t>
            </w:r>
          </w:p>
        </w:tc>
        <w:tc>
          <w:tcPr>
            <w:tcW w:w="2850" w:type="dxa"/>
            <w:tcBorders>
              <w:top w:val="nil"/>
              <w:left w:val="nil"/>
              <w:bottom w:val="single" w:color="000000" w:sz="8" w:space="0"/>
              <w:right w:val="nil"/>
              <w:insideH w:val="nil"/>
              <w:insideV w:val="nil"/>
            </w:tcBorders>
            <w:vAlign w:val="center"/>
          </w:tcPr>
          <w:p w14:paraId="26C4FE84">
            <w:pPr>
              <w:spacing w:before="0" w:after="10" w:line="240" w:lineRule="auto"/>
              <w:jc w:val="center"/>
            </w:pPr>
            <w:r>
              <w:rPr>
                <w:sz w:val="16"/>
              </w:rPr>
              <w:t>790</w:t>
            </w:r>
          </w:p>
        </w:tc>
        <w:tc>
          <w:tcPr>
            <w:tcW w:w="2850" w:type="dxa"/>
            <w:tcBorders>
              <w:top w:val="nil"/>
              <w:left w:val="nil"/>
              <w:bottom w:val="single" w:color="000000" w:sz="8" w:space="0"/>
              <w:right w:val="nil"/>
              <w:insideH w:val="nil"/>
              <w:insideV w:val="nil"/>
            </w:tcBorders>
            <w:vAlign w:val="center"/>
          </w:tcPr>
          <w:p w14:paraId="44D7ED61">
            <w:pPr>
              <w:spacing w:before="0" w:after="10" w:line="240" w:lineRule="auto"/>
              <w:jc w:val="center"/>
            </w:pPr>
            <w:r>
              <w:rPr>
                <w:sz w:val="16"/>
              </w:rPr>
              <w:t>1.040 (0.957–1.130)</w:t>
            </w:r>
          </w:p>
        </w:tc>
        <w:tc>
          <w:tcPr>
            <w:tcW w:w="2850" w:type="dxa"/>
            <w:tcBorders>
              <w:top w:val="nil"/>
              <w:left w:val="nil"/>
              <w:bottom w:val="single" w:color="000000" w:sz="8" w:space="0"/>
              <w:right w:val="nil"/>
              <w:insideH w:val="nil"/>
              <w:insideV w:val="nil"/>
            </w:tcBorders>
            <w:vAlign w:val="center"/>
          </w:tcPr>
          <w:p w14:paraId="74B1A227">
            <w:pPr>
              <w:spacing w:before="0" w:after="10" w:line="240" w:lineRule="auto"/>
              <w:jc w:val="center"/>
            </w:pPr>
            <w:r>
              <w:rPr>
                <w:sz w:val="16"/>
              </w:rPr>
              <w:t>0.351</w:t>
            </w:r>
          </w:p>
        </w:tc>
      </w:tr>
    </w:tbl>
    <w:p w14:paraId="6ED2E2B7">
      <w:pPr>
        <w:spacing w:before="100" w:after="60"/>
      </w:pPr>
      <w:r>
        <w:rPr>
          <w:b/>
          <w:sz w:val="18"/>
        </w:rPr>
        <w:t>C. Associations with metabolic-inflammatory response variables in the held-out sample</w:t>
      </w:r>
    </w:p>
    <w:tbl>
      <w:tblPr>
        <w:tblStyle w:val="4"/>
        <w:tblW w:w="0" w:type="auto"/>
        <w:jc w:val="center"/>
        <w:tblLayout w:type="autofit"/>
        <w:tblCellMar>
          <w:top w:w="0" w:type="dxa"/>
          <w:left w:w="108" w:type="dxa"/>
          <w:bottom w:w="0" w:type="dxa"/>
          <w:right w:w="108" w:type="dxa"/>
        </w:tblCellMar>
      </w:tblPr>
      <w:tblGrid>
        <w:gridCol w:w="2005"/>
        <w:gridCol w:w="1943"/>
        <w:gridCol w:w="1884"/>
        <w:gridCol w:w="2282"/>
        <w:gridCol w:w="1848"/>
      </w:tblGrid>
      <w:tr w14:paraId="2730BEF5">
        <w:tblPrEx>
          <w:tblCellMar>
            <w:top w:w="0" w:type="dxa"/>
            <w:left w:w="108" w:type="dxa"/>
            <w:bottom w:w="0" w:type="dxa"/>
            <w:right w:w="108" w:type="dxa"/>
          </w:tblCellMar>
        </w:tblPrEx>
        <w:trPr>
          <w:jc w:val="center"/>
        </w:trPr>
        <w:tc>
          <w:tcPr>
            <w:tcW w:w="2850" w:type="dxa"/>
            <w:tcBorders>
              <w:top w:val="single" w:color="000000" w:sz="8" w:space="0"/>
              <w:left w:val="nil"/>
              <w:bottom w:val="single" w:color="000000" w:sz="8" w:space="0"/>
              <w:right w:val="nil"/>
              <w:insideH w:val="nil"/>
              <w:insideV w:val="nil"/>
            </w:tcBorders>
            <w:vAlign w:val="center"/>
          </w:tcPr>
          <w:p w14:paraId="07D452D0">
            <w:pPr>
              <w:spacing w:before="0" w:after="10" w:line="240" w:lineRule="auto"/>
              <w:jc w:val="left"/>
            </w:pPr>
            <w:r>
              <w:rPr>
                <w:b/>
                <w:sz w:val="15"/>
              </w:rPr>
              <w:t>Response variable</w:t>
            </w:r>
          </w:p>
        </w:tc>
        <w:tc>
          <w:tcPr>
            <w:tcW w:w="2850" w:type="dxa"/>
            <w:tcBorders>
              <w:top w:val="single" w:color="000000" w:sz="8" w:space="0"/>
              <w:left w:val="nil"/>
              <w:bottom w:val="single" w:color="000000" w:sz="8" w:space="0"/>
              <w:right w:val="nil"/>
              <w:insideH w:val="nil"/>
              <w:insideV w:val="nil"/>
            </w:tcBorders>
            <w:vAlign w:val="center"/>
          </w:tcPr>
          <w:p w14:paraId="5DA2558D">
            <w:pPr>
              <w:spacing w:before="0" w:after="10" w:line="240" w:lineRule="auto"/>
              <w:jc w:val="center"/>
            </w:pPr>
            <w:r>
              <w:rPr>
                <w:b/>
                <w:sz w:val="15"/>
              </w:rPr>
              <w:t>Original C-DMIP β per 1-SD</w:t>
            </w:r>
          </w:p>
        </w:tc>
        <w:tc>
          <w:tcPr>
            <w:tcW w:w="2850" w:type="dxa"/>
            <w:tcBorders>
              <w:top w:val="single" w:color="000000" w:sz="8" w:space="0"/>
              <w:left w:val="nil"/>
              <w:bottom w:val="single" w:color="000000" w:sz="8" w:space="0"/>
              <w:right w:val="nil"/>
              <w:insideH w:val="nil"/>
              <w:insideV w:val="nil"/>
            </w:tcBorders>
            <w:vAlign w:val="center"/>
          </w:tcPr>
          <w:p w14:paraId="4CA00549">
            <w:pPr>
              <w:spacing w:before="0" w:after="10" w:line="240" w:lineRule="auto"/>
              <w:jc w:val="center"/>
            </w:pPr>
            <w:r>
              <w:rPr>
                <w:b/>
                <w:sz w:val="15"/>
              </w:rPr>
              <w:t>P value</w:t>
            </w:r>
          </w:p>
        </w:tc>
        <w:tc>
          <w:tcPr>
            <w:tcW w:w="2850" w:type="dxa"/>
            <w:tcBorders>
              <w:top w:val="single" w:color="000000" w:sz="8" w:space="0"/>
              <w:left w:val="nil"/>
              <w:bottom w:val="single" w:color="000000" w:sz="8" w:space="0"/>
              <w:right w:val="nil"/>
              <w:insideH w:val="nil"/>
              <w:insideV w:val="nil"/>
            </w:tcBorders>
            <w:vAlign w:val="center"/>
          </w:tcPr>
          <w:p w14:paraId="02306265">
            <w:pPr>
              <w:spacing w:before="0" w:after="10" w:line="240" w:lineRule="auto"/>
              <w:jc w:val="center"/>
            </w:pPr>
            <w:r>
              <w:rPr>
                <w:b/>
                <w:sz w:val="15"/>
              </w:rPr>
              <w:t>Province-normalised C-DMIP β per 1-SD</w:t>
            </w:r>
          </w:p>
        </w:tc>
        <w:tc>
          <w:tcPr>
            <w:tcW w:w="2850" w:type="dxa"/>
            <w:tcBorders>
              <w:top w:val="single" w:color="000000" w:sz="8" w:space="0"/>
              <w:left w:val="nil"/>
              <w:bottom w:val="single" w:color="000000" w:sz="8" w:space="0"/>
              <w:right w:val="nil"/>
              <w:insideH w:val="nil"/>
              <w:insideV w:val="nil"/>
            </w:tcBorders>
            <w:vAlign w:val="center"/>
          </w:tcPr>
          <w:p w14:paraId="4938E567">
            <w:pPr>
              <w:spacing w:before="0" w:after="10" w:line="240" w:lineRule="auto"/>
              <w:jc w:val="center"/>
            </w:pPr>
            <w:r>
              <w:rPr>
                <w:b/>
                <w:sz w:val="15"/>
              </w:rPr>
              <w:t>P value</w:t>
            </w:r>
          </w:p>
        </w:tc>
      </w:tr>
      <w:tr w14:paraId="0929B93D">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5102EC79">
            <w:pPr>
              <w:spacing w:before="0" w:after="10" w:line="240" w:lineRule="auto"/>
              <w:jc w:val="left"/>
            </w:pPr>
            <w:r>
              <w:rPr>
                <w:sz w:val="15"/>
              </w:rPr>
              <w:t>hs-CRP</w:t>
            </w:r>
          </w:p>
        </w:tc>
        <w:tc>
          <w:tcPr>
            <w:tcW w:w="2850" w:type="dxa"/>
            <w:tcBorders>
              <w:top w:val="nil"/>
              <w:left w:val="nil"/>
              <w:bottom w:val="nil"/>
              <w:right w:val="nil"/>
              <w:insideH w:val="nil"/>
              <w:insideV w:val="nil"/>
            </w:tcBorders>
            <w:vAlign w:val="center"/>
          </w:tcPr>
          <w:p w14:paraId="548A3577">
            <w:pPr>
              <w:spacing w:before="0" w:after="10" w:line="240" w:lineRule="auto"/>
              <w:jc w:val="center"/>
            </w:pPr>
            <w:r>
              <w:rPr>
                <w:sz w:val="15"/>
              </w:rPr>
              <w:t>0.026</w:t>
            </w:r>
          </w:p>
        </w:tc>
        <w:tc>
          <w:tcPr>
            <w:tcW w:w="2850" w:type="dxa"/>
            <w:tcBorders>
              <w:top w:val="nil"/>
              <w:left w:val="nil"/>
              <w:bottom w:val="nil"/>
              <w:right w:val="nil"/>
              <w:insideH w:val="nil"/>
              <w:insideV w:val="nil"/>
            </w:tcBorders>
            <w:vAlign w:val="center"/>
          </w:tcPr>
          <w:p w14:paraId="5934A985">
            <w:pPr>
              <w:spacing w:before="0" w:after="10" w:line="240" w:lineRule="auto"/>
              <w:jc w:val="center"/>
            </w:pPr>
            <w:r>
              <w:rPr>
                <w:sz w:val="15"/>
              </w:rPr>
              <w:t>0.027</w:t>
            </w:r>
          </w:p>
        </w:tc>
        <w:tc>
          <w:tcPr>
            <w:tcW w:w="2850" w:type="dxa"/>
            <w:tcBorders>
              <w:top w:val="nil"/>
              <w:left w:val="nil"/>
              <w:bottom w:val="nil"/>
              <w:right w:val="nil"/>
              <w:insideH w:val="nil"/>
              <w:insideV w:val="nil"/>
            </w:tcBorders>
            <w:vAlign w:val="center"/>
          </w:tcPr>
          <w:p w14:paraId="1A49B35B">
            <w:pPr>
              <w:spacing w:before="0" w:after="10" w:line="240" w:lineRule="auto"/>
              <w:jc w:val="center"/>
            </w:pPr>
            <w:r>
              <w:rPr>
                <w:sz w:val="15"/>
              </w:rPr>
              <w:t>0.003</w:t>
            </w:r>
          </w:p>
        </w:tc>
        <w:tc>
          <w:tcPr>
            <w:tcW w:w="2850" w:type="dxa"/>
            <w:tcBorders>
              <w:top w:val="nil"/>
              <w:left w:val="nil"/>
              <w:bottom w:val="nil"/>
              <w:right w:val="nil"/>
              <w:insideH w:val="nil"/>
              <w:insideV w:val="nil"/>
            </w:tcBorders>
            <w:vAlign w:val="center"/>
          </w:tcPr>
          <w:p w14:paraId="31F43479">
            <w:pPr>
              <w:spacing w:before="0" w:after="10" w:line="240" w:lineRule="auto"/>
              <w:jc w:val="center"/>
            </w:pPr>
            <w:r>
              <w:rPr>
                <w:sz w:val="15"/>
              </w:rPr>
              <w:t>0.814</w:t>
            </w:r>
          </w:p>
        </w:tc>
      </w:tr>
      <w:tr w14:paraId="073A0CC1">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0A43EBFB">
            <w:pPr>
              <w:spacing w:before="0" w:after="10" w:line="240" w:lineRule="auto"/>
              <w:jc w:val="left"/>
            </w:pPr>
            <w:r>
              <w:rPr>
                <w:sz w:val="15"/>
              </w:rPr>
              <w:t>HOMA-IR</w:t>
            </w:r>
          </w:p>
        </w:tc>
        <w:tc>
          <w:tcPr>
            <w:tcW w:w="2850" w:type="dxa"/>
            <w:tcBorders>
              <w:top w:val="nil"/>
              <w:left w:val="nil"/>
              <w:bottom w:val="nil"/>
              <w:right w:val="nil"/>
              <w:insideH w:val="nil"/>
              <w:insideV w:val="nil"/>
            </w:tcBorders>
            <w:vAlign w:val="center"/>
          </w:tcPr>
          <w:p w14:paraId="18C0FBBA">
            <w:pPr>
              <w:spacing w:before="0" w:after="10" w:line="240" w:lineRule="auto"/>
              <w:jc w:val="center"/>
            </w:pPr>
            <w:r>
              <w:rPr>
                <w:sz w:val="15"/>
              </w:rPr>
              <w:t>−0.028</w:t>
            </w:r>
          </w:p>
        </w:tc>
        <w:tc>
          <w:tcPr>
            <w:tcW w:w="2850" w:type="dxa"/>
            <w:tcBorders>
              <w:top w:val="nil"/>
              <w:left w:val="nil"/>
              <w:bottom w:val="nil"/>
              <w:right w:val="nil"/>
              <w:insideH w:val="nil"/>
              <w:insideV w:val="nil"/>
            </w:tcBorders>
            <w:vAlign w:val="center"/>
          </w:tcPr>
          <w:p w14:paraId="509D8587">
            <w:pPr>
              <w:spacing w:before="0" w:after="10" w:line="240" w:lineRule="auto"/>
              <w:jc w:val="center"/>
            </w:pPr>
            <w:r>
              <w:rPr>
                <w:sz w:val="15"/>
              </w:rPr>
              <w:t>0.061</w:t>
            </w:r>
          </w:p>
        </w:tc>
        <w:tc>
          <w:tcPr>
            <w:tcW w:w="2850" w:type="dxa"/>
            <w:tcBorders>
              <w:top w:val="nil"/>
              <w:left w:val="nil"/>
              <w:bottom w:val="nil"/>
              <w:right w:val="nil"/>
              <w:insideH w:val="nil"/>
              <w:insideV w:val="nil"/>
            </w:tcBorders>
            <w:vAlign w:val="center"/>
          </w:tcPr>
          <w:p w14:paraId="51CFCBAE">
            <w:pPr>
              <w:spacing w:before="0" w:after="10" w:line="240" w:lineRule="auto"/>
              <w:jc w:val="center"/>
            </w:pPr>
            <w:r>
              <w:rPr>
                <w:sz w:val="15"/>
              </w:rPr>
              <w:t>−0.031</w:t>
            </w:r>
          </w:p>
        </w:tc>
        <w:tc>
          <w:tcPr>
            <w:tcW w:w="2850" w:type="dxa"/>
            <w:tcBorders>
              <w:top w:val="nil"/>
              <w:left w:val="nil"/>
              <w:bottom w:val="nil"/>
              <w:right w:val="nil"/>
              <w:insideH w:val="nil"/>
              <w:insideV w:val="nil"/>
            </w:tcBorders>
            <w:vAlign w:val="center"/>
          </w:tcPr>
          <w:p w14:paraId="3F0952F8">
            <w:pPr>
              <w:spacing w:before="0" w:after="10" w:line="240" w:lineRule="auto"/>
              <w:jc w:val="center"/>
            </w:pPr>
            <w:r>
              <w:rPr>
                <w:sz w:val="15"/>
              </w:rPr>
              <w:t>0.033</w:t>
            </w:r>
          </w:p>
        </w:tc>
      </w:tr>
      <w:tr w14:paraId="2EE1C129">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232C19F6">
            <w:pPr>
              <w:spacing w:before="0" w:after="10" w:line="240" w:lineRule="auto"/>
              <w:jc w:val="left"/>
            </w:pPr>
            <w:r>
              <w:rPr>
                <w:sz w:val="15"/>
              </w:rPr>
              <w:t>TG/HDL-C</w:t>
            </w:r>
          </w:p>
        </w:tc>
        <w:tc>
          <w:tcPr>
            <w:tcW w:w="2850" w:type="dxa"/>
            <w:tcBorders>
              <w:top w:val="nil"/>
              <w:left w:val="nil"/>
              <w:bottom w:val="nil"/>
              <w:right w:val="nil"/>
              <w:insideH w:val="nil"/>
              <w:insideV w:val="nil"/>
            </w:tcBorders>
            <w:vAlign w:val="center"/>
          </w:tcPr>
          <w:p w14:paraId="5D415BBF">
            <w:pPr>
              <w:spacing w:before="0" w:after="10" w:line="240" w:lineRule="auto"/>
              <w:jc w:val="center"/>
            </w:pPr>
            <w:r>
              <w:rPr>
                <w:sz w:val="15"/>
              </w:rPr>
              <w:t>0.063</w:t>
            </w:r>
          </w:p>
        </w:tc>
        <w:tc>
          <w:tcPr>
            <w:tcW w:w="2850" w:type="dxa"/>
            <w:tcBorders>
              <w:top w:val="nil"/>
              <w:left w:val="nil"/>
              <w:bottom w:val="nil"/>
              <w:right w:val="nil"/>
              <w:insideH w:val="nil"/>
              <w:insideV w:val="nil"/>
            </w:tcBorders>
            <w:vAlign w:val="center"/>
          </w:tcPr>
          <w:p w14:paraId="06D21158">
            <w:pPr>
              <w:spacing w:before="0" w:after="10" w:line="240" w:lineRule="auto"/>
              <w:jc w:val="center"/>
            </w:pPr>
            <w:r>
              <w:rPr>
                <w:sz w:val="15"/>
              </w:rPr>
              <w:t>&lt;0.001</w:t>
            </w:r>
          </w:p>
        </w:tc>
        <w:tc>
          <w:tcPr>
            <w:tcW w:w="2850" w:type="dxa"/>
            <w:tcBorders>
              <w:top w:val="nil"/>
              <w:left w:val="nil"/>
              <w:bottom w:val="nil"/>
              <w:right w:val="nil"/>
              <w:insideH w:val="nil"/>
              <w:insideV w:val="nil"/>
            </w:tcBorders>
            <w:vAlign w:val="center"/>
          </w:tcPr>
          <w:p w14:paraId="7B03CEC8">
            <w:pPr>
              <w:spacing w:before="0" w:after="10" w:line="240" w:lineRule="auto"/>
              <w:jc w:val="center"/>
            </w:pPr>
            <w:r>
              <w:rPr>
                <w:sz w:val="15"/>
              </w:rPr>
              <w:t>0.017</w:t>
            </w:r>
          </w:p>
        </w:tc>
        <w:tc>
          <w:tcPr>
            <w:tcW w:w="2850" w:type="dxa"/>
            <w:tcBorders>
              <w:top w:val="nil"/>
              <w:left w:val="nil"/>
              <w:bottom w:val="nil"/>
              <w:right w:val="nil"/>
              <w:insideH w:val="nil"/>
              <w:insideV w:val="nil"/>
            </w:tcBorders>
            <w:vAlign w:val="center"/>
          </w:tcPr>
          <w:p w14:paraId="1513D947">
            <w:pPr>
              <w:spacing w:before="0" w:after="10" w:line="240" w:lineRule="auto"/>
              <w:jc w:val="center"/>
            </w:pPr>
            <w:r>
              <w:rPr>
                <w:sz w:val="15"/>
              </w:rPr>
              <w:t>0.252</w:t>
            </w:r>
          </w:p>
        </w:tc>
      </w:tr>
      <w:tr w14:paraId="553D7DA7">
        <w:tblPrEx>
          <w:tblCellMar>
            <w:top w:w="0" w:type="dxa"/>
            <w:left w:w="108" w:type="dxa"/>
            <w:bottom w:w="0" w:type="dxa"/>
            <w:right w:w="108" w:type="dxa"/>
          </w:tblCellMar>
        </w:tblPrEx>
        <w:trPr>
          <w:jc w:val="center"/>
        </w:trPr>
        <w:tc>
          <w:tcPr>
            <w:tcW w:w="2850" w:type="dxa"/>
            <w:tcBorders>
              <w:top w:val="nil"/>
              <w:left w:val="nil"/>
              <w:bottom w:val="single" w:color="000000" w:sz="8" w:space="0"/>
              <w:right w:val="nil"/>
              <w:insideH w:val="nil"/>
              <w:insideV w:val="nil"/>
            </w:tcBorders>
            <w:vAlign w:val="center"/>
          </w:tcPr>
          <w:p w14:paraId="6A79CAB1">
            <w:pPr>
              <w:spacing w:before="0" w:after="10" w:line="240" w:lineRule="auto"/>
              <w:jc w:val="left"/>
            </w:pPr>
            <w:r>
              <w:rPr>
                <w:sz w:val="15"/>
              </w:rPr>
              <w:t>Serum uric acid</w:t>
            </w:r>
          </w:p>
        </w:tc>
        <w:tc>
          <w:tcPr>
            <w:tcW w:w="2850" w:type="dxa"/>
            <w:tcBorders>
              <w:top w:val="nil"/>
              <w:left w:val="nil"/>
              <w:bottom w:val="single" w:color="000000" w:sz="8" w:space="0"/>
              <w:right w:val="nil"/>
              <w:insideH w:val="nil"/>
              <w:insideV w:val="nil"/>
            </w:tcBorders>
            <w:vAlign w:val="center"/>
          </w:tcPr>
          <w:p w14:paraId="7A77796A">
            <w:pPr>
              <w:spacing w:before="0" w:after="10" w:line="240" w:lineRule="auto"/>
              <w:jc w:val="center"/>
            </w:pPr>
            <w:r>
              <w:rPr>
                <w:sz w:val="15"/>
              </w:rPr>
              <w:t>0.163</w:t>
            </w:r>
          </w:p>
        </w:tc>
        <w:tc>
          <w:tcPr>
            <w:tcW w:w="2850" w:type="dxa"/>
            <w:tcBorders>
              <w:top w:val="nil"/>
              <w:left w:val="nil"/>
              <w:bottom w:val="single" w:color="000000" w:sz="8" w:space="0"/>
              <w:right w:val="nil"/>
              <w:insideH w:val="nil"/>
              <w:insideV w:val="nil"/>
            </w:tcBorders>
            <w:vAlign w:val="center"/>
          </w:tcPr>
          <w:p w14:paraId="4F199766">
            <w:pPr>
              <w:spacing w:before="0" w:after="10" w:line="240" w:lineRule="auto"/>
              <w:jc w:val="center"/>
            </w:pPr>
            <w:r>
              <w:rPr>
                <w:sz w:val="15"/>
              </w:rPr>
              <w:t>&lt;0.001</w:t>
            </w:r>
          </w:p>
        </w:tc>
        <w:tc>
          <w:tcPr>
            <w:tcW w:w="2850" w:type="dxa"/>
            <w:tcBorders>
              <w:top w:val="nil"/>
              <w:left w:val="nil"/>
              <w:bottom w:val="single" w:color="000000" w:sz="8" w:space="0"/>
              <w:right w:val="nil"/>
              <w:insideH w:val="nil"/>
              <w:insideV w:val="nil"/>
            </w:tcBorders>
            <w:vAlign w:val="center"/>
          </w:tcPr>
          <w:p w14:paraId="04B816B8">
            <w:pPr>
              <w:spacing w:before="0" w:after="10" w:line="240" w:lineRule="auto"/>
              <w:jc w:val="center"/>
            </w:pPr>
            <w:r>
              <w:rPr>
                <w:sz w:val="15"/>
              </w:rPr>
              <w:t>0.046</w:t>
            </w:r>
          </w:p>
        </w:tc>
        <w:tc>
          <w:tcPr>
            <w:tcW w:w="2850" w:type="dxa"/>
            <w:tcBorders>
              <w:top w:val="nil"/>
              <w:left w:val="nil"/>
              <w:bottom w:val="single" w:color="000000" w:sz="8" w:space="0"/>
              <w:right w:val="nil"/>
              <w:insideH w:val="nil"/>
              <w:insideV w:val="nil"/>
            </w:tcBorders>
            <w:vAlign w:val="center"/>
          </w:tcPr>
          <w:p w14:paraId="7140A7F4">
            <w:pPr>
              <w:spacing w:before="0" w:after="10" w:line="240" w:lineRule="auto"/>
              <w:jc w:val="center"/>
            </w:pPr>
            <w:r>
              <w:rPr>
                <w:sz w:val="15"/>
              </w:rPr>
              <w:t>0.007</w:t>
            </w:r>
          </w:p>
        </w:tc>
      </w:tr>
    </w:tbl>
    <w:p w14:paraId="725644FB">
      <w:pPr>
        <w:spacing w:before="20" w:after="20" w:line="240" w:lineRule="auto"/>
      </w:pPr>
      <w:r>
        <w:rPr>
          <w:b/>
          <w:sz w:val="16"/>
        </w:rPr>
        <w:t>Notes:</w:t>
      </w:r>
      <w:r>
        <w:rPr>
          <w:sz w:val="16"/>
        </w:rPr>
        <w:t xml:space="preserve"> Province-normalised scores were standardised within each province. Panel A is descriptive and based on nine province-level observations. Panel B used the Model 3 covariate specification with community-level cluster-robust standard errors. Panel C was based on the held-out sample (n = 2407); β coefficients are expressed per one-SD increment in the corresponding score.</w:t>
      </w:r>
    </w:p>
    <w:p w14:paraId="3BD9951D">
      <w:pPr>
        <w:spacing w:before="20" w:after="20" w:line="240" w:lineRule="auto"/>
      </w:pPr>
      <w:r>
        <w:rPr>
          <w:b/>
          <w:sz w:val="16"/>
        </w:rPr>
        <w:t>Abbreviations:</w:t>
      </w:r>
      <w:r>
        <w:rPr>
          <w:sz w:val="16"/>
        </w:rPr>
        <w:t xml:space="preserve"> C-DMIP, China-specific Dietary Metabolic-Inflammatory Pattern; CI, confidence interval; HDL-C, high-density lipoprotein cholesterol; HOMA-IR, homeostatic model assessment of insulin resistance; hs-CRP, high-sensitivity C-reactive protein; OR, odds ratio; SD, standard deviation; T2DM, type 2 diabetes mellitus; TG, triglycerides.</w:t>
      </w:r>
    </w:p>
    <w:p w14:paraId="59DC0B1C">
      <w:pPr>
        <w:spacing w:after="100"/>
      </w:pPr>
      <w:r>
        <w:rPr>
          <w:b/>
          <w:sz w:val="20"/>
        </w:rPr>
        <w:t>Supplementary Table S3. Comparison of C-DMIP and the Dietary Inflammatory Index for prevalent T2DM</w:t>
      </w:r>
    </w:p>
    <w:p w14:paraId="672161FC">
      <w:pPr>
        <w:spacing w:before="100" w:after="60"/>
      </w:pPr>
      <w:r>
        <w:rPr>
          <w:b/>
          <w:sz w:val="18"/>
        </w:rPr>
        <w:t>A. Quartile-based associations with prevalent T2DM</w:t>
      </w:r>
    </w:p>
    <w:tbl>
      <w:tblPr>
        <w:tblStyle w:val="4"/>
        <w:tblW w:w="0" w:type="auto"/>
        <w:jc w:val="center"/>
        <w:tblLayout w:type="autofit"/>
        <w:tblCellMar>
          <w:top w:w="0" w:type="dxa"/>
          <w:left w:w="108" w:type="dxa"/>
          <w:bottom w:w="0" w:type="dxa"/>
          <w:right w:w="108" w:type="dxa"/>
        </w:tblCellMar>
      </w:tblPr>
      <w:tblGrid>
        <w:gridCol w:w="1972"/>
        <w:gridCol w:w="2113"/>
        <w:gridCol w:w="1882"/>
        <w:gridCol w:w="2113"/>
        <w:gridCol w:w="1882"/>
      </w:tblGrid>
      <w:tr w14:paraId="43B723E4">
        <w:tblPrEx>
          <w:tblCellMar>
            <w:top w:w="0" w:type="dxa"/>
            <w:left w:w="108" w:type="dxa"/>
            <w:bottom w:w="0" w:type="dxa"/>
            <w:right w:w="108" w:type="dxa"/>
          </w:tblCellMar>
        </w:tblPrEx>
        <w:trPr>
          <w:jc w:val="center"/>
        </w:trPr>
        <w:tc>
          <w:tcPr>
            <w:tcW w:w="2850" w:type="dxa"/>
            <w:tcBorders>
              <w:top w:val="single" w:color="000000" w:sz="8" w:space="0"/>
              <w:left w:val="nil"/>
              <w:bottom w:val="single" w:color="000000" w:sz="8" w:space="0"/>
              <w:right w:val="nil"/>
              <w:insideH w:val="nil"/>
              <w:insideV w:val="nil"/>
            </w:tcBorders>
            <w:vAlign w:val="center"/>
          </w:tcPr>
          <w:p w14:paraId="7151B435">
            <w:pPr>
              <w:spacing w:before="0" w:after="10" w:line="240" w:lineRule="auto"/>
              <w:jc w:val="left"/>
            </w:pPr>
            <w:r>
              <w:rPr>
                <w:b/>
                <w:sz w:val="16"/>
              </w:rPr>
              <w:t>Quartile</w:t>
            </w:r>
          </w:p>
        </w:tc>
        <w:tc>
          <w:tcPr>
            <w:tcW w:w="2850" w:type="dxa"/>
            <w:tcBorders>
              <w:top w:val="single" w:color="000000" w:sz="8" w:space="0"/>
              <w:left w:val="nil"/>
              <w:bottom w:val="single" w:color="000000" w:sz="8" w:space="0"/>
              <w:right w:val="nil"/>
              <w:insideH w:val="nil"/>
              <w:insideV w:val="nil"/>
            </w:tcBorders>
            <w:vAlign w:val="center"/>
          </w:tcPr>
          <w:p w14:paraId="3EA07570">
            <w:pPr>
              <w:spacing w:before="0" w:after="10" w:line="240" w:lineRule="auto"/>
              <w:jc w:val="center"/>
            </w:pPr>
            <w:r>
              <w:rPr>
                <w:b/>
                <w:sz w:val="16"/>
              </w:rPr>
              <w:t>C-DMIP OR (95% CI)</w:t>
            </w:r>
          </w:p>
        </w:tc>
        <w:tc>
          <w:tcPr>
            <w:tcW w:w="2850" w:type="dxa"/>
            <w:tcBorders>
              <w:top w:val="single" w:color="000000" w:sz="8" w:space="0"/>
              <w:left w:val="nil"/>
              <w:bottom w:val="single" w:color="000000" w:sz="8" w:space="0"/>
              <w:right w:val="nil"/>
              <w:insideH w:val="nil"/>
              <w:insideV w:val="nil"/>
            </w:tcBorders>
            <w:vAlign w:val="center"/>
          </w:tcPr>
          <w:p w14:paraId="4CCE2241">
            <w:pPr>
              <w:spacing w:before="0" w:after="10" w:line="240" w:lineRule="auto"/>
              <w:jc w:val="center"/>
            </w:pPr>
            <w:r>
              <w:rPr>
                <w:b/>
                <w:sz w:val="16"/>
              </w:rPr>
              <w:t>P value</w:t>
            </w:r>
          </w:p>
        </w:tc>
        <w:tc>
          <w:tcPr>
            <w:tcW w:w="2850" w:type="dxa"/>
            <w:tcBorders>
              <w:top w:val="single" w:color="000000" w:sz="8" w:space="0"/>
              <w:left w:val="nil"/>
              <w:bottom w:val="single" w:color="000000" w:sz="8" w:space="0"/>
              <w:right w:val="nil"/>
              <w:insideH w:val="nil"/>
              <w:insideV w:val="nil"/>
            </w:tcBorders>
            <w:vAlign w:val="center"/>
          </w:tcPr>
          <w:p w14:paraId="7F081CEF">
            <w:pPr>
              <w:spacing w:before="0" w:after="10" w:line="240" w:lineRule="auto"/>
              <w:jc w:val="center"/>
            </w:pPr>
            <w:r>
              <w:rPr>
                <w:b/>
                <w:sz w:val="16"/>
              </w:rPr>
              <w:t>DII OR (95% CI)</w:t>
            </w:r>
          </w:p>
        </w:tc>
        <w:tc>
          <w:tcPr>
            <w:tcW w:w="2850" w:type="dxa"/>
            <w:tcBorders>
              <w:top w:val="single" w:color="000000" w:sz="8" w:space="0"/>
              <w:left w:val="nil"/>
              <w:bottom w:val="single" w:color="000000" w:sz="8" w:space="0"/>
              <w:right w:val="nil"/>
              <w:insideH w:val="nil"/>
              <w:insideV w:val="nil"/>
            </w:tcBorders>
            <w:vAlign w:val="center"/>
          </w:tcPr>
          <w:p w14:paraId="6A92D6F5">
            <w:pPr>
              <w:spacing w:before="0" w:after="10" w:line="240" w:lineRule="auto"/>
              <w:jc w:val="center"/>
            </w:pPr>
            <w:r>
              <w:rPr>
                <w:b/>
                <w:sz w:val="16"/>
              </w:rPr>
              <w:t>P value</w:t>
            </w:r>
          </w:p>
        </w:tc>
      </w:tr>
      <w:tr w14:paraId="49205388">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19D99E43">
            <w:pPr>
              <w:spacing w:before="0" w:after="10" w:line="240" w:lineRule="auto"/>
              <w:jc w:val="left"/>
            </w:pPr>
            <w:r>
              <w:rPr>
                <w:sz w:val="16"/>
              </w:rPr>
              <w:t>Q1</w:t>
            </w:r>
          </w:p>
        </w:tc>
        <w:tc>
          <w:tcPr>
            <w:tcW w:w="2850" w:type="dxa"/>
            <w:tcBorders>
              <w:top w:val="nil"/>
              <w:left w:val="nil"/>
              <w:bottom w:val="nil"/>
              <w:right w:val="nil"/>
              <w:insideH w:val="nil"/>
              <w:insideV w:val="nil"/>
            </w:tcBorders>
            <w:vAlign w:val="center"/>
          </w:tcPr>
          <w:p w14:paraId="0465AB08">
            <w:pPr>
              <w:spacing w:before="0" w:after="10" w:line="240" w:lineRule="auto"/>
              <w:jc w:val="center"/>
            </w:pPr>
            <w:r>
              <w:rPr>
                <w:sz w:val="16"/>
              </w:rPr>
              <w:t>1.00 (reference)</w:t>
            </w:r>
          </w:p>
        </w:tc>
        <w:tc>
          <w:tcPr>
            <w:tcW w:w="2850" w:type="dxa"/>
            <w:tcBorders>
              <w:top w:val="nil"/>
              <w:left w:val="nil"/>
              <w:bottom w:val="nil"/>
              <w:right w:val="nil"/>
              <w:insideH w:val="nil"/>
              <w:insideV w:val="nil"/>
            </w:tcBorders>
            <w:vAlign w:val="center"/>
          </w:tcPr>
          <w:p w14:paraId="1DB2B139">
            <w:pPr>
              <w:spacing w:before="0" w:after="10" w:line="240" w:lineRule="auto"/>
              <w:jc w:val="center"/>
            </w:pPr>
            <w:r>
              <w:rPr>
                <w:sz w:val="16"/>
              </w:rPr>
              <w:t>—</w:t>
            </w:r>
          </w:p>
        </w:tc>
        <w:tc>
          <w:tcPr>
            <w:tcW w:w="2850" w:type="dxa"/>
            <w:tcBorders>
              <w:top w:val="nil"/>
              <w:left w:val="nil"/>
              <w:bottom w:val="nil"/>
              <w:right w:val="nil"/>
              <w:insideH w:val="nil"/>
              <w:insideV w:val="nil"/>
            </w:tcBorders>
            <w:vAlign w:val="center"/>
          </w:tcPr>
          <w:p w14:paraId="333399D1">
            <w:pPr>
              <w:spacing w:before="0" w:after="10" w:line="240" w:lineRule="auto"/>
              <w:jc w:val="center"/>
            </w:pPr>
            <w:r>
              <w:rPr>
                <w:sz w:val="16"/>
              </w:rPr>
              <w:t>1.00 (reference)</w:t>
            </w:r>
          </w:p>
        </w:tc>
        <w:tc>
          <w:tcPr>
            <w:tcW w:w="2850" w:type="dxa"/>
            <w:tcBorders>
              <w:top w:val="nil"/>
              <w:left w:val="nil"/>
              <w:bottom w:val="nil"/>
              <w:right w:val="nil"/>
              <w:insideH w:val="nil"/>
              <w:insideV w:val="nil"/>
            </w:tcBorders>
            <w:vAlign w:val="center"/>
          </w:tcPr>
          <w:p w14:paraId="7392E3C9">
            <w:pPr>
              <w:spacing w:before="0" w:after="10" w:line="240" w:lineRule="auto"/>
              <w:jc w:val="center"/>
            </w:pPr>
            <w:r>
              <w:rPr>
                <w:sz w:val="16"/>
              </w:rPr>
              <w:t>—</w:t>
            </w:r>
          </w:p>
        </w:tc>
      </w:tr>
      <w:tr w14:paraId="5EDF6341">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01D7D8E2">
            <w:pPr>
              <w:spacing w:before="0" w:after="10" w:line="240" w:lineRule="auto"/>
              <w:jc w:val="left"/>
            </w:pPr>
            <w:r>
              <w:rPr>
                <w:sz w:val="16"/>
              </w:rPr>
              <w:t>Q2</w:t>
            </w:r>
          </w:p>
        </w:tc>
        <w:tc>
          <w:tcPr>
            <w:tcW w:w="2850" w:type="dxa"/>
            <w:tcBorders>
              <w:top w:val="nil"/>
              <w:left w:val="nil"/>
              <w:bottom w:val="nil"/>
              <w:right w:val="nil"/>
              <w:insideH w:val="nil"/>
              <w:insideV w:val="nil"/>
            </w:tcBorders>
            <w:vAlign w:val="center"/>
          </w:tcPr>
          <w:p w14:paraId="5736FF22">
            <w:pPr>
              <w:spacing w:before="0" w:after="10" w:line="240" w:lineRule="auto"/>
              <w:jc w:val="center"/>
            </w:pPr>
            <w:r>
              <w:rPr>
                <w:sz w:val="16"/>
              </w:rPr>
              <w:t>1.013 (0.815–1.260)</w:t>
            </w:r>
          </w:p>
        </w:tc>
        <w:tc>
          <w:tcPr>
            <w:tcW w:w="2850" w:type="dxa"/>
            <w:tcBorders>
              <w:top w:val="nil"/>
              <w:left w:val="nil"/>
              <w:bottom w:val="nil"/>
              <w:right w:val="nil"/>
              <w:insideH w:val="nil"/>
              <w:insideV w:val="nil"/>
            </w:tcBorders>
            <w:vAlign w:val="center"/>
          </w:tcPr>
          <w:p w14:paraId="7C9AB173">
            <w:pPr>
              <w:spacing w:before="0" w:after="10" w:line="240" w:lineRule="auto"/>
              <w:jc w:val="center"/>
            </w:pPr>
            <w:r>
              <w:rPr>
                <w:sz w:val="16"/>
              </w:rPr>
              <w:t>0.906</w:t>
            </w:r>
          </w:p>
        </w:tc>
        <w:tc>
          <w:tcPr>
            <w:tcW w:w="2850" w:type="dxa"/>
            <w:tcBorders>
              <w:top w:val="nil"/>
              <w:left w:val="nil"/>
              <w:bottom w:val="nil"/>
              <w:right w:val="nil"/>
              <w:insideH w:val="nil"/>
              <w:insideV w:val="nil"/>
            </w:tcBorders>
            <w:vAlign w:val="center"/>
          </w:tcPr>
          <w:p w14:paraId="2110FE68">
            <w:pPr>
              <w:spacing w:before="0" w:after="10" w:line="240" w:lineRule="auto"/>
              <w:jc w:val="center"/>
            </w:pPr>
            <w:r>
              <w:rPr>
                <w:sz w:val="16"/>
              </w:rPr>
              <w:t>1.163 (0.925–1.461)</w:t>
            </w:r>
          </w:p>
        </w:tc>
        <w:tc>
          <w:tcPr>
            <w:tcW w:w="2850" w:type="dxa"/>
            <w:tcBorders>
              <w:top w:val="nil"/>
              <w:left w:val="nil"/>
              <w:bottom w:val="nil"/>
              <w:right w:val="nil"/>
              <w:insideH w:val="nil"/>
              <w:insideV w:val="nil"/>
            </w:tcBorders>
            <w:vAlign w:val="center"/>
          </w:tcPr>
          <w:p w14:paraId="516498FA">
            <w:pPr>
              <w:spacing w:before="0" w:after="10" w:line="240" w:lineRule="auto"/>
              <w:jc w:val="center"/>
            </w:pPr>
            <w:r>
              <w:rPr>
                <w:sz w:val="16"/>
              </w:rPr>
              <w:t>0.196</w:t>
            </w:r>
          </w:p>
        </w:tc>
      </w:tr>
      <w:tr w14:paraId="193E5584">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5B30F4F8">
            <w:pPr>
              <w:spacing w:before="0" w:after="10" w:line="240" w:lineRule="auto"/>
              <w:jc w:val="left"/>
            </w:pPr>
            <w:r>
              <w:rPr>
                <w:sz w:val="16"/>
              </w:rPr>
              <w:t>Q3</w:t>
            </w:r>
          </w:p>
        </w:tc>
        <w:tc>
          <w:tcPr>
            <w:tcW w:w="2850" w:type="dxa"/>
            <w:tcBorders>
              <w:top w:val="nil"/>
              <w:left w:val="nil"/>
              <w:bottom w:val="nil"/>
              <w:right w:val="nil"/>
              <w:insideH w:val="nil"/>
              <w:insideV w:val="nil"/>
            </w:tcBorders>
            <w:vAlign w:val="center"/>
          </w:tcPr>
          <w:p w14:paraId="4497C5EA">
            <w:pPr>
              <w:spacing w:before="0" w:after="10" w:line="240" w:lineRule="auto"/>
              <w:jc w:val="center"/>
            </w:pPr>
            <w:r>
              <w:rPr>
                <w:sz w:val="16"/>
              </w:rPr>
              <w:t>0.788 (0.607–1.024)</w:t>
            </w:r>
          </w:p>
        </w:tc>
        <w:tc>
          <w:tcPr>
            <w:tcW w:w="2850" w:type="dxa"/>
            <w:tcBorders>
              <w:top w:val="nil"/>
              <w:left w:val="nil"/>
              <w:bottom w:val="nil"/>
              <w:right w:val="nil"/>
              <w:insideH w:val="nil"/>
              <w:insideV w:val="nil"/>
            </w:tcBorders>
            <w:vAlign w:val="center"/>
          </w:tcPr>
          <w:p w14:paraId="4E1321B1">
            <w:pPr>
              <w:spacing w:before="0" w:after="10" w:line="240" w:lineRule="auto"/>
              <w:jc w:val="center"/>
            </w:pPr>
            <w:r>
              <w:rPr>
                <w:sz w:val="16"/>
              </w:rPr>
              <w:t>0.075</w:t>
            </w:r>
          </w:p>
        </w:tc>
        <w:tc>
          <w:tcPr>
            <w:tcW w:w="2850" w:type="dxa"/>
            <w:tcBorders>
              <w:top w:val="nil"/>
              <w:left w:val="nil"/>
              <w:bottom w:val="nil"/>
              <w:right w:val="nil"/>
              <w:insideH w:val="nil"/>
              <w:insideV w:val="nil"/>
            </w:tcBorders>
            <w:vAlign w:val="center"/>
          </w:tcPr>
          <w:p w14:paraId="08B4E2AA">
            <w:pPr>
              <w:spacing w:before="0" w:after="10" w:line="240" w:lineRule="auto"/>
              <w:jc w:val="center"/>
            </w:pPr>
            <w:r>
              <w:rPr>
                <w:sz w:val="16"/>
              </w:rPr>
              <w:t>1.049 (0.802–1.372)</w:t>
            </w:r>
          </w:p>
        </w:tc>
        <w:tc>
          <w:tcPr>
            <w:tcW w:w="2850" w:type="dxa"/>
            <w:tcBorders>
              <w:top w:val="nil"/>
              <w:left w:val="nil"/>
              <w:bottom w:val="nil"/>
              <w:right w:val="nil"/>
              <w:insideH w:val="nil"/>
              <w:insideV w:val="nil"/>
            </w:tcBorders>
            <w:vAlign w:val="center"/>
          </w:tcPr>
          <w:p w14:paraId="0772A014">
            <w:pPr>
              <w:spacing w:before="0" w:after="10" w:line="240" w:lineRule="auto"/>
              <w:jc w:val="center"/>
            </w:pPr>
            <w:r>
              <w:rPr>
                <w:sz w:val="16"/>
              </w:rPr>
              <w:t>0.728</w:t>
            </w:r>
          </w:p>
        </w:tc>
      </w:tr>
      <w:tr w14:paraId="48E2113A">
        <w:tblPrEx>
          <w:tblCellMar>
            <w:top w:w="0" w:type="dxa"/>
            <w:left w:w="108" w:type="dxa"/>
            <w:bottom w:w="0" w:type="dxa"/>
            <w:right w:w="108" w:type="dxa"/>
          </w:tblCellMar>
        </w:tblPrEx>
        <w:trPr>
          <w:jc w:val="center"/>
        </w:trPr>
        <w:tc>
          <w:tcPr>
            <w:tcW w:w="2850" w:type="dxa"/>
            <w:tcBorders>
              <w:top w:val="nil"/>
              <w:left w:val="nil"/>
              <w:bottom w:val="single" w:color="000000" w:sz="8" w:space="0"/>
              <w:right w:val="nil"/>
              <w:insideH w:val="nil"/>
              <w:insideV w:val="nil"/>
            </w:tcBorders>
            <w:vAlign w:val="center"/>
          </w:tcPr>
          <w:p w14:paraId="2E23A91D">
            <w:pPr>
              <w:spacing w:before="0" w:after="10" w:line="240" w:lineRule="auto"/>
              <w:jc w:val="left"/>
            </w:pPr>
            <w:r>
              <w:rPr>
                <w:sz w:val="16"/>
              </w:rPr>
              <w:t>Q4</w:t>
            </w:r>
          </w:p>
        </w:tc>
        <w:tc>
          <w:tcPr>
            <w:tcW w:w="2850" w:type="dxa"/>
            <w:tcBorders>
              <w:top w:val="nil"/>
              <w:left w:val="nil"/>
              <w:bottom w:val="single" w:color="000000" w:sz="8" w:space="0"/>
              <w:right w:val="nil"/>
              <w:insideH w:val="nil"/>
              <w:insideV w:val="nil"/>
            </w:tcBorders>
            <w:vAlign w:val="center"/>
          </w:tcPr>
          <w:p w14:paraId="33C7400A">
            <w:pPr>
              <w:spacing w:before="0" w:after="10" w:line="240" w:lineRule="auto"/>
              <w:jc w:val="center"/>
            </w:pPr>
            <w:r>
              <w:rPr>
                <w:sz w:val="16"/>
              </w:rPr>
              <w:t>0.863 (0.678–1.099)</w:t>
            </w:r>
          </w:p>
        </w:tc>
        <w:tc>
          <w:tcPr>
            <w:tcW w:w="2850" w:type="dxa"/>
            <w:tcBorders>
              <w:top w:val="nil"/>
              <w:left w:val="nil"/>
              <w:bottom w:val="single" w:color="000000" w:sz="8" w:space="0"/>
              <w:right w:val="nil"/>
              <w:insideH w:val="nil"/>
              <w:insideV w:val="nil"/>
            </w:tcBorders>
            <w:vAlign w:val="center"/>
          </w:tcPr>
          <w:p w14:paraId="481DAE07">
            <w:pPr>
              <w:spacing w:before="0" w:after="10" w:line="240" w:lineRule="auto"/>
              <w:jc w:val="center"/>
            </w:pPr>
            <w:r>
              <w:rPr>
                <w:sz w:val="16"/>
              </w:rPr>
              <w:t>0.231</w:t>
            </w:r>
          </w:p>
        </w:tc>
        <w:tc>
          <w:tcPr>
            <w:tcW w:w="2850" w:type="dxa"/>
            <w:tcBorders>
              <w:top w:val="nil"/>
              <w:left w:val="nil"/>
              <w:bottom w:val="single" w:color="000000" w:sz="8" w:space="0"/>
              <w:right w:val="nil"/>
              <w:insideH w:val="nil"/>
              <w:insideV w:val="nil"/>
            </w:tcBorders>
            <w:vAlign w:val="center"/>
          </w:tcPr>
          <w:p w14:paraId="34573AB0">
            <w:pPr>
              <w:spacing w:before="0" w:after="10" w:line="240" w:lineRule="auto"/>
              <w:jc w:val="center"/>
            </w:pPr>
            <w:r>
              <w:rPr>
                <w:sz w:val="16"/>
              </w:rPr>
              <w:t>0.906 (0.706–1.165)</w:t>
            </w:r>
          </w:p>
        </w:tc>
        <w:tc>
          <w:tcPr>
            <w:tcW w:w="2850" w:type="dxa"/>
            <w:tcBorders>
              <w:top w:val="nil"/>
              <w:left w:val="nil"/>
              <w:bottom w:val="single" w:color="000000" w:sz="8" w:space="0"/>
              <w:right w:val="nil"/>
              <w:insideH w:val="nil"/>
              <w:insideV w:val="nil"/>
            </w:tcBorders>
            <w:vAlign w:val="center"/>
          </w:tcPr>
          <w:p w14:paraId="4D2CA2FF">
            <w:pPr>
              <w:spacing w:before="0" w:after="10" w:line="240" w:lineRule="auto"/>
              <w:jc w:val="center"/>
            </w:pPr>
            <w:r>
              <w:rPr>
                <w:sz w:val="16"/>
              </w:rPr>
              <w:t>0.442</w:t>
            </w:r>
          </w:p>
        </w:tc>
      </w:tr>
    </w:tbl>
    <w:p w14:paraId="1575F165">
      <w:pPr>
        <w:spacing w:before="100" w:after="60"/>
      </w:pPr>
      <w:r>
        <w:rPr>
          <w:b/>
          <w:sz w:val="18"/>
        </w:rPr>
        <w:t>B. Simultaneous model including both dietary indices</w:t>
      </w:r>
    </w:p>
    <w:tbl>
      <w:tblPr>
        <w:tblStyle w:val="4"/>
        <w:tblW w:w="0" w:type="auto"/>
        <w:jc w:val="center"/>
        <w:tblLayout w:type="autofit"/>
        <w:tblCellMar>
          <w:top w:w="0" w:type="dxa"/>
          <w:left w:w="108" w:type="dxa"/>
          <w:bottom w:w="0" w:type="dxa"/>
          <w:right w:w="108" w:type="dxa"/>
        </w:tblCellMar>
      </w:tblPr>
      <w:tblGrid>
        <w:gridCol w:w="3302"/>
        <w:gridCol w:w="3429"/>
        <w:gridCol w:w="3231"/>
      </w:tblGrid>
      <w:tr w14:paraId="7FAA4AFC">
        <w:tblPrEx>
          <w:tblCellMar>
            <w:top w:w="0" w:type="dxa"/>
            <w:left w:w="108" w:type="dxa"/>
            <w:bottom w:w="0" w:type="dxa"/>
            <w:right w:w="108" w:type="dxa"/>
          </w:tblCellMar>
        </w:tblPrEx>
        <w:trPr>
          <w:jc w:val="center"/>
        </w:trPr>
        <w:tc>
          <w:tcPr>
            <w:tcW w:w="4751" w:type="dxa"/>
            <w:tcBorders>
              <w:top w:val="single" w:color="000000" w:sz="8" w:space="0"/>
              <w:left w:val="nil"/>
              <w:bottom w:val="single" w:color="000000" w:sz="8" w:space="0"/>
              <w:right w:val="nil"/>
              <w:insideH w:val="nil"/>
              <w:insideV w:val="nil"/>
            </w:tcBorders>
            <w:vAlign w:val="center"/>
          </w:tcPr>
          <w:p w14:paraId="0100FCCB">
            <w:pPr>
              <w:spacing w:before="0" w:after="10" w:line="240" w:lineRule="auto"/>
              <w:jc w:val="left"/>
            </w:pPr>
            <w:r>
              <w:rPr>
                <w:b/>
                <w:sz w:val="16"/>
              </w:rPr>
              <w:t>Dietary index</w:t>
            </w:r>
          </w:p>
        </w:tc>
        <w:tc>
          <w:tcPr>
            <w:tcW w:w="4751" w:type="dxa"/>
            <w:tcBorders>
              <w:top w:val="single" w:color="000000" w:sz="8" w:space="0"/>
              <w:left w:val="nil"/>
              <w:bottom w:val="single" w:color="000000" w:sz="8" w:space="0"/>
              <w:right w:val="nil"/>
              <w:insideH w:val="nil"/>
              <w:insideV w:val="nil"/>
            </w:tcBorders>
            <w:vAlign w:val="center"/>
          </w:tcPr>
          <w:p w14:paraId="260DD1DF">
            <w:pPr>
              <w:spacing w:before="0" w:after="10" w:line="240" w:lineRule="auto"/>
              <w:jc w:val="center"/>
            </w:pPr>
            <w:r>
              <w:rPr>
                <w:b/>
                <w:sz w:val="16"/>
              </w:rPr>
              <w:t>OR per 1-SD (95% CI)</w:t>
            </w:r>
          </w:p>
        </w:tc>
        <w:tc>
          <w:tcPr>
            <w:tcW w:w="4751" w:type="dxa"/>
            <w:tcBorders>
              <w:top w:val="single" w:color="000000" w:sz="8" w:space="0"/>
              <w:left w:val="nil"/>
              <w:bottom w:val="single" w:color="000000" w:sz="8" w:space="0"/>
              <w:right w:val="nil"/>
              <w:insideH w:val="nil"/>
              <w:insideV w:val="nil"/>
            </w:tcBorders>
            <w:vAlign w:val="center"/>
          </w:tcPr>
          <w:p w14:paraId="6AE5FBC9">
            <w:pPr>
              <w:spacing w:before="0" w:after="10" w:line="240" w:lineRule="auto"/>
              <w:jc w:val="center"/>
            </w:pPr>
            <w:r>
              <w:rPr>
                <w:b/>
                <w:sz w:val="16"/>
              </w:rPr>
              <w:t>P value</w:t>
            </w:r>
          </w:p>
        </w:tc>
      </w:tr>
      <w:tr w14:paraId="67D4D10C">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067E0BCD">
            <w:pPr>
              <w:spacing w:before="0" w:after="10" w:line="240" w:lineRule="auto"/>
              <w:jc w:val="left"/>
            </w:pPr>
            <w:r>
              <w:rPr>
                <w:sz w:val="16"/>
              </w:rPr>
              <w:t>C-DMIP</w:t>
            </w:r>
          </w:p>
        </w:tc>
        <w:tc>
          <w:tcPr>
            <w:tcW w:w="4751" w:type="dxa"/>
            <w:tcBorders>
              <w:top w:val="nil"/>
              <w:left w:val="nil"/>
              <w:bottom w:val="nil"/>
              <w:right w:val="nil"/>
              <w:insideH w:val="nil"/>
              <w:insideV w:val="nil"/>
            </w:tcBorders>
            <w:vAlign w:val="center"/>
          </w:tcPr>
          <w:p w14:paraId="1654E1BA">
            <w:pPr>
              <w:spacing w:before="0" w:after="10" w:line="240" w:lineRule="auto"/>
              <w:jc w:val="center"/>
            </w:pPr>
            <w:r>
              <w:rPr>
                <w:sz w:val="16"/>
              </w:rPr>
              <w:t>0.899 (0.816–0.989)</w:t>
            </w:r>
          </w:p>
        </w:tc>
        <w:tc>
          <w:tcPr>
            <w:tcW w:w="4751" w:type="dxa"/>
            <w:tcBorders>
              <w:top w:val="nil"/>
              <w:left w:val="nil"/>
              <w:bottom w:val="nil"/>
              <w:right w:val="nil"/>
              <w:insideH w:val="nil"/>
              <w:insideV w:val="nil"/>
            </w:tcBorders>
            <w:vAlign w:val="center"/>
          </w:tcPr>
          <w:p w14:paraId="1475E3D7">
            <w:pPr>
              <w:spacing w:before="0" w:after="10" w:line="240" w:lineRule="auto"/>
              <w:jc w:val="center"/>
            </w:pPr>
            <w:r>
              <w:rPr>
                <w:sz w:val="16"/>
              </w:rPr>
              <w:t>0.030</w:t>
            </w:r>
          </w:p>
        </w:tc>
      </w:tr>
      <w:tr w14:paraId="410FF11B">
        <w:tblPrEx>
          <w:tblCellMar>
            <w:top w:w="0" w:type="dxa"/>
            <w:left w:w="108" w:type="dxa"/>
            <w:bottom w:w="0" w:type="dxa"/>
            <w:right w:w="108" w:type="dxa"/>
          </w:tblCellMar>
        </w:tblPrEx>
        <w:trPr>
          <w:jc w:val="center"/>
        </w:trPr>
        <w:tc>
          <w:tcPr>
            <w:tcW w:w="4751" w:type="dxa"/>
            <w:tcBorders>
              <w:top w:val="nil"/>
              <w:left w:val="nil"/>
              <w:bottom w:val="single" w:color="000000" w:sz="8" w:space="0"/>
              <w:right w:val="nil"/>
              <w:insideH w:val="nil"/>
              <w:insideV w:val="nil"/>
            </w:tcBorders>
            <w:vAlign w:val="center"/>
          </w:tcPr>
          <w:p w14:paraId="14267D63">
            <w:pPr>
              <w:spacing w:before="0" w:after="10" w:line="240" w:lineRule="auto"/>
              <w:jc w:val="left"/>
            </w:pPr>
            <w:r>
              <w:rPr>
                <w:sz w:val="16"/>
              </w:rPr>
              <w:t>DII</w:t>
            </w:r>
          </w:p>
        </w:tc>
        <w:tc>
          <w:tcPr>
            <w:tcW w:w="4751" w:type="dxa"/>
            <w:tcBorders>
              <w:top w:val="nil"/>
              <w:left w:val="nil"/>
              <w:bottom w:val="single" w:color="000000" w:sz="8" w:space="0"/>
              <w:right w:val="nil"/>
              <w:insideH w:val="nil"/>
              <w:insideV w:val="nil"/>
            </w:tcBorders>
            <w:vAlign w:val="center"/>
          </w:tcPr>
          <w:p w14:paraId="212619B1">
            <w:pPr>
              <w:spacing w:before="0" w:after="10" w:line="240" w:lineRule="auto"/>
              <w:jc w:val="center"/>
            </w:pPr>
            <w:r>
              <w:rPr>
                <w:sz w:val="16"/>
              </w:rPr>
              <w:t>0.971 (0.891–1.059)</w:t>
            </w:r>
          </w:p>
        </w:tc>
        <w:tc>
          <w:tcPr>
            <w:tcW w:w="4751" w:type="dxa"/>
            <w:tcBorders>
              <w:top w:val="nil"/>
              <w:left w:val="nil"/>
              <w:bottom w:val="single" w:color="000000" w:sz="8" w:space="0"/>
              <w:right w:val="nil"/>
              <w:insideH w:val="nil"/>
              <w:insideV w:val="nil"/>
            </w:tcBorders>
            <w:vAlign w:val="center"/>
          </w:tcPr>
          <w:p w14:paraId="7016A8E5">
            <w:pPr>
              <w:spacing w:before="0" w:after="10" w:line="240" w:lineRule="auto"/>
              <w:jc w:val="center"/>
            </w:pPr>
            <w:r>
              <w:rPr>
                <w:sz w:val="16"/>
              </w:rPr>
              <w:t>0.506</w:t>
            </w:r>
          </w:p>
        </w:tc>
      </w:tr>
    </w:tbl>
    <w:p w14:paraId="6972F2AC">
      <w:pPr>
        <w:spacing w:before="100" w:after="60"/>
      </w:pPr>
      <w:r>
        <w:rPr>
          <w:b/>
          <w:sz w:val="18"/>
        </w:rPr>
        <w:t>C. Discriminative performance for prevalent T2DM</w:t>
      </w:r>
    </w:p>
    <w:tbl>
      <w:tblPr>
        <w:tblStyle w:val="4"/>
        <w:tblW w:w="0" w:type="auto"/>
        <w:jc w:val="center"/>
        <w:tblLayout w:type="autofit"/>
        <w:tblCellMar>
          <w:top w:w="0" w:type="dxa"/>
          <w:left w:w="108" w:type="dxa"/>
          <w:bottom w:w="0" w:type="dxa"/>
          <w:right w:w="108" w:type="dxa"/>
        </w:tblCellMar>
      </w:tblPr>
      <w:tblGrid>
        <w:gridCol w:w="5014"/>
        <w:gridCol w:w="4948"/>
      </w:tblGrid>
      <w:tr w14:paraId="7758DAF5">
        <w:tblPrEx>
          <w:tblCellMar>
            <w:top w:w="0" w:type="dxa"/>
            <w:left w:w="108" w:type="dxa"/>
            <w:bottom w:w="0" w:type="dxa"/>
            <w:right w:w="108" w:type="dxa"/>
          </w:tblCellMar>
        </w:tblPrEx>
        <w:trPr>
          <w:jc w:val="center"/>
        </w:trPr>
        <w:tc>
          <w:tcPr>
            <w:tcW w:w="7126" w:type="dxa"/>
            <w:tcBorders>
              <w:top w:val="single" w:color="000000" w:sz="8" w:space="0"/>
              <w:left w:val="nil"/>
              <w:bottom w:val="single" w:color="000000" w:sz="8" w:space="0"/>
              <w:right w:val="nil"/>
              <w:insideH w:val="nil"/>
              <w:insideV w:val="nil"/>
            </w:tcBorders>
            <w:vAlign w:val="center"/>
          </w:tcPr>
          <w:p w14:paraId="7C3D6FC0">
            <w:pPr>
              <w:spacing w:before="0" w:after="10" w:line="240" w:lineRule="auto"/>
              <w:jc w:val="left"/>
            </w:pPr>
            <w:r>
              <w:rPr>
                <w:b/>
                <w:sz w:val="16"/>
              </w:rPr>
              <w:t>Model</w:t>
            </w:r>
          </w:p>
        </w:tc>
        <w:tc>
          <w:tcPr>
            <w:tcW w:w="7126" w:type="dxa"/>
            <w:tcBorders>
              <w:top w:val="single" w:color="000000" w:sz="8" w:space="0"/>
              <w:left w:val="nil"/>
              <w:bottom w:val="single" w:color="000000" w:sz="8" w:space="0"/>
              <w:right w:val="nil"/>
              <w:insideH w:val="nil"/>
              <w:insideV w:val="nil"/>
            </w:tcBorders>
            <w:vAlign w:val="center"/>
          </w:tcPr>
          <w:p w14:paraId="22E7C5D8">
            <w:pPr>
              <w:spacing w:before="0" w:after="10" w:line="240" w:lineRule="auto"/>
              <w:jc w:val="center"/>
            </w:pPr>
            <w:r>
              <w:rPr>
                <w:b/>
                <w:sz w:val="16"/>
              </w:rPr>
              <w:t>AUC</w:t>
            </w:r>
          </w:p>
        </w:tc>
      </w:tr>
      <w:tr w14:paraId="79B8D912">
        <w:tblPrEx>
          <w:tblCellMar>
            <w:top w:w="0" w:type="dxa"/>
            <w:left w:w="108" w:type="dxa"/>
            <w:bottom w:w="0" w:type="dxa"/>
            <w:right w:w="108" w:type="dxa"/>
          </w:tblCellMar>
        </w:tblPrEx>
        <w:trPr>
          <w:jc w:val="center"/>
        </w:trPr>
        <w:tc>
          <w:tcPr>
            <w:tcW w:w="7126" w:type="dxa"/>
            <w:tcBorders>
              <w:top w:val="nil"/>
              <w:left w:val="nil"/>
              <w:bottom w:val="nil"/>
              <w:right w:val="nil"/>
              <w:insideH w:val="nil"/>
              <w:insideV w:val="nil"/>
            </w:tcBorders>
            <w:vAlign w:val="center"/>
          </w:tcPr>
          <w:p w14:paraId="7BE05F74">
            <w:pPr>
              <w:spacing w:before="0" w:after="10" w:line="240" w:lineRule="auto"/>
              <w:jc w:val="left"/>
            </w:pPr>
            <w:r>
              <w:rPr>
                <w:sz w:val="16"/>
              </w:rPr>
              <w:t>C-DMIP model</w:t>
            </w:r>
          </w:p>
        </w:tc>
        <w:tc>
          <w:tcPr>
            <w:tcW w:w="7126" w:type="dxa"/>
            <w:tcBorders>
              <w:top w:val="nil"/>
              <w:left w:val="nil"/>
              <w:bottom w:val="nil"/>
              <w:right w:val="nil"/>
              <w:insideH w:val="nil"/>
              <w:insideV w:val="nil"/>
            </w:tcBorders>
            <w:vAlign w:val="center"/>
          </w:tcPr>
          <w:p w14:paraId="578572DB">
            <w:pPr>
              <w:spacing w:before="0" w:after="10" w:line="240" w:lineRule="auto"/>
              <w:jc w:val="center"/>
            </w:pPr>
            <w:r>
              <w:rPr>
                <w:sz w:val="16"/>
              </w:rPr>
              <w:t>0.758</w:t>
            </w:r>
          </w:p>
        </w:tc>
      </w:tr>
      <w:tr w14:paraId="4E85335B">
        <w:tblPrEx>
          <w:tblCellMar>
            <w:top w:w="0" w:type="dxa"/>
            <w:left w:w="108" w:type="dxa"/>
            <w:bottom w:w="0" w:type="dxa"/>
            <w:right w:w="108" w:type="dxa"/>
          </w:tblCellMar>
        </w:tblPrEx>
        <w:trPr>
          <w:jc w:val="center"/>
        </w:trPr>
        <w:tc>
          <w:tcPr>
            <w:tcW w:w="7126" w:type="dxa"/>
            <w:tcBorders>
              <w:top w:val="nil"/>
              <w:left w:val="nil"/>
              <w:bottom w:val="single" w:color="000000" w:sz="8" w:space="0"/>
              <w:right w:val="nil"/>
              <w:insideH w:val="nil"/>
              <w:insideV w:val="nil"/>
            </w:tcBorders>
            <w:vAlign w:val="center"/>
          </w:tcPr>
          <w:p w14:paraId="6B617ADF">
            <w:pPr>
              <w:spacing w:before="0" w:after="10" w:line="240" w:lineRule="auto"/>
              <w:jc w:val="left"/>
            </w:pPr>
            <w:r>
              <w:rPr>
                <w:sz w:val="16"/>
              </w:rPr>
              <w:t>DII model</w:t>
            </w:r>
          </w:p>
        </w:tc>
        <w:tc>
          <w:tcPr>
            <w:tcW w:w="7126" w:type="dxa"/>
            <w:tcBorders>
              <w:top w:val="nil"/>
              <w:left w:val="nil"/>
              <w:bottom w:val="single" w:color="000000" w:sz="8" w:space="0"/>
              <w:right w:val="nil"/>
              <w:insideH w:val="nil"/>
              <w:insideV w:val="nil"/>
            </w:tcBorders>
            <w:vAlign w:val="center"/>
          </w:tcPr>
          <w:p w14:paraId="650B546A">
            <w:pPr>
              <w:spacing w:before="0" w:after="10" w:line="240" w:lineRule="auto"/>
              <w:jc w:val="center"/>
            </w:pPr>
            <w:r>
              <w:rPr>
                <w:sz w:val="16"/>
              </w:rPr>
              <w:t>0.756</w:t>
            </w:r>
          </w:p>
        </w:tc>
      </w:tr>
    </w:tbl>
    <w:p w14:paraId="10E6A4C1">
      <w:pPr>
        <w:spacing w:before="20" w:after="20" w:line="240" w:lineRule="auto"/>
      </w:pPr>
      <w:r>
        <w:rPr>
          <w:sz w:val="16"/>
        </w:rPr>
        <w:t>Difference in AUCs (C-DMIP − DII) = 0.0015; community-level cluster-bootstrap 95% CI, −0.0003 to 0.0051; p = 0.174.</w:t>
      </w:r>
    </w:p>
    <w:p w14:paraId="5F95E756">
      <w:pPr>
        <w:spacing w:before="100" w:after="60"/>
      </w:pPr>
      <w:r>
        <w:rPr>
          <w:b/>
          <w:sz w:val="18"/>
        </w:rPr>
        <w:t>D. Correlation between C-DMIP and DII</w:t>
      </w:r>
    </w:p>
    <w:tbl>
      <w:tblPr>
        <w:tblStyle w:val="4"/>
        <w:tblW w:w="0" w:type="auto"/>
        <w:jc w:val="center"/>
        <w:tblLayout w:type="autofit"/>
        <w:tblCellMar>
          <w:top w:w="0" w:type="dxa"/>
          <w:left w:w="108" w:type="dxa"/>
          <w:bottom w:w="0" w:type="dxa"/>
          <w:right w:w="108" w:type="dxa"/>
        </w:tblCellMar>
      </w:tblPr>
      <w:tblGrid>
        <w:gridCol w:w="3404"/>
        <w:gridCol w:w="3279"/>
        <w:gridCol w:w="3279"/>
      </w:tblGrid>
      <w:tr w14:paraId="78E265E8">
        <w:tblPrEx>
          <w:tblCellMar>
            <w:top w:w="0" w:type="dxa"/>
            <w:left w:w="108" w:type="dxa"/>
            <w:bottom w:w="0" w:type="dxa"/>
            <w:right w:w="108" w:type="dxa"/>
          </w:tblCellMar>
        </w:tblPrEx>
        <w:trPr>
          <w:jc w:val="center"/>
        </w:trPr>
        <w:tc>
          <w:tcPr>
            <w:tcW w:w="4751" w:type="dxa"/>
            <w:tcBorders>
              <w:top w:val="single" w:color="000000" w:sz="8" w:space="0"/>
              <w:left w:val="nil"/>
              <w:bottom w:val="single" w:color="000000" w:sz="8" w:space="0"/>
              <w:right w:val="nil"/>
              <w:insideH w:val="nil"/>
              <w:insideV w:val="nil"/>
            </w:tcBorders>
            <w:vAlign w:val="center"/>
          </w:tcPr>
          <w:p w14:paraId="24864ED0">
            <w:pPr>
              <w:spacing w:before="0" w:after="10" w:line="240" w:lineRule="auto"/>
              <w:jc w:val="left"/>
            </w:pPr>
            <w:r>
              <w:rPr>
                <w:b/>
                <w:sz w:val="16"/>
              </w:rPr>
              <w:t>Correlation</w:t>
            </w:r>
          </w:p>
        </w:tc>
        <w:tc>
          <w:tcPr>
            <w:tcW w:w="4751" w:type="dxa"/>
            <w:tcBorders>
              <w:top w:val="single" w:color="000000" w:sz="8" w:space="0"/>
              <w:left w:val="nil"/>
              <w:bottom w:val="single" w:color="000000" w:sz="8" w:space="0"/>
              <w:right w:val="nil"/>
              <w:insideH w:val="nil"/>
              <w:insideV w:val="nil"/>
            </w:tcBorders>
            <w:vAlign w:val="center"/>
          </w:tcPr>
          <w:p w14:paraId="123460DE">
            <w:pPr>
              <w:spacing w:before="0" w:after="10" w:line="240" w:lineRule="auto"/>
              <w:jc w:val="center"/>
            </w:pPr>
            <w:r>
              <w:rPr>
                <w:b/>
                <w:sz w:val="16"/>
              </w:rPr>
              <w:t>r</w:t>
            </w:r>
          </w:p>
        </w:tc>
        <w:tc>
          <w:tcPr>
            <w:tcW w:w="4751" w:type="dxa"/>
            <w:tcBorders>
              <w:top w:val="single" w:color="000000" w:sz="8" w:space="0"/>
              <w:left w:val="nil"/>
              <w:bottom w:val="single" w:color="000000" w:sz="8" w:space="0"/>
              <w:right w:val="nil"/>
              <w:insideH w:val="nil"/>
              <w:insideV w:val="nil"/>
            </w:tcBorders>
            <w:vAlign w:val="center"/>
          </w:tcPr>
          <w:p w14:paraId="0342ABD2">
            <w:pPr>
              <w:spacing w:before="0" w:after="10" w:line="240" w:lineRule="auto"/>
              <w:jc w:val="center"/>
            </w:pPr>
            <w:r>
              <w:rPr>
                <w:b/>
                <w:sz w:val="16"/>
              </w:rPr>
              <w:t>P value</w:t>
            </w:r>
          </w:p>
        </w:tc>
      </w:tr>
      <w:tr w14:paraId="4161D978">
        <w:tblPrEx>
          <w:tblCellMar>
            <w:top w:w="0" w:type="dxa"/>
            <w:left w:w="108" w:type="dxa"/>
            <w:bottom w:w="0" w:type="dxa"/>
            <w:right w:w="108" w:type="dxa"/>
          </w:tblCellMar>
        </w:tblPrEx>
        <w:trPr>
          <w:jc w:val="center"/>
        </w:trPr>
        <w:tc>
          <w:tcPr>
            <w:tcW w:w="4751" w:type="dxa"/>
            <w:tcBorders>
              <w:top w:val="nil"/>
              <w:left w:val="nil"/>
              <w:bottom w:val="single" w:color="000000" w:sz="8" w:space="0"/>
              <w:right w:val="nil"/>
              <w:insideH w:val="nil"/>
              <w:insideV w:val="nil"/>
            </w:tcBorders>
            <w:vAlign w:val="center"/>
          </w:tcPr>
          <w:p w14:paraId="3B8C780F">
            <w:pPr>
              <w:spacing w:before="0" w:after="10" w:line="240" w:lineRule="auto"/>
              <w:jc w:val="left"/>
            </w:pPr>
            <w:r>
              <w:rPr>
                <w:sz w:val="16"/>
              </w:rPr>
              <w:t>Pearson correlation</w:t>
            </w:r>
          </w:p>
        </w:tc>
        <w:tc>
          <w:tcPr>
            <w:tcW w:w="4751" w:type="dxa"/>
            <w:tcBorders>
              <w:top w:val="nil"/>
              <w:left w:val="nil"/>
              <w:bottom w:val="single" w:color="000000" w:sz="8" w:space="0"/>
              <w:right w:val="nil"/>
              <w:insideH w:val="nil"/>
              <w:insideV w:val="nil"/>
            </w:tcBorders>
            <w:vAlign w:val="center"/>
          </w:tcPr>
          <w:p w14:paraId="5C313948">
            <w:pPr>
              <w:spacing w:before="0" w:after="10" w:line="240" w:lineRule="auto"/>
              <w:jc w:val="center"/>
            </w:pPr>
            <w:r>
              <w:rPr>
                <w:sz w:val="16"/>
              </w:rPr>
              <w:t>−0.052</w:t>
            </w:r>
          </w:p>
        </w:tc>
        <w:tc>
          <w:tcPr>
            <w:tcW w:w="4751" w:type="dxa"/>
            <w:tcBorders>
              <w:top w:val="nil"/>
              <w:left w:val="nil"/>
              <w:bottom w:val="single" w:color="000000" w:sz="8" w:space="0"/>
              <w:right w:val="nil"/>
              <w:insideH w:val="nil"/>
              <w:insideV w:val="nil"/>
            </w:tcBorders>
            <w:vAlign w:val="center"/>
          </w:tcPr>
          <w:p w14:paraId="5F3B256E">
            <w:pPr>
              <w:spacing w:before="0" w:after="10" w:line="240" w:lineRule="auto"/>
              <w:jc w:val="center"/>
            </w:pPr>
            <w:r>
              <w:rPr>
                <w:sz w:val="16"/>
              </w:rPr>
              <w:t>&lt;0.001</w:t>
            </w:r>
          </w:p>
        </w:tc>
      </w:tr>
    </w:tbl>
    <w:p w14:paraId="46727DFB">
      <w:pPr>
        <w:spacing w:before="20" w:after="20" w:line="240" w:lineRule="auto"/>
      </w:pPr>
      <w:r>
        <w:rPr>
          <w:b/>
          <w:sz w:val="16"/>
        </w:rPr>
        <w:t>Notes:</w:t>
      </w:r>
      <w:r>
        <w:rPr>
          <w:sz w:val="16"/>
        </w:rPr>
        <w:t xml:space="preserve"> All regression and AUC analyses used the fixed complete-case sample of 7846 participants with 790 prevalent T2DM cases. Models were adjusted for age, sex, urban/rural residence, educational attainment, BMI, waist circumference, smoking, alcohol consumption, and total energy intake, with community-level cluster-robust standard errors. The AUC difference was evaluated using community-level cluster bootstrap resampling with 1000 iterations. Geographic variables were not included in these comparisons.</w:t>
      </w:r>
    </w:p>
    <w:p w14:paraId="02D314CC">
      <w:pPr>
        <w:spacing w:before="20" w:after="20" w:line="240" w:lineRule="auto"/>
      </w:pPr>
      <w:r>
        <w:rPr>
          <w:b/>
          <w:sz w:val="16"/>
        </w:rPr>
        <w:t>Abbreviations:</w:t>
      </w:r>
      <w:r>
        <w:rPr>
          <w:sz w:val="16"/>
        </w:rPr>
        <w:t xml:space="preserve"> AUC, area under the receiver operating characteristic curve; BMI, body mass index; C-DMIP, China-specific Dietary Metabolic-Inflammatory Pattern; CI, confidence interval; DII, Dietary Inflammatory Index; OR, odds ratio; SD, standard deviation; T2DM, type 2 diabetes mellitus.</w:t>
      </w:r>
    </w:p>
    <w:p w14:paraId="77BD7814">
      <w:pPr>
        <w:spacing w:after="100"/>
      </w:pPr>
      <w:r>
        <w:rPr>
          <w:b/>
          <w:sz w:val="20"/>
        </w:rPr>
        <w:t>Supplementary Table S4. Subgroup associations between C-DMIP and prevalent T2DM</w:t>
      </w:r>
    </w:p>
    <w:tbl>
      <w:tblPr>
        <w:tblStyle w:val="4"/>
        <w:tblW w:w="0" w:type="auto"/>
        <w:jc w:val="center"/>
        <w:tblLayout w:type="autofit"/>
        <w:tblCellMar>
          <w:top w:w="0" w:type="dxa"/>
          <w:left w:w="108" w:type="dxa"/>
          <w:bottom w:w="0" w:type="dxa"/>
          <w:right w:w="108" w:type="dxa"/>
        </w:tblCellMar>
      </w:tblPr>
      <w:tblGrid>
        <w:gridCol w:w="1763"/>
        <w:gridCol w:w="1547"/>
        <w:gridCol w:w="1602"/>
        <w:gridCol w:w="1774"/>
        <w:gridCol w:w="1564"/>
        <w:gridCol w:w="1712"/>
      </w:tblGrid>
      <w:tr w14:paraId="68076C25">
        <w:tblPrEx>
          <w:tblCellMar>
            <w:top w:w="0" w:type="dxa"/>
            <w:left w:w="108" w:type="dxa"/>
            <w:bottom w:w="0" w:type="dxa"/>
            <w:right w:w="108" w:type="dxa"/>
          </w:tblCellMar>
        </w:tblPrEx>
        <w:trPr>
          <w:jc w:val="center"/>
        </w:trPr>
        <w:tc>
          <w:tcPr>
            <w:tcW w:w="2375" w:type="dxa"/>
            <w:tcBorders>
              <w:top w:val="single" w:color="000000" w:sz="8" w:space="0"/>
              <w:left w:val="nil"/>
              <w:bottom w:val="single" w:color="000000" w:sz="8" w:space="0"/>
              <w:right w:val="nil"/>
              <w:insideH w:val="nil"/>
              <w:insideV w:val="nil"/>
            </w:tcBorders>
            <w:vAlign w:val="center"/>
          </w:tcPr>
          <w:p w14:paraId="4A74DD43">
            <w:pPr>
              <w:spacing w:before="0" w:after="10" w:line="240" w:lineRule="auto"/>
              <w:jc w:val="left"/>
            </w:pPr>
            <w:r>
              <w:rPr>
                <w:b/>
                <w:sz w:val="14"/>
              </w:rPr>
              <w:t>Subgroup</w:t>
            </w:r>
          </w:p>
        </w:tc>
        <w:tc>
          <w:tcPr>
            <w:tcW w:w="2375" w:type="dxa"/>
            <w:tcBorders>
              <w:top w:val="single" w:color="000000" w:sz="8" w:space="0"/>
              <w:left w:val="nil"/>
              <w:bottom w:val="single" w:color="000000" w:sz="8" w:space="0"/>
              <w:right w:val="nil"/>
              <w:insideH w:val="nil"/>
              <w:insideV w:val="nil"/>
            </w:tcBorders>
            <w:vAlign w:val="center"/>
          </w:tcPr>
          <w:p w14:paraId="1812C81C">
            <w:pPr>
              <w:spacing w:before="0" w:after="10" w:line="240" w:lineRule="auto"/>
              <w:jc w:val="center"/>
            </w:pPr>
            <w:r>
              <w:rPr>
                <w:b/>
                <w:sz w:val="14"/>
              </w:rPr>
              <w:t>n</w:t>
            </w:r>
          </w:p>
        </w:tc>
        <w:tc>
          <w:tcPr>
            <w:tcW w:w="2375" w:type="dxa"/>
            <w:tcBorders>
              <w:top w:val="single" w:color="000000" w:sz="8" w:space="0"/>
              <w:left w:val="nil"/>
              <w:bottom w:val="single" w:color="000000" w:sz="8" w:space="0"/>
              <w:right w:val="nil"/>
              <w:insideH w:val="nil"/>
              <w:insideV w:val="nil"/>
            </w:tcBorders>
            <w:vAlign w:val="center"/>
          </w:tcPr>
          <w:p w14:paraId="3685C03F">
            <w:pPr>
              <w:spacing w:before="0" w:after="10" w:line="240" w:lineRule="auto"/>
              <w:jc w:val="center"/>
            </w:pPr>
            <w:r>
              <w:rPr>
                <w:b/>
                <w:sz w:val="14"/>
              </w:rPr>
              <w:t>Events</w:t>
            </w:r>
          </w:p>
        </w:tc>
        <w:tc>
          <w:tcPr>
            <w:tcW w:w="2375" w:type="dxa"/>
            <w:tcBorders>
              <w:top w:val="single" w:color="000000" w:sz="8" w:space="0"/>
              <w:left w:val="nil"/>
              <w:bottom w:val="single" w:color="000000" w:sz="8" w:space="0"/>
              <w:right w:val="nil"/>
              <w:insideH w:val="nil"/>
              <w:insideV w:val="nil"/>
            </w:tcBorders>
            <w:vAlign w:val="center"/>
          </w:tcPr>
          <w:p w14:paraId="00BEC71F">
            <w:pPr>
              <w:spacing w:before="0" w:after="10" w:line="240" w:lineRule="auto"/>
              <w:jc w:val="center"/>
            </w:pPr>
            <w:r>
              <w:rPr>
                <w:b/>
                <w:sz w:val="14"/>
              </w:rPr>
              <w:t>OR per 1-SD (95% CI)</w:t>
            </w:r>
          </w:p>
        </w:tc>
        <w:tc>
          <w:tcPr>
            <w:tcW w:w="2375" w:type="dxa"/>
            <w:tcBorders>
              <w:top w:val="single" w:color="000000" w:sz="8" w:space="0"/>
              <w:left w:val="nil"/>
              <w:bottom w:val="single" w:color="000000" w:sz="8" w:space="0"/>
              <w:right w:val="nil"/>
              <w:insideH w:val="nil"/>
              <w:insideV w:val="nil"/>
            </w:tcBorders>
            <w:vAlign w:val="center"/>
          </w:tcPr>
          <w:p w14:paraId="0545E8F5">
            <w:pPr>
              <w:spacing w:before="0" w:after="10" w:line="240" w:lineRule="auto"/>
              <w:jc w:val="center"/>
            </w:pPr>
            <w:r>
              <w:rPr>
                <w:b/>
                <w:sz w:val="14"/>
              </w:rPr>
              <w:t>P value</w:t>
            </w:r>
          </w:p>
        </w:tc>
        <w:tc>
          <w:tcPr>
            <w:tcW w:w="2375" w:type="dxa"/>
            <w:tcBorders>
              <w:top w:val="single" w:color="000000" w:sz="8" w:space="0"/>
              <w:left w:val="nil"/>
              <w:bottom w:val="single" w:color="000000" w:sz="8" w:space="0"/>
              <w:right w:val="nil"/>
              <w:insideH w:val="nil"/>
              <w:insideV w:val="nil"/>
            </w:tcBorders>
            <w:vAlign w:val="center"/>
          </w:tcPr>
          <w:p w14:paraId="1E09E34C">
            <w:pPr>
              <w:spacing w:before="0" w:after="10" w:line="240" w:lineRule="auto"/>
              <w:jc w:val="center"/>
            </w:pPr>
            <w:r>
              <w:rPr>
                <w:b/>
                <w:sz w:val="14"/>
              </w:rPr>
              <w:t>P for interaction</w:t>
            </w:r>
          </w:p>
        </w:tc>
      </w:tr>
      <w:tr w14:paraId="72481590">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60708C25">
            <w:pPr>
              <w:spacing w:before="0" w:after="10" w:line="240" w:lineRule="auto"/>
              <w:jc w:val="left"/>
            </w:pPr>
            <w:r>
              <w:rPr>
                <w:sz w:val="14"/>
              </w:rPr>
              <w:t>Overall</w:t>
            </w:r>
          </w:p>
        </w:tc>
        <w:tc>
          <w:tcPr>
            <w:tcW w:w="2375" w:type="dxa"/>
            <w:tcBorders>
              <w:top w:val="nil"/>
              <w:left w:val="nil"/>
              <w:bottom w:val="nil"/>
              <w:right w:val="nil"/>
              <w:insideH w:val="nil"/>
              <w:insideV w:val="nil"/>
            </w:tcBorders>
            <w:vAlign w:val="center"/>
          </w:tcPr>
          <w:p w14:paraId="4D2D9693">
            <w:pPr>
              <w:spacing w:before="0" w:after="10" w:line="240" w:lineRule="auto"/>
              <w:jc w:val="center"/>
            </w:pPr>
            <w:r>
              <w:rPr>
                <w:sz w:val="14"/>
              </w:rPr>
              <w:t>7846</w:t>
            </w:r>
          </w:p>
        </w:tc>
        <w:tc>
          <w:tcPr>
            <w:tcW w:w="2375" w:type="dxa"/>
            <w:tcBorders>
              <w:top w:val="nil"/>
              <w:left w:val="nil"/>
              <w:bottom w:val="nil"/>
              <w:right w:val="nil"/>
              <w:insideH w:val="nil"/>
              <w:insideV w:val="nil"/>
            </w:tcBorders>
            <w:vAlign w:val="center"/>
          </w:tcPr>
          <w:p w14:paraId="3D05A234">
            <w:pPr>
              <w:spacing w:before="0" w:after="10" w:line="240" w:lineRule="auto"/>
              <w:jc w:val="center"/>
            </w:pPr>
            <w:r>
              <w:rPr>
                <w:sz w:val="14"/>
              </w:rPr>
              <w:t>790</w:t>
            </w:r>
          </w:p>
        </w:tc>
        <w:tc>
          <w:tcPr>
            <w:tcW w:w="2375" w:type="dxa"/>
            <w:tcBorders>
              <w:top w:val="nil"/>
              <w:left w:val="nil"/>
              <w:bottom w:val="nil"/>
              <w:right w:val="nil"/>
              <w:insideH w:val="nil"/>
              <w:insideV w:val="nil"/>
            </w:tcBorders>
            <w:vAlign w:val="center"/>
          </w:tcPr>
          <w:p w14:paraId="38FB141C">
            <w:pPr>
              <w:spacing w:before="0" w:after="10" w:line="240" w:lineRule="auto"/>
              <w:jc w:val="center"/>
            </w:pPr>
            <w:r>
              <w:rPr>
                <w:sz w:val="14"/>
              </w:rPr>
              <w:t>0.900 (0.818–0.991)</w:t>
            </w:r>
          </w:p>
        </w:tc>
        <w:tc>
          <w:tcPr>
            <w:tcW w:w="2375" w:type="dxa"/>
            <w:tcBorders>
              <w:top w:val="nil"/>
              <w:left w:val="nil"/>
              <w:bottom w:val="nil"/>
              <w:right w:val="nil"/>
              <w:insideH w:val="nil"/>
              <w:insideV w:val="nil"/>
            </w:tcBorders>
            <w:vAlign w:val="center"/>
          </w:tcPr>
          <w:p w14:paraId="6F2E0552">
            <w:pPr>
              <w:spacing w:before="0" w:after="10" w:line="240" w:lineRule="auto"/>
              <w:jc w:val="center"/>
            </w:pPr>
            <w:r>
              <w:rPr>
                <w:sz w:val="14"/>
              </w:rPr>
              <w:t>0.032</w:t>
            </w:r>
          </w:p>
        </w:tc>
        <w:tc>
          <w:tcPr>
            <w:tcW w:w="2375" w:type="dxa"/>
            <w:tcBorders>
              <w:top w:val="nil"/>
              <w:left w:val="nil"/>
              <w:bottom w:val="nil"/>
              <w:right w:val="nil"/>
              <w:insideH w:val="nil"/>
              <w:insideV w:val="nil"/>
            </w:tcBorders>
            <w:vAlign w:val="center"/>
          </w:tcPr>
          <w:p w14:paraId="14CCD78C">
            <w:pPr>
              <w:spacing w:before="0" w:after="10" w:line="240" w:lineRule="auto"/>
              <w:jc w:val="center"/>
            </w:pPr>
            <w:r>
              <w:rPr>
                <w:sz w:val="14"/>
              </w:rPr>
              <w:t>—</w:t>
            </w:r>
          </w:p>
        </w:tc>
      </w:tr>
      <w:tr w14:paraId="0952852E">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27FE427B">
            <w:pPr>
              <w:spacing w:before="0" w:after="10" w:line="240" w:lineRule="auto"/>
              <w:jc w:val="left"/>
            </w:pPr>
            <w:r>
              <w:rPr>
                <w:b/>
                <w:sz w:val="14"/>
              </w:rPr>
              <w:t>Sex</w:t>
            </w:r>
          </w:p>
        </w:tc>
        <w:tc>
          <w:tcPr>
            <w:tcW w:w="2375" w:type="dxa"/>
            <w:tcBorders>
              <w:top w:val="nil"/>
              <w:left w:val="nil"/>
              <w:bottom w:val="nil"/>
              <w:right w:val="nil"/>
              <w:insideH w:val="nil"/>
              <w:insideV w:val="nil"/>
            </w:tcBorders>
            <w:vAlign w:val="center"/>
          </w:tcPr>
          <w:p w14:paraId="2E80EC59">
            <w:pPr>
              <w:spacing w:before="0" w:after="10" w:line="240" w:lineRule="auto"/>
              <w:jc w:val="center"/>
            </w:pPr>
          </w:p>
        </w:tc>
        <w:tc>
          <w:tcPr>
            <w:tcW w:w="2375" w:type="dxa"/>
            <w:tcBorders>
              <w:top w:val="nil"/>
              <w:left w:val="nil"/>
              <w:bottom w:val="nil"/>
              <w:right w:val="nil"/>
              <w:insideH w:val="nil"/>
              <w:insideV w:val="nil"/>
            </w:tcBorders>
            <w:vAlign w:val="center"/>
          </w:tcPr>
          <w:p w14:paraId="24CE42A7">
            <w:pPr>
              <w:spacing w:before="0" w:after="10" w:line="240" w:lineRule="auto"/>
              <w:jc w:val="center"/>
            </w:pPr>
          </w:p>
        </w:tc>
        <w:tc>
          <w:tcPr>
            <w:tcW w:w="2375" w:type="dxa"/>
            <w:tcBorders>
              <w:top w:val="nil"/>
              <w:left w:val="nil"/>
              <w:bottom w:val="nil"/>
              <w:right w:val="nil"/>
              <w:insideH w:val="nil"/>
              <w:insideV w:val="nil"/>
            </w:tcBorders>
            <w:vAlign w:val="center"/>
          </w:tcPr>
          <w:p w14:paraId="33BF5247">
            <w:pPr>
              <w:spacing w:before="0" w:after="10" w:line="240" w:lineRule="auto"/>
              <w:jc w:val="center"/>
            </w:pPr>
          </w:p>
        </w:tc>
        <w:tc>
          <w:tcPr>
            <w:tcW w:w="2375" w:type="dxa"/>
            <w:tcBorders>
              <w:top w:val="nil"/>
              <w:left w:val="nil"/>
              <w:bottom w:val="nil"/>
              <w:right w:val="nil"/>
              <w:insideH w:val="nil"/>
              <w:insideV w:val="nil"/>
            </w:tcBorders>
            <w:vAlign w:val="center"/>
          </w:tcPr>
          <w:p w14:paraId="0F23C5DE">
            <w:pPr>
              <w:spacing w:before="0" w:after="10" w:line="240" w:lineRule="auto"/>
              <w:jc w:val="center"/>
            </w:pPr>
          </w:p>
        </w:tc>
        <w:tc>
          <w:tcPr>
            <w:tcW w:w="2375" w:type="dxa"/>
            <w:tcBorders>
              <w:top w:val="nil"/>
              <w:left w:val="nil"/>
              <w:bottom w:val="nil"/>
              <w:right w:val="nil"/>
              <w:insideH w:val="nil"/>
              <w:insideV w:val="nil"/>
            </w:tcBorders>
            <w:vAlign w:val="center"/>
          </w:tcPr>
          <w:p w14:paraId="2539DC00">
            <w:pPr>
              <w:spacing w:before="0" w:after="10" w:line="240" w:lineRule="auto"/>
              <w:jc w:val="center"/>
            </w:pPr>
            <w:r>
              <w:rPr>
                <w:sz w:val="14"/>
              </w:rPr>
              <w:t>0.599</w:t>
            </w:r>
          </w:p>
        </w:tc>
      </w:tr>
      <w:tr w14:paraId="18453251">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6D5B7AB7">
            <w:pPr>
              <w:spacing w:before="0" w:after="10" w:line="240" w:lineRule="auto"/>
              <w:jc w:val="left"/>
            </w:pPr>
            <w:r>
              <w:rPr>
                <w:sz w:val="14"/>
              </w:rPr>
              <w:t>Male</w:t>
            </w:r>
          </w:p>
        </w:tc>
        <w:tc>
          <w:tcPr>
            <w:tcW w:w="2375" w:type="dxa"/>
            <w:tcBorders>
              <w:top w:val="nil"/>
              <w:left w:val="nil"/>
              <w:bottom w:val="nil"/>
              <w:right w:val="nil"/>
              <w:insideH w:val="nil"/>
              <w:insideV w:val="nil"/>
            </w:tcBorders>
            <w:vAlign w:val="center"/>
          </w:tcPr>
          <w:p w14:paraId="34B43B22">
            <w:pPr>
              <w:spacing w:before="0" w:after="10" w:line="240" w:lineRule="auto"/>
              <w:jc w:val="center"/>
            </w:pPr>
            <w:r>
              <w:rPr>
                <w:sz w:val="14"/>
              </w:rPr>
              <w:t>3630</w:t>
            </w:r>
          </w:p>
        </w:tc>
        <w:tc>
          <w:tcPr>
            <w:tcW w:w="2375" w:type="dxa"/>
            <w:tcBorders>
              <w:top w:val="nil"/>
              <w:left w:val="nil"/>
              <w:bottom w:val="nil"/>
              <w:right w:val="nil"/>
              <w:insideH w:val="nil"/>
              <w:insideV w:val="nil"/>
            </w:tcBorders>
            <w:vAlign w:val="center"/>
          </w:tcPr>
          <w:p w14:paraId="1D5E4D18">
            <w:pPr>
              <w:spacing w:before="0" w:after="10" w:line="240" w:lineRule="auto"/>
              <w:jc w:val="center"/>
            </w:pPr>
            <w:r>
              <w:rPr>
                <w:sz w:val="14"/>
              </w:rPr>
              <w:t>400</w:t>
            </w:r>
          </w:p>
        </w:tc>
        <w:tc>
          <w:tcPr>
            <w:tcW w:w="2375" w:type="dxa"/>
            <w:tcBorders>
              <w:top w:val="nil"/>
              <w:left w:val="nil"/>
              <w:bottom w:val="nil"/>
              <w:right w:val="nil"/>
              <w:insideH w:val="nil"/>
              <w:insideV w:val="nil"/>
            </w:tcBorders>
            <w:vAlign w:val="center"/>
          </w:tcPr>
          <w:p w14:paraId="1B5B3582">
            <w:pPr>
              <w:spacing w:before="0" w:after="10" w:line="240" w:lineRule="auto"/>
              <w:jc w:val="center"/>
            </w:pPr>
            <w:r>
              <w:rPr>
                <w:sz w:val="14"/>
              </w:rPr>
              <w:t>0.919 (0.816–1.034)</w:t>
            </w:r>
          </w:p>
        </w:tc>
        <w:tc>
          <w:tcPr>
            <w:tcW w:w="2375" w:type="dxa"/>
            <w:tcBorders>
              <w:top w:val="nil"/>
              <w:left w:val="nil"/>
              <w:bottom w:val="nil"/>
              <w:right w:val="nil"/>
              <w:insideH w:val="nil"/>
              <w:insideV w:val="nil"/>
            </w:tcBorders>
            <w:vAlign w:val="center"/>
          </w:tcPr>
          <w:p w14:paraId="5960150D">
            <w:pPr>
              <w:spacing w:before="0" w:after="10" w:line="240" w:lineRule="auto"/>
              <w:jc w:val="center"/>
            </w:pPr>
            <w:r>
              <w:rPr>
                <w:sz w:val="14"/>
              </w:rPr>
              <w:t>0.159</w:t>
            </w:r>
          </w:p>
        </w:tc>
        <w:tc>
          <w:tcPr>
            <w:tcW w:w="2375" w:type="dxa"/>
            <w:tcBorders>
              <w:top w:val="nil"/>
              <w:left w:val="nil"/>
              <w:bottom w:val="nil"/>
              <w:right w:val="nil"/>
              <w:insideH w:val="nil"/>
              <w:insideV w:val="nil"/>
            </w:tcBorders>
            <w:vAlign w:val="center"/>
          </w:tcPr>
          <w:p w14:paraId="28235BC6">
            <w:pPr>
              <w:spacing w:before="0" w:after="10" w:line="240" w:lineRule="auto"/>
              <w:jc w:val="center"/>
            </w:pPr>
          </w:p>
        </w:tc>
      </w:tr>
      <w:tr w14:paraId="67FB3E0F">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D768683">
            <w:pPr>
              <w:spacing w:before="0" w:after="10" w:line="240" w:lineRule="auto"/>
              <w:jc w:val="left"/>
            </w:pPr>
            <w:r>
              <w:rPr>
                <w:sz w:val="14"/>
              </w:rPr>
              <w:t>Female</w:t>
            </w:r>
          </w:p>
        </w:tc>
        <w:tc>
          <w:tcPr>
            <w:tcW w:w="2375" w:type="dxa"/>
            <w:tcBorders>
              <w:top w:val="nil"/>
              <w:left w:val="nil"/>
              <w:bottom w:val="nil"/>
              <w:right w:val="nil"/>
              <w:insideH w:val="nil"/>
              <w:insideV w:val="nil"/>
            </w:tcBorders>
            <w:vAlign w:val="center"/>
          </w:tcPr>
          <w:p w14:paraId="48FE5288">
            <w:pPr>
              <w:spacing w:before="0" w:after="10" w:line="240" w:lineRule="auto"/>
              <w:jc w:val="center"/>
            </w:pPr>
            <w:r>
              <w:rPr>
                <w:sz w:val="14"/>
              </w:rPr>
              <w:t>4216</w:t>
            </w:r>
          </w:p>
        </w:tc>
        <w:tc>
          <w:tcPr>
            <w:tcW w:w="2375" w:type="dxa"/>
            <w:tcBorders>
              <w:top w:val="nil"/>
              <w:left w:val="nil"/>
              <w:bottom w:val="nil"/>
              <w:right w:val="nil"/>
              <w:insideH w:val="nil"/>
              <w:insideV w:val="nil"/>
            </w:tcBorders>
            <w:vAlign w:val="center"/>
          </w:tcPr>
          <w:p w14:paraId="4422C992">
            <w:pPr>
              <w:spacing w:before="0" w:after="10" w:line="240" w:lineRule="auto"/>
              <w:jc w:val="center"/>
            </w:pPr>
            <w:r>
              <w:rPr>
                <w:sz w:val="14"/>
              </w:rPr>
              <w:t>390</w:t>
            </w:r>
          </w:p>
        </w:tc>
        <w:tc>
          <w:tcPr>
            <w:tcW w:w="2375" w:type="dxa"/>
            <w:tcBorders>
              <w:top w:val="nil"/>
              <w:left w:val="nil"/>
              <w:bottom w:val="nil"/>
              <w:right w:val="nil"/>
              <w:insideH w:val="nil"/>
              <w:insideV w:val="nil"/>
            </w:tcBorders>
            <w:vAlign w:val="center"/>
          </w:tcPr>
          <w:p w14:paraId="4151AC2A">
            <w:pPr>
              <w:spacing w:before="0" w:after="10" w:line="240" w:lineRule="auto"/>
              <w:jc w:val="center"/>
            </w:pPr>
            <w:r>
              <w:rPr>
                <w:sz w:val="14"/>
              </w:rPr>
              <w:t>0.862 (0.749–0.991)</w:t>
            </w:r>
          </w:p>
        </w:tc>
        <w:tc>
          <w:tcPr>
            <w:tcW w:w="2375" w:type="dxa"/>
            <w:tcBorders>
              <w:top w:val="nil"/>
              <w:left w:val="nil"/>
              <w:bottom w:val="nil"/>
              <w:right w:val="nil"/>
              <w:insideH w:val="nil"/>
              <w:insideV w:val="nil"/>
            </w:tcBorders>
            <w:vAlign w:val="center"/>
          </w:tcPr>
          <w:p w14:paraId="091527A1">
            <w:pPr>
              <w:spacing w:before="0" w:after="10" w:line="240" w:lineRule="auto"/>
              <w:jc w:val="center"/>
            </w:pPr>
            <w:r>
              <w:rPr>
                <w:sz w:val="14"/>
              </w:rPr>
              <w:t>0.037</w:t>
            </w:r>
          </w:p>
        </w:tc>
        <w:tc>
          <w:tcPr>
            <w:tcW w:w="2375" w:type="dxa"/>
            <w:tcBorders>
              <w:top w:val="nil"/>
              <w:left w:val="nil"/>
              <w:bottom w:val="nil"/>
              <w:right w:val="nil"/>
              <w:insideH w:val="nil"/>
              <w:insideV w:val="nil"/>
            </w:tcBorders>
            <w:vAlign w:val="center"/>
          </w:tcPr>
          <w:p w14:paraId="5B692FA4">
            <w:pPr>
              <w:spacing w:before="0" w:after="10" w:line="240" w:lineRule="auto"/>
              <w:jc w:val="center"/>
            </w:pPr>
          </w:p>
        </w:tc>
      </w:tr>
      <w:tr w14:paraId="0319C2E7">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5A54778F">
            <w:pPr>
              <w:spacing w:before="0" w:after="10" w:line="240" w:lineRule="auto"/>
              <w:jc w:val="left"/>
            </w:pPr>
            <w:r>
              <w:rPr>
                <w:b/>
                <w:sz w:val="14"/>
              </w:rPr>
              <w:t>Age</w:t>
            </w:r>
          </w:p>
        </w:tc>
        <w:tc>
          <w:tcPr>
            <w:tcW w:w="2375" w:type="dxa"/>
            <w:tcBorders>
              <w:top w:val="nil"/>
              <w:left w:val="nil"/>
              <w:bottom w:val="nil"/>
              <w:right w:val="nil"/>
              <w:insideH w:val="nil"/>
              <w:insideV w:val="nil"/>
            </w:tcBorders>
            <w:vAlign w:val="center"/>
          </w:tcPr>
          <w:p w14:paraId="6A9B738B">
            <w:pPr>
              <w:spacing w:before="0" w:after="10" w:line="240" w:lineRule="auto"/>
              <w:jc w:val="center"/>
            </w:pPr>
          </w:p>
        </w:tc>
        <w:tc>
          <w:tcPr>
            <w:tcW w:w="2375" w:type="dxa"/>
            <w:tcBorders>
              <w:top w:val="nil"/>
              <w:left w:val="nil"/>
              <w:bottom w:val="nil"/>
              <w:right w:val="nil"/>
              <w:insideH w:val="nil"/>
              <w:insideV w:val="nil"/>
            </w:tcBorders>
            <w:vAlign w:val="center"/>
          </w:tcPr>
          <w:p w14:paraId="092DBD27">
            <w:pPr>
              <w:spacing w:before="0" w:after="10" w:line="240" w:lineRule="auto"/>
              <w:jc w:val="center"/>
            </w:pPr>
          </w:p>
        </w:tc>
        <w:tc>
          <w:tcPr>
            <w:tcW w:w="2375" w:type="dxa"/>
            <w:tcBorders>
              <w:top w:val="nil"/>
              <w:left w:val="nil"/>
              <w:bottom w:val="nil"/>
              <w:right w:val="nil"/>
              <w:insideH w:val="nil"/>
              <w:insideV w:val="nil"/>
            </w:tcBorders>
            <w:vAlign w:val="center"/>
          </w:tcPr>
          <w:p w14:paraId="325C840E">
            <w:pPr>
              <w:spacing w:before="0" w:after="10" w:line="240" w:lineRule="auto"/>
              <w:jc w:val="center"/>
            </w:pPr>
          </w:p>
        </w:tc>
        <w:tc>
          <w:tcPr>
            <w:tcW w:w="2375" w:type="dxa"/>
            <w:tcBorders>
              <w:top w:val="nil"/>
              <w:left w:val="nil"/>
              <w:bottom w:val="nil"/>
              <w:right w:val="nil"/>
              <w:insideH w:val="nil"/>
              <w:insideV w:val="nil"/>
            </w:tcBorders>
            <w:vAlign w:val="center"/>
          </w:tcPr>
          <w:p w14:paraId="435C6ED9">
            <w:pPr>
              <w:spacing w:before="0" w:after="10" w:line="240" w:lineRule="auto"/>
              <w:jc w:val="center"/>
            </w:pPr>
          </w:p>
        </w:tc>
        <w:tc>
          <w:tcPr>
            <w:tcW w:w="2375" w:type="dxa"/>
            <w:tcBorders>
              <w:top w:val="nil"/>
              <w:left w:val="nil"/>
              <w:bottom w:val="nil"/>
              <w:right w:val="nil"/>
              <w:insideH w:val="nil"/>
              <w:insideV w:val="nil"/>
            </w:tcBorders>
            <w:vAlign w:val="center"/>
          </w:tcPr>
          <w:p w14:paraId="23BF36A9">
            <w:pPr>
              <w:spacing w:before="0" w:after="10" w:line="240" w:lineRule="auto"/>
              <w:jc w:val="center"/>
            </w:pPr>
            <w:r>
              <w:rPr>
                <w:sz w:val="14"/>
              </w:rPr>
              <w:t>0.969</w:t>
            </w:r>
          </w:p>
        </w:tc>
      </w:tr>
      <w:tr w14:paraId="23D4A239">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226E4E6B">
            <w:pPr>
              <w:spacing w:before="0" w:after="10" w:line="240" w:lineRule="auto"/>
              <w:jc w:val="left"/>
            </w:pPr>
            <w:r>
              <w:rPr>
                <w:sz w:val="14"/>
              </w:rPr>
              <w:t>&lt;60 years</w:t>
            </w:r>
          </w:p>
        </w:tc>
        <w:tc>
          <w:tcPr>
            <w:tcW w:w="2375" w:type="dxa"/>
            <w:tcBorders>
              <w:top w:val="nil"/>
              <w:left w:val="nil"/>
              <w:bottom w:val="nil"/>
              <w:right w:val="nil"/>
              <w:insideH w:val="nil"/>
              <w:insideV w:val="nil"/>
            </w:tcBorders>
            <w:vAlign w:val="center"/>
          </w:tcPr>
          <w:p w14:paraId="3BC3C0FD">
            <w:pPr>
              <w:spacing w:before="0" w:after="10" w:line="240" w:lineRule="auto"/>
              <w:jc w:val="center"/>
            </w:pPr>
            <w:r>
              <w:rPr>
                <w:sz w:val="14"/>
              </w:rPr>
              <w:t>5741</w:t>
            </w:r>
          </w:p>
        </w:tc>
        <w:tc>
          <w:tcPr>
            <w:tcW w:w="2375" w:type="dxa"/>
            <w:tcBorders>
              <w:top w:val="nil"/>
              <w:left w:val="nil"/>
              <w:bottom w:val="nil"/>
              <w:right w:val="nil"/>
              <w:insideH w:val="nil"/>
              <w:insideV w:val="nil"/>
            </w:tcBorders>
            <w:vAlign w:val="center"/>
          </w:tcPr>
          <w:p w14:paraId="2B6E65E9">
            <w:pPr>
              <w:spacing w:before="0" w:after="10" w:line="240" w:lineRule="auto"/>
              <w:jc w:val="center"/>
            </w:pPr>
            <w:r>
              <w:rPr>
                <w:sz w:val="14"/>
              </w:rPr>
              <w:t>410</w:t>
            </w:r>
          </w:p>
        </w:tc>
        <w:tc>
          <w:tcPr>
            <w:tcW w:w="2375" w:type="dxa"/>
            <w:tcBorders>
              <w:top w:val="nil"/>
              <w:left w:val="nil"/>
              <w:bottom w:val="nil"/>
              <w:right w:val="nil"/>
              <w:insideH w:val="nil"/>
              <w:insideV w:val="nil"/>
            </w:tcBorders>
            <w:vAlign w:val="center"/>
          </w:tcPr>
          <w:p w14:paraId="2508A48F">
            <w:pPr>
              <w:spacing w:before="0" w:after="10" w:line="240" w:lineRule="auto"/>
              <w:jc w:val="center"/>
            </w:pPr>
            <w:r>
              <w:rPr>
                <w:sz w:val="14"/>
              </w:rPr>
              <w:t>0.896 (0.805–0.996)</w:t>
            </w:r>
          </w:p>
        </w:tc>
        <w:tc>
          <w:tcPr>
            <w:tcW w:w="2375" w:type="dxa"/>
            <w:tcBorders>
              <w:top w:val="nil"/>
              <w:left w:val="nil"/>
              <w:bottom w:val="nil"/>
              <w:right w:val="nil"/>
              <w:insideH w:val="nil"/>
              <w:insideV w:val="nil"/>
            </w:tcBorders>
            <w:vAlign w:val="center"/>
          </w:tcPr>
          <w:p w14:paraId="26EDB015">
            <w:pPr>
              <w:spacing w:before="0" w:after="10" w:line="240" w:lineRule="auto"/>
              <w:jc w:val="center"/>
            </w:pPr>
            <w:r>
              <w:rPr>
                <w:sz w:val="14"/>
              </w:rPr>
              <w:t>0.043</w:t>
            </w:r>
          </w:p>
        </w:tc>
        <w:tc>
          <w:tcPr>
            <w:tcW w:w="2375" w:type="dxa"/>
            <w:tcBorders>
              <w:top w:val="nil"/>
              <w:left w:val="nil"/>
              <w:bottom w:val="nil"/>
              <w:right w:val="nil"/>
              <w:insideH w:val="nil"/>
              <w:insideV w:val="nil"/>
            </w:tcBorders>
            <w:vAlign w:val="center"/>
          </w:tcPr>
          <w:p w14:paraId="5807645A">
            <w:pPr>
              <w:spacing w:before="0" w:after="10" w:line="240" w:lineRule="auto"/>
              <w:jc w:val="center"/>
            </w:pPr>
          </w:p>
        </w:tc>
      </w:tr>
      <w:tr w14:paraId="1D619C5A">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67B26D4B">
            <w:pPr>
              <w:spacing w:before="0" w:after="10" w:line="240" w:lineRule="auto"/>
              <w:jc w:val="left"/>
            </w:pPr>
            <w:r>
              <w:rPr>
                <w:sz w:val="14"/>
              </w:rPr>
              <w:t>≥60 years</w:t>
            </w:r>
          </w:p>
        </w:tc>
        <w:tc>
          <w:tcPr>
            <w:tcW w:w="2375" w:type="dxa"/>
            <w:tcBorders>
              <w:top w:val="nil"/>
              <w:left w:val="nil"/>
              <w:bottom w:val="nil"/>
              <w:right w:val="nil"/>
              <w:insideH w:val="nil"/>
              <w:insideV w:val="nil"/>
            </w:tcBorders>
            <w:vAlign w:val="center"/>
          </w:tcPr>
          <w:p w14:paraId="30775A1B">
            <w:pPr>
              <w:spacing w:before="0" w:after="10" w:line="240" w:lineRule="auto"/>
              <w:jc w:val="center"/>
            </w:pPr>
            <w:r>
              <w:rPr>
                <w:sz w:val="14"/>
              </w:rPr>
              <w:t>2105</w:t>
            </w:r>
          </w:p>
        </w:tc>
        <w:tc>
          <w:tcPr>
            <w:tcW w:w="2375" w:type="dxa"/>
            <w:tcBorders>
              <w:top w:val="nil"/>
              <w:left w:val="nil"/>
              <w:bottom w:val="nil"/>
              <w:right w:val="nil"/>
              <w:insideH w:val="nil"/>
              <w:insideV w:val="nil"/>
            </w:tcBorders>
            <w:vAlign w:val="center"/>
          </w:tcPr>
          <w:p w14:paraId="09D212B8">
            <w:pPr>
              <w:spacing w:before="0" w:after="10" w:line="240" w:lineRule="auto"/>
              <w:jc w:val="center"/>
            </w:pPr>
            <w:r>
              <w:rPr>
                <w:sz w:val="14"/>
              </w:rPr>
              <w:t>380</w:t>
            </w:r>
          </w:p>
        </w:tc>
        <w:tc>
          <w:tcPr>
            <w:tcW w:w="2375" w:type="dxa"/>
            <w:tcBorders>
              <w:top w:val="nil"/>
              <w:left w:val="nil"/>
              <w:bottom w:val="nil"/>
              <w:right w:val="nil"/>
              <w:insideH w:val="nil"/>
              <w:insideV w:val="nil"/>
            </w:tcBorders>
            <w:vAlign w:val="center"/>
          </w:tcPr>
          <w:p w14:paraId="12726AE0">
            <w:pPr>
              <w:spacing w:before="0" w:after="10" w:line="240" w:lineRule="auto"/>
              <w:jc w:val="center"/>
            </w:pPr>
            <w:r>
              <w:rPr>
                <w:sz w:val="14"/>
              </w:rPr>
              <w:t>0.894 (0.764–1.045)</w:t>
            </w:r>
          </w:p>
        </w:tc>
        <w:tc>
          <w:tcPr>
            <w:tcW w:w="2375" w:type="dxa"/>
            <w:tcBorders>
              <w:top w:val="nil"/>
              <w:left w:val="nil"/>
              <w:bottom w:val="nil"/>
              <w:right w:val="nil"/>
              <w:insideH w:val="nil"/>
              <w:insideV w:val="nil"/>
            </w:tcBorders>
            <w:vAlign w:val="center"/>
          </w:tcPr>
          <w:p w14:paraId="119279CF">
            <w:pPr>
              <w:spacing w:before="0" w:after="10" w:line="240" w:lineRule="auto"/>
              <w:jc w:val="center"/>
            </w:pPr>
            <w:r>
              <w:rPr>
                <w:sz w:val="14"/>
              </w:rPr>
              <w:t>0.160</w:t>
            </w:r>
          </w:p>
        </w:tc>
        <w:tc>
          <w:tcPr>
            <w:tcW w:w="2375" w:type="dxa"/>
            <w:tcBorders>
              <w:top w:val="nil"/>
              <w:left w:val="nil"/>
              <w:bottom w:val="nil"/>
              <w:right w:val="nil"/>
              <w:insideH w:val="nil"/>
              <w:insideV w:val="nil"/>
            </w:tcBorders>
            <w:vAlign w:val="center"/>
          </w:tcPr>
          <w:p w14:paraId="71EFCFED">
            <w:pPr>
              <w:spacing w:before="0" w:after="10" w:line="240" w:lineRule="auto"/>
              <w:jc w:val="center"/>
            </w:pPr>
          </w:p>
        </w:tc>
      </w:tr>
      <w:tr w14:paraId="7402AEBF">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AE14F16">
            <w:pPr>
              <w:spacing w:before="0" w:after="10" w:line="240" w:lineRule="auto"/>
              <w:jc w:val="left"/>
            </w:pPr>
            <w:r>
              <w:rPr>
                <w:b/>
                <w:sz w:val="14"/>
              </w:rPr>
              <w:t>BMI category</w:t>
            </w:r>
          </w:p>
        </w:tc>
        <w:tc>
          <w:tcPr>
            <w:tcW w:w="2375" w:type="dxa"/>
            <w:tcBorders>
              <w:top w:val="nil"/>
              <w:left w:val="nil"/>
              <w:bottom w:val="nil"/>
              <w:right w:val="nil"/>
              <w:insideH w:val="nil"/>
              <w:insideV w:val="nil"/>
            </w:tcBorders>
            <w:vAlign w:val="center"/>
          </w:tcPr>
          <w:p w14:paraId="5A6B7421">
            <w:pPr>
              <w:spacing w:before="0" w:after="10" w:line="240" w:lineRule="auto"/>
              <w:jc w:val="center"/>
            </w:pPr>
          </w:p>
        </w:tc>
        <w:tc>
          <w:tcPr>
            <w:tcW w:w="2375" w:type="dxa"/>
            <w:tcBorders>
              <w:top w:val="nil"/>
              <w:left w:val="nil"/>
              <w:bottom w:val="nil"/>
              <w:right w:val="nil"/>
              <w:insideH w:val="nil"/>
              <w:insideV w:val="nil"/>
            </w:tcBorders>
            <w:vAlign w:val="center"/>
          </w:tcPr>
          <w:p w14:paraId="73E48439">
            <w:pPr>
              <w:spacing w:before="0" w:after="10" w:line="240" w:lineRule="auto"/>
              <w:jc w:val="center"/>
            </w:pPr>
          </w:p>
        </w:tc>
        <w:tc>
          <w:tcPr>
            <w:tcW w:w="2375" w:type="dxa"/>
            <w:tcBorders>
              <w:top w:val="nil"/>
              <w:left w:val="nil"/>
              <w:bottom w:val="nil"/>
              <w:right w:val="nil"/>
              <w:insideH w:val="nil"/>
              <w:insideV w:val="nil"/>
            </w:tcBorders>
            <w:vAlign w:val="center"/>
          </w:tcPr>
          <w:p w14:paraId="3DEED217">
            <w:pPr>
              <w:spacing w:before="0" w:after="10" w:line="240" w:lineRule="auto"/>
              <w:jc w:val="center"/>
            </w:pPr>
          </w:p>
        </w:tc>
        <w:tc>
          <w:tcPr>
            <w:tcW w:w="2375" w:type="dxa"/>
            <w:tcBorders>
              <w:top w:val="nil"/>
              <w:left w:val="nil"/>
              <w:bottom w:val="nil"/>
              <w:right w:val="nil"/>
              <w:insideH w:val="nil"/>
              <w:insideV w:val="nil"/>
            </w:tcBorders>
            <w:vAlign w:val="center"/>
          </w:tcPr>
          <w:p w14:paraId="5D2008B5">
            <w:pPr>
              <w:spacing w:before="0" w:after="10" w:line="240" w:lineRule="auto"/>
              <w:jc w:val="center"/>
            </w:pPr>
          </w:p>
        </w:tc>
        <w:tc>
          <w:tcPr>
            <w:tcW w:w="2375" w:type="dxa"/>
            <w:tcBorders>
              <w:top w:val="nil"/>
              <w:left w:val="nil"/>
              <w:bottom w:val="nil"/>
              <w:right w:val="nil"/>
              <w:insideH w:val="nil"/>
              <w:insideV w:val="nil"/>
            </w:tcBorders>
            <w:vAlign w:val="center"/>
          </w:tcPr>
          <w:p w14:paraId="7950E6A0">
            <w:pPr>
              <w:spacing w:before="0" w:after="10" w:line="240" w:lineRule="auto"/>
              <w:jc w:val="center"/>
            </w:pPr>
            <w:r>
              <w:rPr>
                <w:sz w:val="14"/>
              </w:rPr>
              <w:t>0.061</w:t>
            </w:r>
          </w:p>
        </w:tc>
      </w:tr>
      <w:tr w14:paraId="70C9E8E5">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7C2ECDC9">
            <w:pPr>
              <w:spacing w:before="0" w:after="10" w:line="240" w:lineRule="auto"/>
              <w:jc w:val="left"/>
            </w:pPr>
            <w:r>
              <w:rPr>
                <w:sz w:val="14"/>
              </w:rPr>
              <w:t>&lt;24 kg/m²</w:t>
            </w:r>
          </w:p>
        </w:tc>
        <w:tc>
          <w:tcPr>
            <w:tcW w:w="2375" w:type="dxa"/>
            <w:tcBorders>
              <w:top w:val="nil"/>
              <w:left w:val="nil"/>
              <w:bottom w:val="nil"/>
              <w:right w:val="nil"/>
              <w:insideH w:val="nil"/>
              <w:insideV w:val="nil"/>
            </w:tcBorders>
            <w:vAlign w:val="center"/>
          </w:tcPr>
          <w:p w14:paraId="6E6D140B">
            <w:pPr>
              <w:spacing w:before="0" w:after="10" w:line="240" w:lineRule="auto"/>
              <w:jc w:val="center"/>
            </w:pPr>
            <w:r>
              <w:rPr>
                <w:sz w:val="14"/>
              </w:rPr>
              <w:t>4702</w:t>
            </w:r>
          </w:p>
        </w:tc>
        <w:tc>
          <w:tcPr>
            <w:tcW w:w="2375" w:type="dxa"/>
            <w:tcBorders>
              <w:top w:val="nil"/>
              <w:left w:val="nil"/>
              <w:bottom w:val="nil"/>
              <w:right w:val="nil"/>
              <w:insideH w:val="nil"/>
              <w:insideV w:val="nil"/>
            </w:tcBorders>
            <w:vAlign w:val="center"/>
          </w:tcPr>
          <w:p w14:paraId="74E182D2">
            <w:pPr>
              <w:spacing w:before="0" w:after="10" w:line="240" w:lineRule="auto"/>
              <w:jc w:val="center"/>
            </w:pPr>
            <w:r>
              <w:rPr>
                <w:sz w:val="14"/>
              </w:rPr>
              <w:t>312</w:t>
            </w:r>
          </w:p>
        </w:tc>
        <w:tc>
          <w:tcPr>
            <w:tcW w:w="2375" w:type="dxa"/>
            <w:tcBorders>
              <w:top w:val="nil"/>
              <w:left w:val="nil"/>
              <w:bottom w:val="nil"/>
              <w:right w:val="nil"/>
              <w:insideH w:val="nil"/>
              <w:insideV w:val="nil"/>
            </w:tcBorders>
            <w:vAlign w:val="center"/>
          </w:tcPr>
          <w:p w14:paraId="163AD27A">
            <w:pPr>
              <w:spacing w:before="0" w:after="10" w:line="240" w:lineRule="auto"/>
              <w:jc w:val="center"/>
            </w:pPr>
            <w:r>
              <w:rPr>
                <w:sz w:val="14"/>
              </w:rPr>
              <w:t>0.821 (0.714–0.944)</w:t>
            </w:r>
          </w:p>
        </w:tc>
        <w:tc>
          <w:tcPr>
            <w:tcW w:w="2375" w:type="dxa"/>
            <w:tcBorders>
              <w:top w:val="nil"/>
              <w:left w:val="nil"/>
              <w:bottom w:val="nil"/>
              <w:right w:val="nil"/>
              <w:insideH w:val="nil"/>
              <w:insideV w:val="nil"/>
            </w:tcBorders>
            <w:vAlign w:val="center"/>
          </w:tcPr>
          <w:p w14:paraId="5E7E7D2E">
            <w:pPr>
              <w:spacing w:before="0" w:after="10" w:line="240" w:lineRule="auto"/>
              <w:jc w:val="center"/>
            </w:pPr>
            <w:r>
              <w:rPr>
                <w:sz w:val="14"/>
              </w:rPr>
              <w:t>0.006</w:t>
            </w:r>
          </w:p>
        </w:tc>
        <w:tc>
          <w:tcPr>
            <w:tcW w:w="2375" w:type="dxa"/>
            <w:tcBorders>
              <w:top w:val="nil"/>
              <w:left w:val="nil"/>
              <w:bottom w:val="nil"/>
              <w:right w:val="nil"/>
              <w:insideH w:val="nil"/>
              <w:insideV w:val="nil"/>
            </w:tcBorders>
            <w:vAlign w:val="center"/>
          </w:tcPr>
          <w:p w14:paraId="3C07176C">
            <w:pPr>
              <w:spacing w:before="0" w:after="10" w:line="240" w:lineRule="auto"/>
              <w:jc w:val="center"/>
            </w:pPr>
          </w:p>
        </w:tc>
      </w:tr>
      <w:tr w14:paraId="63E45A8C">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4C56C2E2">
            <w:pPr>
              <w:spacing w:before="0" w:after="10" w:line="240" w:lineRule="auto"/>
              <w:jc w:val="left"/>
            </w:pPr>
            <w:r>
              <w:rPr>
                <w:sz w:val="14"/>
              </w:rPr>
              <w:t>≥24 kg/m²</w:t>
            </w:r>
          </w:p>
        </w:tc>
        <w:tc>
          <w:tcPr>
            <w:tcW w:w="2375" w:type="dxa"/>
            <w:tcBorders>
              <w:top w:val="nil"/>
              <w:left w:val="nil"/>
              <w:bottom w:val="nil"/>
              <w:right w:val="nil"/>
              <w:insideH w:val="nil"/>
              <w:insideV w:val="nil"/>
            </w:tcBorders>
            <w:vAlign w:val="center"/>
          </w:tcPr>
          <w:p w14:paraId="24ADF84D">
            <w:pPr>
              <w:spacing w:before="0" w:after="10" w:line="240" w:lineRule="auto"/>
              <w:jc w:val="center"/>
            </w:pPr>
            <w:r>
              <w:rPr>
                <w:sz w:val="14"/>
              </w:rPr>
              <w:t>3144</w:t>
            </w:r>
          </w:p>
        </w:tc>
        <w:tc>
          <w:tcPr>
            <w:tcW w:w="2375" w:type="dxa"/>
            <w:tcBorders>
              <w:top w:val="nil"/>
              <w:left w:val="nil"/>
              <w:bottom w:val="nil"/>
              <w:right w:val="nil"/>
              <w:insideH w:val="nil"/>
              <w:insideV w:val="nil"/>
            </w:tcBorders>
            <w:vAlign w:val="center"/>
          </w:tcPr>
          <w:p w14:paraId="17B91DE3">
            <w:pPr>
              <w:spacing w:before="0" w:after="10" w:line="240" w:lineRule="auto"/>
              <w:jc w:val="center"/>
            </w:pPr>
            <w:r>
              <w:rPr>
                <w:sz w:val="14"/>
              </w:rPr>
              <w:t>478</w:t>
            </w:r>
          </w:p>
        </w:tc>
        <w:tc>
          <w:tcPr>
            <w:tcW w:w="2375" w:type="dxa"/>
            <w:tcBorders>
              <w:top w:val="nil"/>
              <w:left w:val="nil"/>
              <w:bottom w:val="nil"/>
              <w:right w:val="nil"/>
              <w:insideH w:val="nil"/>
              <w:insideV w:val="nil"/>
            </w:tcBorders>
            <w:vAlign w:val="center"/>
          </w:tcPr>
          <w:p w14:paraId="5D3EF559">
            <w:pPr>
              <w:spacing w:before="0" w:after="10" w:line="240" w:lineRule="auto"/>
              <w:jc w:val="center"/>
            </w:pPr>
            <w:r>
              <w:rPr>
                <w:sz w:val="14"/>
              </w:rPr>
              <w:t>0.959 (0.860–1.069)</w:t>
            </w:r>
          </w:p>
        </w:tc>
        <w:tc>
          <w:tcPr>
            <w:tcW w:w="2375" w:type="dxa"/>
            <w:tcBorders>
              <w:top w:val="nil"/>
              <w:left w:val="nil"/>
              <w:bottom w:val="nil"/>
              <w:right w:val="nil"/>
              <w:insideH w:val="nil"/>
              <w:insideV w:val="nil"/>
            </w:tcBorders>
            <w:vAlign w:val="center"/>
          </w:tcPr>
          <w:p w14:paraId="4C3D224F">
            <w:pPr>
              <w:spacing w:before="0" w:after="10" w:line="240" w:lineRule="auto"/>
              <w:jc w:val="center"/>
            </w:pPr>
            <w:r>
              <w:rPr>
                <w:sz w:val="14"/>
              </w:rPr>
              <w:t>0.451</w:t>
            </w:r>
          </w:p>
        </w:tc>
        <w:tc>
          <w:tcPr>
            <w:tcW w:w="2375" w:type="dxa"/>
            <w:tcBorders>
              <w:top w:val="nil"/>
              <w:left w:val="nil"/>
              <w:bottom w:val="nil"/>
              <w:right w:val="nil"/>
              <w:insideH w:val="nil"/>
              <w:insideV w:val="nil"/>
            </w:tcBorders>
            <w:vAlign w:val="center"/>
          </w:tcPr>
          <w:p w14:paraId="497389CC">
            <w:pPr>
              <w:spacing w:before="0" w:after="10" w:line="240" w:lineRule="auto"/>
              <w:jc w:val="center"/>
            </w:pPr>
          </w:p>
        </w:tc>
      </w:tr>
      <w:tr w14:paraId="039C7489">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50A6F2F2">
            <w:pPr>
              <w:spacing w:before="0" w:after="10" w:line="240" w:lineRule="auto"/>
              <w:jc w:val="left"/>
            </w:pPr>
            <w:r>
              <w:rPr>
                <w:b/>
                <w:sz w:val="14"/>
              </w:rPr>
              <w:t>BMI tertiles</w:t>
            </w:r>
          </w:p>
        </w:tc>
        <w:tc>
          <w:tcPr>
            <w:tcW w:w="2375" w:type="dxa"/>
            <w:tcBorders>
              <w:top w:val="nil"/>
              <w:left w:val="nil"/>
              <w:bottom w:val="nil"/>
              <w:right w:val="nil"/>
              <w:insideH w:val="nil"/>
              <w:insideV w:val="nil"/>
            </w:tcBorders>
            <w:vAlign w:val="center"/>
          </w:tcPr>
          <w:p w14:paraId="5FFA8B3B">
            <w:pPr>
              <w:spacing w:before="0" w:after="10" w:line="240" w:lineRule="auto"/>
              <w:jc w:val="center"/>
            </w:pPr>
          </w:p>
        </w:tc>
        <w:tc>
          <w:tcPr>
            <w:tcW w:w="2375" w:type="dxa"/>
            <w:tcBorders>
              <w:top w:val="nil"/>
              <w:left w:val="nil"/>
              <w:bottom w:val="nil"/>
              <w:right w:val="nil"/>
              <w:insideH w:val="nil"/>
              <w:insideV w:val="nil"/>
            </w:tcBorders>
            <w:vAlign w:val="center"/>
          </w:tcPr>
          <w:p w14:paraId="65E707AC">
            <w:pPr>
              <w:spacing w:before="0" w:after="10" w:line="240" w:lineRule="auto"/>
              <w:jc w:val="center"/>
            </w:pPr>
          </w:p>
        </w:tc>
        <w:tc>
          <w:tcPr>
            <w:tcW w:w="2375" w:type="dxa"/>
            <w:tcBorders>
              <w:top w:val="nil"/>
              <w:left w:val="nil"/>
              <w:bottom w:val="nil"/>
              <w:right w:val="nil"/>
              <w:insideH w:val="nil"/>
              <w:insideV w:val="nil"/>
            </w:tcBorders>
            <w:vAlign w:val="center"/>
          </w:tcPr>
          <w:p w14:paraId="2484CDF4">
            <w:pPr>
              <w:spacing w:before="0" w:after="10" w:line="240" w:lineRule="auto"/>
              <w:jc w:val="center"/>
            </w:pPr>
          </w:p>
        </w:tc>
        <w:tc>
          <w:tcPr>
            <w:tcW w:w="2375" w:type="dxa"/>
            <w:tcBorders>
              <w:top w:val="nil"/>
              <w:left w:val="nil"/>
              <w:bottom w:val="nil"/>
              <w:right w:val="nil"/>
              <w:insideH w:val="nil"/>
              <w:insideV w:val="nil"/>
            </w:tcBorders>
            <w:vAlign w:val="center"/>
          </w:tcPr>
          <w:p w14:paraId="0ABEBA9B">
            <w:pPr>
              <w:spacing w:before="0" w:after="10" w:line="240" w:lineRule="auto"/>
              <w:jc w:val="center"/>
            </w:pPr>
          </w:p>
        </w:tc>
        <w:tc>
          <w:tcPr>
            <w:tcW w:w="2375" w:type="dxa"/>
            <w:tcBorders>
              <w:top w:val="nil"/>
              <w:left w:val="nil"/>
              <w:bottom w:val="nil"/>
              <w:right w:val="nil"/>
              <w:insideH w:val="nil"/>
              <w:insideV w:val="nil"/>
            </w:tcBorders>
            <w:vAlign w:val="center"/>
          </w:tcPr>
          <w:p w14:paraId="0DC92730">
            <w:pPr>
              <w:spacing w:before="0" w:after="10" w:line="240" w:lineRule="auto"/>
              <w:jc w:val="center"/>
            </w:pPr>
            <w:r>
              <w:rPr>
                <w:sz w:val="14"/>
              </w:rPr>
              <w:t>—</w:t>
            </w:r>
          </w:p>
        </w:tc>
      </w:tr>
      <w:tr w14:paraId="319F2696">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4A5D2AD">
            <w:pPr>
              <w:spacing w:before="0" w:after="10" w:line="240" w:lineRule="auto"/>
              <w:jc w:val="left"/>
            </w:pPr>
            <w:r>
              <w:rPr>
                <w:sz w:val="14"/>
              </w:rPr>
              <w:t>Low (13.7–21.6 kg/m²)</w:t>
            </w:r>
          </w:p>
        </w:tc>
        <w:tc>
          <w:tcPr>
            <w:tcW w:w="2375" w:type="dxa"/>
            <w:tcBorders>
              <w:top w:val="nil"/>
              <w:left w:val="nil"/>
              <w:bottom w:val="nil"/>
              <w:right w:val="nil"/>
              <w:insideH w:val="nil"/>
              <w:insideV w:val="nil"/>
            </w:tcBorders>
            <w:vAlign w:val="center"/>
          </w:tcPr>
          <w:p w14:paraId="1C739F04">
            <w:pPr>
              <w:spacing w:before="0" w:after="10" w:line="240" w:lineRule="auto"/>
              <w:jc w:val="center"/>
            </w:pPr>
            <w:r>
              <w:rPr>
                <w:sz w:val="14"/>
              </w:rPr>
              <w:t>2616</w:t>
            </w:r>
          </w:p>
        </w:tc>
        <w:tc>
          <w:tcPr>
            <w:tcW w:w="2375" w:type="dxa"/>
            <w:tcBorders>
              <w:top w:val="nil"/>
              <w:left w:val="nil"/>
              <w:bottom w:val="nil"/>
              <w:right w:val="nil"/>
              <w:insideH w:val="nil"/>
              <w:insideV w:val="nil"/>
            </w:tcBorders>
            <w:vAlign w:val="center"/>
          </w:tcPr>
          <w:p w14:paraId="4E32626D">
            <w:pPr>
              <w:spacing w:before="0" w:after="10" w:line="240" w:lineRule="auto"/>
              <w:jc w:val="center"/>
            </w:pPr>
            <w:r>
              <w:rPr>
                <w:sz w:val="14"/>
              </w:rPr>
              <w:t>139</w:t>
            </w:r>
          </w:p>
        </w:tc>
        <w:tc>
          <w:tcPr>
            <w:tcW w:w="2375" w:type="dxa"/>
            <w:tcBorders>
              <w:top w:val="nil"/>
              <w:left w:val="nil"/>
              <w:bottom w:val="nil"/>
              <w:right w:val="nil"/>
              <w:insideH w:val="nil"/>
              <w:insideV w:val="nil"/>
            </w:tcBorders>
            <w:vAlign w:val="center"/>
          </w:tcPr>
          <w:p w14:paraId="2701B15D">
            <w:pPr>
              <w:spacing w:before="0" w:after="10" w:line="240" w:lineRule="auto"/>
              <w:jc w:val="center"/>
            </w:pPr>
            <w:r>
              <w:rPr>
                <w:sz w:val="14"/>
              </w:rPr>
              <w:t>0.875 (0.710–1.080)</w:t>
            </w:r>
          </w:p>
        </w:tc>
        <w:tc>
          <w:tcPr>
            <w:tcW w:w="2375" w:type="dxa"/>
            <w:tcBorders>
              <w:top w:val="nil"/>
              <w:left w:val="nil"/>
              <w:bottom w:val="nil"/>
              <w:right w:val="nil"/>
              <w:insideH w:val="nil"/>
              <w:insideV w:val="nil"/>
            </w:tcBorders>
            <w:vAlign w:val="center"/>
          </w:tcPr>
          <w:p w14:paraId="4C238BC5">
            <w:pPr>
              <w:spacing w:before="0" w:after="10" w:line="240" w:lineRule="auto"/>
              <w:jc w:val="center"/>
            </w:pPr>
            <w:r>
              <w:rPr>
                <w:sz w:val="14"/>
              </w:rPr>
              <w:t>0.214</w:t>
            </w:r>
          </w:p>
        </w:tc>
        <w:tc>
          <w:tcPr>
            <w:tcW w:w="2375" w:type="dxa"/>
            <w:tcBorders>
              <w:top w:val="nil"/>
              <w:left w:val="nil"/>
              <w:bottom w:val="nil"/>
              <w:right w:val="nil"/>
              <w:insideH w:val="nil"/>
              <w:insideV w:val="nil"/>
            </w:tcBorders>
            <w:vAlign w:val="center"/>
          </w:tcPr>
          <w:p w14:paraId="735455E5">
            <w:pPr>
              <w:spacing w:before="0" w:after="10" w:line="240" w:lineRule="auto"/>
              <w:jc w:val="center"/>
            </w:pPr>
          </w:p>
        </w:tc>
      </w:tr>
      <w:tr w14:paraId="79B4BDF9">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11DD04E6">
            <w:pPr>
              <w:spacing w:before="0" w:after="10" w:line="240" w:lineRule="auto"/>
              <w:jc w:val="left"/>
            </w:pPr>
            <w:r>
              <w:rPr>
                <w:sz w:val="14"/>
              </w:rPr>
              <w:t>Middle (&gt;21.6–24.6 kg/m²)</w:t>
            </w:r>
          </w:p>
        </w:tc>
        <w:tc>
          <w:tcPr>
            <w:tcW w:w="2375" w:type="dxa"/>
            <w:tcBorders>
              <w:top w:val="nil"/>
              <w:left w:val="nil"/>
              <w:bottom w:val="nil"/>
              <w:right w:val="nil"/>
              <w:insideH w:val="nil"/>
              <w:insideV w:val="nil"/>
            </w:tcBorders>
            <w:vAlign w:val="center"/>
          </w:tcPr>
          <w:p w14:paraId="05D80D3F">
            <w:pPr>
              <w:spacing w:before="0" w:after="10" w:line="240" w:lineRule="auto"/>
              <w:jc w:val="center"/>
            </w:pPr>
            <w:r>
              <w:rPr>
                <w:sz w:val="14"/>
              </w:rPr>
              <w:t>2617</w:t>
            </w:r>
          </w:p>
        </w:tc>
        <w:tc>
          <w:tcPr>
            <w:tcW w:w="2375" w:type="dxa"/>
            <w:tcBorders>
              <w:top w:val="nil"/>
              <w:left w:val="nil"/>
              <w:bottom w:val="nil"/>
              <w:right w:val="nil"/>
              <w:insideH w:val="nil"/>
              <w:insideV w:val="nil"/>
            </w:tcBorders>
            <w:vAlign w:val="center"/>
          </w:tcPr>
          <w:p w14:paraId="3D7C8246">
            <w:pPr>
              <w:spacing w:before="0" w:after="10" w:line="240" w:lineRule="auto"/>
              <w:jc w:val="center"/>
            </w:pPr>
            <w:r>
              <w:rPr>
                <w:sz w:val="14"/>
              </w:rPr>
              <w:t>223</w:t>
            </w:r>
          </w:p>
        </w:tc>
        <w:tc>
          <w:tcPr>
            <w:tcW w:w="2375" w:type="dxa"/>
            <w:tcBorders>
              <w:top w:val="nil"/>
              <w:left w:val="nil"/>
              <w:bottom w:val="nil"/>
              <w:right w:val="nil"/>
              <w:insideH w:val="nil"/>
              <w:insideV w:val="nil"/>
            </w:tcBorders>
            <w:vAlign w:val="center"/>
          </w:tcPr>
          <w:p w14:paraId="59CE096D">
            <w:pPr>
              <w:spacing w:before="0" w:after="10" w:line="240" w:lineRule="auto"/>
              <w:jc w:val="center"/>
            </w:pPr>
            <w:r>
              <w:rPr>
                <w:sz w:val="14"/>
              </w:rPr>
              <w:t>0.815 (0.689–0.965)</w:t>
            </w:r>
          </w:p>
        </w:tc>
        <w:tc>
          <w:tcPr>
            <w:tcW w:w="2375" w:type="dxa"/>
            <w:tcBorders>
              <w:top w:val="nil"/>
              <w:left w:val="nil"/>
              <w:bottom w:val="nil"/>
              <w:right w:val="nil"/>
              <w:insideH w:val="nil"/>
              <w:insideV w:val="nil"/>
            </w:tcBorders>
            <w:vAlign w:val="center"/>
          </w:tcPr>
          <w:p w14:paraId="76668FE4">
            <w:pPr>
              <w:spacing w:before="0" w:after="10" w:line="240" w:lineRule="auto"/>
              <w:jc w:val="center"/>
            </w:pPr>
            <w:r>
              <w:rPr>
                <w:sz w:val="14"/>
              </w:rPr>
              <w:t>0.017</w:t>
            </w:r>
          </w:p>
        </w:tc>
        <w:tc>
          <w:tcPr>
            <w:tcW w:w="2375" w:type="dxa"/>
            <w:tcBorders>
              <w:top w:val="nil"/>
              <w:left w:val="nil"/>
              <w:bottom w:val="nil"/>
              <w:right w:val="nil"/>
              <w:insideH w:val="nil"/>
              <w:insideV w:val="nil"/>
            </w:tcBorders>
            <w:vAlign w:val="center"/>
          </w:tcPr>
          <w:p w14:paraId="098EA134">
            <w:pPr>
              <w:spacing w:before="0" w:after="10" w:line="240" w:lineRule="auto"/>
              <w:jc w:val="center"/>
            </w:pPr>
          </w:p>
        </w:tc>
      </w:tr>
      <w:tr w14:paraId="31613185">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21A82DDB">
            <w:pPr>
              <w:spacing w:before="0" w:after="10" w:line="240" w:lineRule="auto"/>
              <w:jc w:val="left"/>
            </w:pPr>
            <w:r>
              <w:rPr>
                <w:sz w:val="14"/>
              </w:rPr>
              <w:t>High (&gt;24.6–42.7 kg/m²)</w:t>
            </w:r>
          </w:p>
        </w:tc>
        <w:tc>
          <w:tcPr>
            <w:tcW w:w="2375" w:type="dxa"/>
            <w:tcBorders>
              <w:top w:val="nil"/>
              <w:left w:val="nil"/>
              <w:bottom w:val="nil"/>
              <w:right w:val="nil"/>
              <w:insideH w:val="nil"/>
              <w:insideV w:val="nil"/>
            </w:tcBorders>
            <w:vAlign w:val="center"/>
          </w:tcPr>
          <w:p w14:paraId="6A13A08D">
            <w:pPr>
              <w:spacing w:before="0" w:after="10" w:line="240" w:lineRule="auto"/>
              <w:jc w:val="center"/>
            </w:pPr>
            <w:r>
              <w:rPr>
                <w:sz w:val="14"/>
              </w:rPr>
              <w:t>2613</w:t>
            </w:r>
          </w:p>
        </w:tc>
        <w:tc>
          <w:tcPr>
            <w:tcW w:w="2375" w:type="dxa"/>
            <w:tcBorders>
              <w:top w:val="nil"/>
              <w:left w:val="nil"/>
              <w:bottom w:val="nil"/>
              <w:right w:val="nil"/>
              <w:insideH w:val="nil"/>
              <w:insideV w:val="nil"/>
            </w:tcBorders>
            <w:vAlign w:val="center"/>
          </w:tcPr>
          <w:p w14:paraId="3B87C39E">
            <w:pPr>
              <w:spacing w:before="0" w:after="10" w:line="240" w:lineRule="auto"/>
              <w:jc w:val="center"/>
            </w:pPr>
            <w:r>
              <w:rPr>
                <w:sz w:val="14"/>
              </w:rPr>
              <w:t>428</w:t>
            </w:r>
          </w:p>
        </w:tc>
        <w:tc>
          <w:tcPr>
            <w:tcW w:w="2375" w:type="dxa"/>
            <w:tcBorders>
              <w:top w:val="nil"/>
              <w:left w:val="nil"/>
              <w:bottom w:val="nil"/>
              <w:right w:val="nil"/>
              <w:insideH w:val="nil"/>
              <w:insideV w:val="nil"/>
            </w:tcBorders>
            <w:vAlign w:val="center"/>
          </w:tcPr>
          <w:p w14:paraId="7045A263">
            <w:pPr>
              <w:spacing w:before="0" w:after="10" w:line="240" w:lineRule="auto"/>
              <w:jc w:val="center"/>
            </w:pPr>
            <w:r>
              <w:rPr>
                <w:sz w:val="14"/>
              </w:rPr>
              <w:t>0.966 (0.856–1.089)</w:t>
            </w:r>
          </w:p>
        </w:tc>
        <w:tc>
          <w:tcPr>
            <w:tcW w:w="2375" w:type="dxa"/>
            <w:tcBorders>
              <w:top w:val="nil"/>
              <w:left w:val="nil"/>
              <w:bottom w:val="nil"/>
              <w:right w:val="nil"/>
              <w:insideH w:val="nil"/>
              <w:insideV w:val="nil"/>
            </w:tcBorders>
            <w:vAlign w:val="center"/>
          </w:tcPr>
          <w:p w14:paraId="67CBD21B">
            <w:pPr>
              <w:spacing w:before="0" w:after="10" w:line="240" w:lineRule="auto"/>
              <w:jc w:val="center"/>
            </w:pPr>
            <w:r>
              <w:rPr>
                <w:sz w:val="14"/>
              </w:rPr>
              <w:t>0.568</w:t>
            </w:r>
          </w:p>
        </w:tc>
        <w:tc>
          <w:tcPr>
            <w:tcW w:w="2375" w:type="dxa"/>
            <w:tcBorders>
              <w:top w:val="nil"/>
              <w:left w:val="nil"/>
              <w:bottom w:val="nil"/>
              <w:right w:val="nil"/>
              <w:insideH w:val="nil"/>
              <w:insideV w:val="nil"/>
            </w:tcBorders>
            <w:vAlign w:val="center"/>
          </w:tcPr>
          <w:p w14:paraId="103C2EEA">
            <w:pPr>
              <w:spacing w:before="0" w:after="10" w:line="240" w:lineRule="auto"/>
              <w:jc w:val="center"/>
            </w:pPr>
          </w:p>
        </w:tc>
      </w:tr>
      <w:tr w14:paraId="5361B80F">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4B579AC5">
            <w:pPr>
              <w:spacing w:before="0" w:after="10" w:line="240" w:lineRule="auto"/>
              <w:jc w:val="left"/>
            </w:pPr>
            <w:r>
              <w:rPr>
                <w:b/>
                <w:sz w:val="14"/>
              </w:rPr>
              <w:t>Urban/rural residence</w:t>
            </w:r>
          </w:p>
        </w:tc>
        <w:tc>
          <w:tcPr>
            <w:tcW w:w="2375" w:type="dxa"/>
            <w:tcBorders>
              <w:top w:val="nil"/>
              <w:left w:val="nil"/>
              <w:bottom w:val="nil"/>
              <w:right w:val="nil"/>
              <w:insideH w:val="nil"/>
              <w:insideV w:val="nil"/>
            </w:tcBorders>
            <w:vAlign w:val="center"/>
          </w:tcPr>
          <w:p w14:paraId="49113778">
            <w:pPr>
              <w:spacing w:before="0" w:after="10" w:line="240" w:lineRule="auto"/>
              <w:jc w:val="center"/>
            </w:pPr>
          </w:p>
        </w:tc>
        <w:tc>
          <w:tcPr>
            <w:tcW w:w="2375" w:type="dxa"/>
            <w:tcBorders>
              <w:top w:val="nil"/>
              <w:left w:val="nil"/>
              <w:bottom w:val="nil"/>
              <w:right w:val="nil"/>
              <w:insideH w:val="nil"/>
              <w:insideV w:val="nil"/>
            </w:tcBorders>
            <w:vAlign w:val="center"/>
          </w:tcPr>
          <w:p w14:paraId="19B33C60">
            <w:pPr>
              <w:spacing w:before="0" w:after="10" w:line="240" w:lineRule="auto"/>
              <w:jc w:val="center"/>
            </w:pPr>
          </w:p>
        </w:tc>
        <w:tc>
          <w:tcPr>
            <w:tcW w:w="2375" w:type="dxa"/>
            <w:tcBorders>
              <w:top w:val="nil"/>
              <w:left w:val="nil"/>
              <w:bottom w:val="nil"/>
              <w:right w:val="nil"/>
              <w:insideH w:val="nil"/>
              <w:insideV w:val="nil"/>
            </w:tcBorders>
            <w:vAlign w:val="center"/>
          </w:tcPr>
          <w:p w14:paraId="13134619">
            <w:pPr>
              <w:spacing w:before="0" w:after="10" w:line="240" w:lineRule="auto"/>
              <w:jc w:val="center"/>
            </w:pPr>
          </w:p>
        </w:tc>
        <w:tc>
          <w:tcPr>
            <w:tcW w:w="2375" w:type="dxa"/>
            <w:tcBorders>
              <w:top w:val="nil"/>
              <w:left w:val="nil"/>
              <w:bottom w:val="nil"/>
              <w:right w:val="nil"/>
              <w:insideH w:val="nil"/>
              <w:insideV w:val="nil"/>
            </w:tcBorders>
            <w:vAlign w:val="center"/>
          </w:tcPr>
          <w:p w14:paraId="2DCC7C46">
            <w:pPr>
              <w:spacing w:before="0" w:after="10" w:line="240" w:lineRule="auto"/>
              <w:jc w:val="center"/>
            </w:pPr>
          </w:p>
        </w:tc>
        <w:tc>
          <w:tcPr>
            <w:tcW w:w="2375" w:type="dxa"/>
            <w:tcBorders>
              <w:top w:val="nil"/>
              <w:left w:val="nil"/>
              <w:bottom w:val="nil"/>
              <w:right w:val="nil"/>
              <w:insideH w:val="nil"/>
              <w:insideV w:val="nil"/>
            </w:tcBorders>
            <w:vAlign w:val="center"/>
          </w:tcPr>
          <w:p w14:paraId="12B3F25D">
            <w:pPr>
              <w:spacing w:before="0" w:after="10" w:line="240" w:lineRule="auto"/>
              <w:jc w:val="center"/>
            </w:pPr>
            <w:r>
              <w:rPr>
                <w:sz w:val="14"/>
              </w:rPr>
              <w:t>0.368</w:t>
            </w:r>
          </w:p>
        </w:tc>
      </w:tr>
      <w:tr w14:paraId="72F903BA">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3E733481">
            <w:pPr>
              <w:spacing w:before="0" w:after="10" w:line="240" w:lineRule="auto"/>
              <w:jc w:val="left"/>
            </w:pPr>
            <w:r>
              <w:rPr>
                <w:sz w:val="14"/>
              </w:rPr>
              <w:t>Rural</w:t>
            </w:r>
          </w:p>
        </w:tc>
        <w:tc>
          <w:tcPr>
            <w:tcW w:w="2375" w:type="dxa"/>
            <w:tcBorders>
              <w:top w:val="nil"/>
              <w:left w:val="nil"/>
              <w:bottom w:val="nil"/>
              <w:right w:val="nil"/>
              <w:insideH w:val="nil"/>
              <w:insideV w:val="nil"/>
            </w:tcBorders>
            <w:vAlign w:val="center"/>
          </w:tcPr>
          <w:p w14:paraId="18435484">
            <w:pPr>
              <w:spacing w:before="0" w:after="10" w:line="240" w:lineRule="auto"/>
              <w:jc w:val="center"/>
            </w:pPr>
            <w:r>
              <w:rPr>
                <w:sz w:val="14"/>
              </w:rPr>
              <w:t>5463</w:t>
            </w:r>
          </w:p>
        </w:tc>
        <w:tc>
          <w:tcPr>
            <w:tcW w:w="2375" w:type="dxa"/>
            <w:tcBorders>
              <w:top w:val="nil"/>
              <w:left w:val="nil"/>
              <w:bottom w:val="nil"/>
              <w:right w:val="nil"/>
              <w:insideH w:val="nil"/>
              <w:insideV w:val="nil"/>
            </w:tcBorders>
            <w:vAlign w:val="center"/>
          </w:tcPr>
          <w:p w14:paraId="2ED2BB20">
            <w:pPr>
              <w:spacing w:before="0" w:after="10" w:line="240" w:lineRule="auto"/>
              <w:jc w:val="center"/>
            </w:pPr>
            <w:r>
              <w:rPr>
                <w:sz w:val="14"/>
              </w:rPr>
              <w:t>461</w:t>
            </w:r>
          </w:p>
        </w:tc>
        <w:tc>
          <w:tcPr>
            <w:tcW w:w="2375" w:type="dxa"/>
            <w:tcBorders>
              <w:top w:val="nil"/>
              <w:left w:val="nil"/>
              <w:bottom w:val="nil"/>
              <w:right w:val="nil"/>
              <w:insideH w:val="nil"/>
              <w:insideV w:val="nil"/>
            </w:tcBorders>
            <w:vAlign w:val="center"/>
          </w:tcPr>
          <w:p w14:paraId="6728EC0F">
            <w:pPr>
              <w:spacing w:before="0" w:after="10" w:line="240" w:lineRule="auto"/>
              <w:jc w:val="center"/>
            </w:pPr>
            <w:r>
              <w:rPr>
                <w:sz w:val="14"/>
              </w:rPr>
              <w:t>0.935 (0.833–1.049)</w:t>
            </w:r>
          </w:p>
        </w:tc>
        <w:tc>
          <w:tcPr>
            <w:tcW w:w="2375" w:type="dxa"/>
            <w:tcBorders>
              <w:top w:val="nil"/>
              <w:left w:val="nil"/>
              <w:bottom w:val="nil"/>
              <w:right w:val="nil"/>
              <w:insideH w:val="nil"/>
              <w:insideV w:val="nil"/>
            </w:tcBorders>
            <w:vAlign w:val="center"/>
          </w:tcPr>
          <w:p w14:paraId="466B741D">
            <w:pPr>
              <w:spacing w:before="0" w:after="10" w:line="240" w:lineRule="auto"/>
              <w:jc w:val="center"/>
            </w:pPr>
            <w:r>
              <w:rPr>
                <w:sz w:val="14"/>
              </w:rPr>
              <w:t>0.250</w:t>
            </w:r>
          </w:p>
        </w:tc>
        <w:tc>
          <w:tcPr>
            <w:tcW w:w="2375" w:type="dxa"/>
            <w:tcBorders>
              <w:top w:val="nil"/>
              <w:left w:val="nil"/>
              <w:bottom w:val="nil"/>
              <w:right w:val="nil"/>
              <w:insideH w:val="nil"/>
              <w:insideV w:val="nil"/>
            </w:tcBorders>
            <w:vAlign w:val="center"/>
          </w:tcPr>
          <w:p w14:paraId="30BFED71">
            <w:pPr>
              <w:spacing w:before="0" w:after="10" w:line="240" w:lineRule="auto"/>
              <w:jc w:val="center"/>
            </w:pPr>
          </w:p>
        </w:tc>
      </w:tr>
      <w:tr w14:paraId="0261F9CA">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5CC19053">
            <w:pPr>
              <w:spacing w:before="0" w:after="10" w:line="240" w:lineRule="auto"/>
              <w:jc w:val="left"/>
            </w:pPr>
            <w:r>
              <w:rPr>
                <w:sz w:val="14"/>
              </w:rPr>
              <w:t>Urban</w:t>
            </w:r>
          </w:p>
        </w:tc>
        <w:tc>
          <w:tcPr>
            <w:tcW w:w="2375" w:type="dxa"/>
            <w:tcBorders>
              <w:top w:val="nil"/>
              <w:left w:val="nil"/>
              <w:bottom w:val="nil"/>
              <w:right w:val="nil"/>
              <w:insideH w:val="nil"/>
              <w:insideV w:val="nil"/>
            </w:tcBorders>
            <w:vAlign w:val="center"/>
          </w:tcPr>
          <w:p w14:paraId="5876F707">
            <w:pPr>
              <w:spacing w:before="0" w:after="10" w:line="240" w:lineRule="auto"/>
              <w:jc w:val="center"/>
            </w:pPr>
            <w:r>
              <w:rPr>
                <w:sz w:val="14"/>
              </w:rPr>
              <w:t>2383</w:t>
            </w:r>
          </w:p>
        </w:tc>
        <w:tc>
          <w:tcPr>
            <w:tcW w:w="2375" w:type="dxa"/>
            <w:tcBorders>
              <w:top w:val="nil"/>
              <w:left w:val="nil"/>
              <w:bottom w:val="nil"/>
              <w:right w:val="nil"/>
              <w:insideH w:val="nil"/>
              <w:insideV w:val="nil"/>
            </w:tcBorders>
            <w:vAlign w:val="center"/>
          </w:tcPr>
          <w:p w14:paraId="753E9B62">
            <w:pPr>
              <w:spacing w:before="0" w:after="10" w:line="240" w:lineRule="auto"/>
              <w:jc w:val="center"/>
            </w:pPr>
            <w:r>
              <w:rPr>
                <w:sz w:val="14"/>
              </w:rPr>
              <w:t>329</w:t>
            </w:r>
          </w:p>
        </w:tc>
        <w:tc>
          <w:tcPr>
            <w:tcW w:w="2375" w:type="dxa"/>
            <w:tcBorders>
              <w:top w:val="nil"/>
              <w:left w:val="nil"/>
              <w:bottom w:val="nil"/>
              <w:right w:val="nil"/>
              <w:insideH w:val="nil"/>
              <w:insideV w:val="nil"/>
            </w:tcBorders>
            <w:vAlign w:val="center"/>
          </w:tcPr>
          <w:p w14:paraId="74E2FD9F">
            <w:pPr>
              <w:spacing w:before="0" w:after="10" w:line="240" w:lineRule="auto"/>
              <w:jc w:val="center"/>
            </w:pPr>
            <w:r>
              <w:rPr>
                <w:sz w:val="14"/>
              </w:rPr>
              <w:t>0.836 (0.711–0.984)</w:t>
            </w:r>
          </w:p>
        </w:tc>
        <w:tc>
          <w:tcPr>
            <w:tcW w:w="2375" w:type="dxa"/>
            <w:tcBorders>
              <w:top w:val="nil"/>
              <w:left w:val="nil"/>
              <w:bottom w:val="nil"/>
              <w:right w:val="nil"/>
              <w:insideH w:val="nil"/>
              <w:insideV w:val="nil"/>
            </w:tcBorders>
            <w:vAlign w:val="center"/>
          </w:tcPr>
          <w:p w14:paraId="566ADE0A">
            <w:pPr>
              <w:spacing w:before="0" w:after="10" w:line="240" w:lineRule="auto"/>
              <w:jc w:val="center"/>
            </w:pPr>
            <w:r>
              <w:rPr>
                <w:sz w:val="14"/>
              </w:rPr>
              <w:t>0.031</w:t>
            </w:r>
          </w:p>
        </w:tc>
        <w:tc>
          <w:tcPr>
            <w:tcW w:w="2375" w:type="dxa"/>
            <w:tcBorders>
              <w:top w:val="nil"/>
              <w:left w:val="nil"/>
              <w:bottom w:val="nil"/>
              <w:right w:val="nil"/>
              <w:insideH w:val="nil"/>
              <w:insideV w:val="nil"/>
            </w:tcBorders>
            <w:vAlign w:val="center"/>
          </w:tcPr>
          <w:p w14:paraId="52C0BEF8">
            <w:pPr>
              <w:spacing w:before="0" w:after="10" w:line="240" w:lineRule="auto"/>
              <w:jc w:val="center"/>
            </w:pPr>
          </w:p>
        </w:tc>
      </w:tr>
      <w:tr w14:paraId="29E3EFDD">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11633AB4">
            <w:pPr>
              <w:spacing w:before="0" w:after="10" w:line="240" w:lineRule="auto"/>
              <w:jc w:val="left"/>
            </w:pPr>
            <w:r>
              <w:rPr>
                <w:b/>
                <w:sz w:val="14"/>
              </w:rPr>
              <w:t>Smoking status</w:t>
            </w:r>
          </w:p>
        </w:tc>
        <w:tc>
          <w:tcPr>
            <w:tcW w:w="2375" w:type="dxa"/>
            <w:tcBorders>
              <w:top w:val="nil"/>
              <w:left w:val="nil"/>
              <w:bottom w:val="nil"/>
              <w:right w:val="nil"/>
              <w:insideH w:val="nil"/>
              <w:insideV w:val="nil"/>
            </w:tcBorders>
            <w:vAlign w:val="center"/>
          </w:tcPr>
          <w:p w14:paraId="05BFC39C">
            <w:pPr>
              <w:spacing w:before="0" w:after="10" w:line="240" w:lineRule="auto"/>
              <w:jc w:val="center"/>
            </w:pPr>
          </w:p>
        </w:tc>
        <w:tc>
          <w:tcPr>
            <w:tcW w:w="2375" w:type="dxa"/>
            <w:tcBorders>
              <w:top w:val="nil"/>
              <w:left w:val="nil"/>
              <w:bottom w:val="nil"/>
              <w:right w:val="nil"/>
              <w:insideH w:val="nil"/>
              <w:insideV w:val="nil"/>
            </w:tcBorders>
            <w:vAlign w:val="center"/>
          </w:tcPr>
          <w:p w14:paraId="7D0B880C">
            <w:pPr>
              <w:spacing w:before="0" w:after="10" w:line="240" w:lineRule="auto"/>
              <w:jc w:val="center"/>
            </w:pPr>
          </w:p>
        </w:tc>
        <w:tc>
          <w:tcPr>
            <w:tcW w:w="2375" w:type="dxa"/>
            <w:tcBorders>
              <w:top w:val="nil"/>
              <w:left w:val="nil"/>
              <w:bottom w:val="nil"/>
              <w:right w:val="nil"/>
              <w:insideH w:val="nil"/>
              <w:insideV w:val="nil"/>
            </w:tcBorders>
            <w:vAlign w:val="center"/>
          </w:tcPr>
          <w:p w14:paraId="77E690D2">
            <w:pPr>
              <w:spacing w:before="0" w:after="10" w:line="240" w:lineRule="auto"/>
              <w:jc w:val="center"/>
            </w:pPr>
          </w:p>
        </w:tc>
        <w:tc>
          <w:tcPr>
            <w:tcW w:w="2375" w:type="dxa"/>
            <w:tcBorders>
              <w:top w:val="nil"/>
              <w:left w:val="nil"/>
              <w:bottom w:val="nil"/>
              <w:right w:val="nil"/>
              <w:insideH w:val="nil"/>
              <w:insideV w:val="nil"/>
            </w:tcBorders>
            <w:vAlign w:val="center"/>
          </w:tcPr>
          <w:p w14:paraId="644FC414">
            <w:pPr>
              <w:spacing w:before="0" w:after="10" w:line="240" w:lineRule="auto"/>
              <w:jc w:val="center"/>
            </w:pPr>
          </w:p>
        </w:tc>
        <w:tc>
          <w:tcPr>
            <w:tcW w:w="2375" w:type="dxa"/>
            <w:tcBorders>
              <w:top w:val="nil"/>
              <w:left w:val="nil"/>
              <w:bottom w:val="nil"/>
              <w:right w:val="nil"/>
              <w:insideH w:val="nil"/>
              <w:insideV w:val="nil"/>
            </w:tcBorders>
            <w:vAlign w:val="center"/>
          </w:tcPr>
          <w:p w14:paraId="1E2EE1A2">
            <w:pPr>
              <w:spacing w:before="0" w:after="10" w:line="240" w:lineRule="auto"/>
              <w:jc w:val="center"/>
            </w:pPr>
            <w:r>
              <w:rPr>
                <w:sz w:val="14"/>
              </w:rPr>
              <w:t>0.869</w:t>
            </w:r>
          </w:p>
        </w:tc>
      </w:tr>
      <w:tr w14:paraId="45078161">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0B5160F7">
            <w:pPr>
              <w:spacing w:before="0" w:after="10" w:line="240" w:lineRule="auto"/>
              <w:jc w:val="left"/>
            </w:pPr>
            <w:r>
              <w:rPr>
                <w:sz w:val="14"/>
              </w:rPr>
              <w:t>Non-smoker</w:t>
            </w:r>
          </w:p>
        </w:tc>
        <w:tc>
          <w:tcPr>
            <w:tcW w:w="2375" w:type="dxa"/>
            <w:tcBorders>
              <w:top w:val="nil"/>
              <w:left w:val="nil"/>
              <w:bottom w:val="nil"/>
              <w:right w:val="nil"/>
              <w:insideH w:val="nil"/>
              <w:insideV w:val="nil"/>
            </w:tcBorders>
            <w:vAlign w:val="center"/>
          </w:tcPr>
          <w:p w14:paraId="6331B4F2">
            <w:pPr>
              <w:spacing w:before="0" w:after="10" w:line="240" w:lineRule="auto"/>
              <w:jc w:val="center"/>
            </w:pPr>
            <w:r>
              <w:rPr>
                <w:sz w:val="14"/>
              </w:rPr>
              <w:t>5437</w:t>
            </w:r>
          </w:p>
        </w:tc>
        <w:tc>
          <w:tcPr>
            <w:tcW w:w="2375" w:type="dxa"/>
            <w:tcBorders>
              <w:top w:val="nil"/>
              <w:left w:val="nil"/>
              <w:bottom w:val="nil"/>
              <w:right w:val="nil"/>
              <w:insideH w:val="nil"/>
              <w:insideV w:val="nil"/>
            </w:tcBorders>
            <w:vAlign w:val="center"/>
          </w:tcPr>
          <w:p w14:paraId="0DA0C714">
            <w:pPr>
              <w:spacing w:before="0" w:after="10" w:line="240" w:lineRule="auto"/>
              <w:jc w:val="center"/>
            </w:pPr>
            <w:r>
              <w:rPr>
                <w:sz w:val="14"/>
              </w:rPr>
              <w:t>536</w:t>
            </w:r>
          </w:p>
        </w:tc>
        <w:tc>
          <w:tcPr>
            <w:tcW w:w="2375" w:type="dxa"/>
            <w:tcBorders>
              <w:top w:val="nil"/>
              <w:left w:val="nil"/>
              <w:bottom w:val="nil"/>
              <w:right w:val="nil"/>
              <w:insideH w:val="nil"/>
              <w:insideV w:val="nil"/>
            </w:tcBorders>
            <w:vAlign w:val="center"/>
          </w:tcPr>
          <w:p w14:paraId="1BD695AD">
            <w:pPr>
              <w:spacing w:before="0" w:after="10" w:line="240" w:lineRule="auto"/>
              <w:jc w:val="center"/>
            </w:pPr>
            <w:r>
              <w:rPr>
                <w:sz w:val="14"/>
              </w:rPr>
              <w:t>0.893 (0.797–1.000)</w:t>
            </w:r>
          </w:p>
        </w:tc>
        <w:tc>
          <w:tcPr>
            <w:tcW w:w="2375" w:type="dxa"/>
            <w:tcBorders>
              <w:top w:val="nil"/>
              <w:left w:val="nil"/>
              <w:bottom w:val="nil"/>
              <w:right w:val="nil"/>
              <w:insideH w:val="nil"/>
              <w:insideV w:val="nil"/>
            </w:tcBorders>
            <w:vAlign w:val="center"/>
          </w:tcPr>
          <w:p w14:paraId="76042CAA">
            <w:pPr>
              <w:spacing w:before="0" w:after="10" w:line="240" w:lineRule="auto"/>
              <w:jc w:val="center"/>
            </w:pPr>
            <w:r>
              <w:rPr>
                <w:sz w:val="14"/>
              </w:rPr>
              <w:t>0.051</w:t>
            </w:r>
          </w:p>
        </w:tc>
        <w:tc>
          <w:tcPr>
            <w:tcW w:w="2375" w:type="dxa"/>
            <w:tcBorders>
              <w:top w:val="nil"/>
              <w:left w:val="nil"/>
              <w:bottom w:val="nil"/>
              <w:right w:val="nil"/>
              <w:insideH w:val="nil"/>
              <w:insideV w:val="nil"/>
            </w:tcBorders>
            <w:vAlign w:val="center"/>
          </w:tcPr>
          <w:p w14:paraId="7974A2BB">
            <w:pPr>
              <w:spacing w:before="0" w:after="10" w:line="240" w:lineRule="auto"/>
              <w:jc w:val="center"/>
            </w:pPr>
          </w:p>
        </w:tc>
      </w:tr>
      <w:tr w14:paraId="09D5AFCC">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34A3DB31">
            <w:pPr>
              <w:spacing w:before="0" w:after="10" w:line="240" w:lineRule="auto"/>
              <w:jc w:val="left"/>
            </w:pPr>
            <w:r>
              <w:rPr>
                <w:sz w:val="14"/>
              </w:rPr>
              <w:t>Current smoker</w:t>
            </w:r>
          </w:p>
        </w:tc>
        <w:tc>
          <w:tcPr>
            <w:tcW w:w="2375" w:type="dxa"/>
            <w:tcBorders>
              <w:top w:val="nil"/>
              <w:left w:val="nil"/>
              <w:bottom w:val="nil"/>
              <w:right w:val="nil"/>
              <w:insideH w:val="nil"/>
              <w:insideV w:val="nil"/>
            </w:tcBorders>
            <w:vAlign w:val="center"/>
          </w:tcPr>
          <w:p w14:paraId="5B61D94A">
            <w:pPr>
              <w:spacing w:before="0" w:after="10" w:line="240" w:lineRule="auto"/>
              <w:jc w:val="center"/>
            </w:pPr>
            <w:r>
              <w:rPr>
                <w:sz w:val="14"/>
              </w:rPr>
              <w:t>2409</w:t>
            </w:r>
          </w:p>
        </w:tc>
        <w:tc>
          <w:tcPr>
            <w:tcW w:w="2375" w:type="dxa"/>
            <w:tcBorders>
              <w:top w:val="nil"/>
              <w:left w:val="nil"/>
              <w:bottom w:val="nil"/>
              <w:right w:val="nil"/>
              <w:insideH w:val="nil"/>
              <w:insideV w:val="nil"/>
            </w:tcBorders>
            <w:vAlign w:val="center"/>
          </w:tcPr>
          <w:p w14:paraId="1D6A7ED6">
            <w:pPr>
              <w:spacing w:before="0" w:after="10" w:line="240" w:lineRule="auto"/>
              <w:jc w:val="center"/>
            </w:pPr>
            <w:r>
              <w:rPr>
                <w:sz w:val="14"/>
              </w:rPr>
              <w:t>254</w:t>
            </w:r>
          </w:p>
        </w:tc>
        <w:tc>
          <w:tcPr>
            <w:tcW w:w="2375" w:type="dxa"/>
            <w:tcBorders>
              <w:top w:val="nil"/>
              <w:left w:val="nil"/>
              <w:bottom w:val="nil"/>
              <w:right w:val="nil"/>
              <w:insideH w:val="nil"/>
              <w:insideV w:val="nil"/>
            </w:tcBorders>
            <w:vAlign w:val="center"/>
          </w:tcPr>
          <w:p w14:paraId="25E9748D">
            <w:pPr>
              <w:spacing w:before="0" w:after="10" w:line="240" w:lineRule="auto"/>
              <w:jc w:val="center"/>
            </w:pPr>
            <w:r>
              <w:rPr>
                <w:sz w:val="14"/>
              </w:rPr>
              <w:t>0.911 (0.794–1.045)</w:t>
            </w:r>
          </w:p>
        </w:tc>
        <w:tc>
          <w:tcPr>
            <w:tcW w:w="2375" w:type="dxa"/>
            <w:tcBorders>
              <w:top w:val="nil"/>
              <w:left w:val="nil"/>
              <w:bottom w:val="nil"/>
              <w:right w:val="nil"/>
              <w:insideH w:val="nil"/>
              <w:insideV w:val="nil"/>
            </w:tcBorders>
            <w:vAlign w:val="center"/>
          </w:tcPr>
          <w:p w14:paraId="039CCB32">
            <w:pPr>
              <w:spacing w:before="0" w:after="10" w:line="240" w:lineRule="auto"/>
              <w:jc w:val="center"/>
            </w:pPr>
            <w:r>
              <w:rPr>
                <w:sz w:val="14"/>
              </w:rPr>
              <w:t>0.185</w:t>
            </w:r>
          </w:p>
        </w:tc>
        <w:tc>
          <w:tcPr>
            <w:tcW w:w="2375" w:type="dxa"/>
            <w:tcBorders>
              <w:top w:val="nil"/>
              <w:left w:val="nil"/>
              <w:bottom w:val="nil"/>
              <w:right w:val="nil"/>
              <w:insideH w:val="nil"/>
              <w:insideV w:val="nil"/>
            </w:tcBorders>
            <w:vAlign w:val="center"/>
          </w:tcPr>
          <w:p w14:paraId="5CC6E9ED">
            <w:pPr>
              <w:spacing w:before="0" w:after="10" w:line="240" w:lineRule="auto"/>
              <w:jc w:val="center"/>
            </w:pPr>
          </w:p>
        </w:tc>
      </w:tr>
      <w:tr w14:paraId="654B7FB1">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7F353225">
            <w:pPr>
              <w:spacing w:before="0" w:after="10" w:line="240" w:lineRule="auto"/>
              <w:jc w:val="left"/>
            </w:pPr>
            <w:r>
              <w:rPr>
                <w:b/>
                <w:sz w:val="14"/>
              </w:rPr>
              <w:t>Alcohol consumption</w:t>
            </w:r>
          </w:p>
        </w:tc>
        <w:tc>
          <w:tcPr>
            <w:tcW w:w="2375" w:type="dxa"/>
            <w:tcBorders>
              <w:top w:val="nil"/>
              <w:left w:val="nil"/>
              <w:bottom w:val="nil"/>
              <w:right w:val="nil"/>
              <w:insideH w:val="nil"/>
              <w:insideV w:val="nil"/>
            </w:tcBorders>
            <w:vAlign w:val="center"/>
          </w:tcPr>
          <w:p w14:paraId="6B542858">
            <w:pPr>
              <w:spacing w:before="0" w:after="10" w:line="240" w:lineRule="auto"/>
              <w:jc w:val="center"/>
            </w:pPr>
          </w:p>
        </w:tc>
        <w:tc>
          <w:tcPr>
            <w:tcW w:w="2375" w:type="dxa"/>
            <w:tcBorders>
              <w:top w:val="nil"/>
              <w:left w:val="nil"/>
              <w:bottom w:val="nil"/>
              <w:right w:val="nil"/>
              <w:insideH w:val="nil"/>
              <w:insideV w:val="nil"/>
            </w:tcBorders>
            <w:vAlign w:val="center"/>
          </w:tcPr>
          <w:p w14:paraId="7F442C85">
            <w:pPr>
              <w:spacing w:before="0" w:after="10" w:line="240" w:lineRule="auto"/>
              <w:jc w:val="center"/>
            </w:pPr>
          </w:p>
        </w:tc>
        <w:tc>
          <w:tcPr>
            <w:tcW w:w="2375" w:type="dxa"/>
            <w:tcBorders>
              <w:top w:val="nil"/>
              <w:left w:val="nil"/>
              <w:bottom w:val="nil"/>
              <w:right w:val="nil"/>
              <w:insideH w:val="nil"/>
              <w:insideV w:val="nil"/>
            </w:tcBorders>
            <w:vAlign w:val="center"/>
          </w:tcPr>
          <w:p w14:paraId="71E1706F">
            <w:pPr>
              <w:spacing w:before="0" w:after="10" w:line="240" w:lineRule="auto"/>
              <w:jc w:val="center"/>
            </w:pPr>
          </w:p>
        </w:tc>
        <w:tc>
          <w:tcPr>
            <w:tcW w:w="2375" w:type="dxa"/>
            <w:tcBorders>
              <w:top w:val="nil"/>
              <w:left w:val="nil"/>
              <w:bottom w:val="nil"/>
              <w:right w:val="nil"/>
              <w:insideH w:val="nil"/>
              <w:insideV w:val="nil"/>
            </w:tcBorders>
            <w:vAlign w:val="center"/>
          </w:tcPr>
          <w:p w14:paraId="11889299">
            <w:pPr>
              <w:spacing w:before="0" w:after="10" w:line="240" w:lineRule="auto"/>
              <w:jc w:val="center"/>
            </w:pPr>
          </w:p>
        </w:tc>
        <w:tc>
          <w:tcPr>
            <w:tcW w:w="2375" w:type="dxa"/>
            <w:tcBorders>
              <w:top w:val="nil"/>
              <w:left w:val="nil"/>
              <w:bottom w:val="nil"/>
              <w:right w:val="nil"/>
              <w:insideH w:val="nil"/>
              <w:insideV w:val="nil"/>
            </w:tcBorders>
            <w:vAlign w:val="center"/>
          </w:tcPr>
          <w:p w14:paraId="4CEDE486">
            <w:pPr>
              <w:spacing w:before="0" w:after="10" w:line="240" w:lineRule="auto"/>
              <w:jc w:val="center"/>
            </w:pPr>
            <w:r>
              <w:rPr>
                <w:sz w:val="14"/>
              </w:rPr>
              <w:t>0.263</w:t>
            </w:r>
          </w:p>
        </w:tc>
      </w:tr>
      <w:tr w14:paraId="32B11AF2">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61BE01D6">
            <w:pPr>
              <w:spacing w:before="0" w:after="10" w:line="240" w:lineRule="auto"/>
              <w:jc w:val="left"/>
            </w:pPr>
            <w:r>
              <w:rPr>
                <w:sz w:val="14"/>
              </w:rPr>
              <w:t>Non-drinker</w:t>
            </w:r>
          </w:p>
        </w:tc>
        <w:tc>
          <w:tcPr>
            <w:tcW w:w="2375" w:type="dxa"/>
            <w:tcBorders>
              <w:top w:val="nil"/>
              <w:left w:val="nil"/>
              <w:bottom w:val="nil"/>
              <w:right w:val="nil"/>
              <w:insideH w:val="nil"/>
              <w:insideV w:val="nil"/>
            </w:tcBorders>
            <w:vAlign w:val="center"/>
          </w:tcPr>
          <w:p w14:paraId="3C0DFC6E">
            <w:pPr>
              <w:spacing w:before="0" w:after="10" w:line="240" w:lineRule="auto"/>
              <w:jc w:val="center"/>
            </w:pPr>
            <w:r>
              <w:rPr>
                <w:sz w:val="14"/>
              </w:rPr>
              <w:t>5109</w:t>
            </w:r>
          </w:p>
        </w:tc>
        <w:tc>
          <w:tcPr>
            <w:tcW w:w="2375" w:type="dxa"/>
            <w:tcBorders>
              <w:top w:val="nil"/>
              <w:left w:val="nil"/>
              <w:bottom w:val="nil"/>
              <w:right w:val="nil"/>
              <w:insideH w:val="nil"/>
              <w:insideV w:val="nil"/>
            </w:tcBorders>
            <w:vAlign w:val="center"/>
          </w:tcPr>
          <w:p w14:paraId="0C95FAFE">
            <w:pPr>
              <w:spacing w:before="0" w:after="10" w:line="240" w:lineRule="auto"/>
              <w:jc w:val="center"/>
            </w:pPr>
            <w:r>
              <w:rPr>
                <w:sz w:val="14"/>
              </w:rPr>
              <w:t>472</w:t>
            </w:r>
          </w:p>
        </w:tc>
        <w:tc>
          <w:tcPr>
            <w:tcW w:w="2375" w:type="dxa"/>
            <w:tcBorders>
              <w:top w:val="nil"/>
              <w:left w:val="nil"/>
              <w:bottom w:val="nil"/>
              <w:right w:val="nil"/>
              <w:insideH w:val="nil"/>
              <w:insideV w:val="nil"/>
            </w:tcBorders>
            <w:vAlign w:val="center"/>
          </w:tcPr>
          <w:p w14:paraId="609EAD13">
            <w:pPr>
              <w:spacing w:before="0" w:after="10" w:line="240" w:lineRule="auto"/>
              <w:jc w:val="center"/>
            </w:pPr>
            <w:r>
              <w:rPr>
                <w:sz w:val="14"/>
              </w:rPr>
              <w:t>0.945 (0.851–1.049)</w:t>
            </w:r>
          </w:p>
        </w:tc>
        <w:tc>
          <w:tcPr>
            <w:tcW w:w="2375" w:type="dxa"/>
            <w:tcBorders>
              <w:top w:val="nil"/>
              <w:left w:val="nil"/>
              <w:bottom w:val="nil"/>
              <w:right w:val="nil"/>
              <w:insideH w:val="nil"/>
              <w:insideV w:val="nil"/>
            </w:tcBorders>
            <w:vAlign w:val="center"/>
          </w:tcPr>
          <w:p w14:paraId="5858AEE0">
            <w:pPr>
              <w:spacing w:before="0" w:after="10" w:line="240" w:lineRule="auto"/>
              <w:jc w:val="center"/>
            </w:pPr>
            <w:r>
              <w:rPr>
                <w:sz w:val="14"/>
              </w:rPr>
              <w:t>0.289</w:t>
            </w:r>
          </w:p>
        </w:tc>
        <w:tc>
          <w:tcPr>
            <w:tcW w:w="2375" w:type="dxa"/>
            <w:tcBorders>
              <w:top w:val="nil"/>
              <w:left w:val="nil"/>
              <w:bottom w:val="nil"/>
              <w:right w:val="nil"/>
              <w:insideH w:val="nil"/>
              <w:insideV w:val="nil"/>
            </w:tcBorders>
            <w:vAlign w:val="center"/>
          </w:tcPr>
          <w:p w14:paraId="3237134D">
            <w:pPr>
              <w:spacing w:before="0" w:after="10" w:line="240" w:lineRule="auto"/>
              <w:jc w:val="center"/>
            </w:pPr>
          </w:p>
        </w:tc>
      </w:tr>
      <w:tr w14:paraId="0599AF31">
        <w:tblPrEx>
          <w:tblCellMar>
            <w:top w:w="0" w:type="dxa"/>
            <w:left w:w="108" w:type="dxa"/>
            <w:bottom w:w="0" w:type="dxa"/>
            <w:right w:w="108" w:type="dxa"/>
          </w:tblCellMar>
        </w:tblPrEx>
        <w:trPr>
          <w:jc w:val="center"/>
        </w:trPr>
        <w:tc>
          <w:tcPr>
            <w:tcW w:w="2375" w:type="dxa"/>
            <w:tcBorders>
              <w:top w:val="nil"/>
              <w:left w:val="nil"/>
              <w:bottom w:val="single" w:color="000000" w:sz="8" w:space="0"/>
              <w:right w:val="nil"/>
              <w:insideH w:val="nil"/>
              <w:insideV w:val="nil"/>
            </w:tcBorders>
            <w:vAlign w:val="center"/>
          </w:tcPr>
          <w:p w14:paraId="4DFAFFBB">
            <w:pPr>
              <w:spacing w:before="0" w:after="10" w:line="240" w:lineRule="auto"/>
              <w:jc w:val="left"/>
            </w:pPr>
            <w:r>
              <w:rPr>
                <w:sz w:val="14"/>
              </w:rPr>
              <w:t>Current drinker</w:t>
            </w:r>
          </w:p>
        </w:tc>
        <w:tc>
          <w:tcPr>
            <w:tcW w:w="2375" w:type="dxa"/>
            <w:tcBorders>
              <w:top w:val="nil"/>
              <w:left w:val="nil"/>
              <w:bottom w:val="single" w:color="000000" w:sz="8" w:space="0"/>
              <w:right w:val="nil"/>
              <w:insideH w:val="nil"/>
              <w:insideV w:val="nil"/>
            </w:tcBorders>
            <w:vAlign w:val="center"/>
          </w:tcPr>
          <w:p w14:paraId="562FCB3A">
            <w:pPr>
              <w:spacing w:before="0" w:after="10" w:line="240" w:lineRule="auto"/>
              <w:jc w:val="center"/>
            </w:pPr>
            <w:r>
              <w:rPr>
                <w:sz w:val="14"/>
              </w:rPr>
              <w:t>2737</w:t>
            </w:r>
          </w:p>
        </w:tc>
        <w:tc>
          <w:tcPr>
            <w:tcW w:w="2375" w:type="dxa"/>
            <w:tcBorders>
              <w:top w:val="nil"/>
              <w:left w:val="nil"/>
              <w:bottom w:val="single" w:color="000000" w:sz="8" w:space="0"/>
              <w:right w:val="nil"/>
              <w:insideH w:val="nil"/>
              <w:insideV w:val="nil"/>
            </w:tcBorders>
            <w:vAlign w:val="center"/>
          </w:tcPr>
          <w:p w14:paraId="1561D7D4">
            <w:pPr>
              <w:spacing w:before="0" w:after="10" w:line="240" w:lineRule="auto"/>
              <w:jc w:val="center"/>
            </w:pPr>
            <w:r>
              <w:rPr>
                <w:sz w:val="14"/>
              </w:rPr>
              <w:t>318</w:t>
            </w:r>
          </w:p>
        </w:tc>
        <w:tc>
          <w:tcPr>
            <w:tcW w:w="2375" w:type="dxa"/>
            <w:tcBorders>
              <w:top w:val="nil"/>
              <w:left w:val="nil"/>
              <w:bottom w:val="single" w:color="000000" w:sz="8" w:space="0"/>
              <w:right w:val="nil"/>
              <w:insideH w:val="nil"/>
              <w:insideV w:val="nil"/>
            </w:tcBorders>
            <w:vAlign w:val="center"/>
          </w:tcPr>
          <w:p w14:paraId="3C3E4E85">
            <w:pPr>
              <w:spacing w:before="0" w:after="10" w:line="240" w:lineRule="auto"/>
              <w:jc w:val="center"/>
            </w:pPr>
            <w:r>
              <w:rPr>
                <w:sz w:val="14"/>
              </w:rPr>
              <w:t>0.847 (0.719–0.997)</w:t>
            </w:r>
          </w:p>
        </w:tc>
        <w:tc>
          <w:tcPr>
            <w:tcW w:w="2375" w:type="dxa"/>
            <w:tcBorders>
              <w:top w:val="nil"/>
              <w:left w:val="nil"/>
              <w:bottom w:val="single" w:color="000000" w:sz="8" w:space="0"/>
              <w:right w:val="nil"/>
              <w:insideH w:val="nil"/>
              <w:insideV w:val="nil"/>
            </w:tcBorders>
            <w:vAlign w:val="center"/>
          </w:tcPr>
          <w:p w14:paraId="486248D0">
            <w:pPr>
              <w:spacing w:before="0" w:after="10" w:line="240" w:lineRule="auto"/>
              <w:jc w:val="center"/>
            </w:pPr>
            <w:r>
              <w:rPr>
                <w:sz w:val="14"/>
              </w:rPr>
              <w:t>0.045</w:t>
            </w:r>
          </w:p>
        </w:tc>
        <w:tc>
          <w:tcPr>
            <w:tcW w:w="2375" w:type="dxa"/>
            <w:tcBorders>
              <w:top w:val="nil"/>
              <w:left w:val="nil"/>
              <w:bottom w:val="single" w:color="000000" w:sz="8" w:space="0"/>
              <w:right w:val="nil"/>
              <w:insideH w:val="nil"/>
              <w:insideV w:val="nil"/>
            </w:tcBorders>
            <w:vAlign w:val="center"/>
          </w:tcPr>
          <w:p w14:paraId="75F6B65B">
            <w:pPr>
              <w:spacing w:before="0" w:after="10" w:line="240" w:lineRule="auto"/>
              <w:jc w:val="center"/>
            </w:pPr>
          </w:p>
        </w:tc>
      </w:tr>
    </w:tbl>
    <w:p w14:paraId="2B01BF20">
      <w:pPr>
        <w:spacing w:before="20" w:after="20" w:line="240" w:lineRule="auto"/>
      </w:pPr>
      <w:r>
        <w:rPr>
          <w:b/>
          <w:sz w:val="16"/>
        </w:rPr>
        <w:t>Notes:</w:t>
      </w:r>
      <w:r>
        <w:rPr>
          <w:sz w:val="16"/>
        </w:rPr>
        <w:t xml:space="preserve"> Odds ratios and 95% confidence intervals were estimated per one-SD increment in C-DMIP using the Model 3 covariate specification. Models adjusted for age, sex, urban/rural residence, educational attainment, BMI, waist circumference, smoking status, alcohol consumption, and total energy intake, except that the corresponding stratification variable was omitted from the adjustment set. Community-level cluster-robust standard errors with HC1 correction were used. Interaction p values were obtained from community-level cluster-robust Wald tests for product terms. No statistically significant interaction was observed. The BMI-tertile analysis was exploratory, and no overall interaction test was reported.</w:t>
      </w:r>
    </w:p>
    <w:p w14:paraId="2414EFF0">
      <w:pPr>
        <w:spacing w:before="20" w:after="20" w:line="240" w:lineRule="auto"/>
      </w:pPr>
      <w:r>
        <w:rPr>
          <w:b/>
          <w:sz w:val="16"/>
        </w:rPr>
        <w:t>Abbreviations:</w:t>
      </w:r>
      <w:r>
        <w:rPr>
          <w:sz w:val="16"/>
        </w:rPr>
        <w:t xml:space="preserve"> BMI, body mass index; C-DMIP, China-specific Dietary Metabolic-Inflammatory Pattern; CI, confidence interval; OR, odds ratio; SD, standard deviation; T2DM, type 2 diabetes mellitus.</w:t>
      </w:r>
    </w:p>
    <w:p w14:paraId="7F9488C6">
      <w:pPr>
        <w:spacing w:after="100"/>
      </w:pPr>
      <w:r>
        <w:rPr>
          <w:b/>
          <w:sz w:val="20"/>
        </w:rPr>
        <w:t>Supplementary Table S5. Sensitivity analyses of C-DMIP and prevalent T2DM</w:t>
      </w:r>
    </w:p>
    <w:p w14:paraId="3765770B">
      <w:pPr>
        <w:spacing w:before="100" w:after="60"/>
      </w:pPr>
      <w:r>
        <w:rPr>
          <w:b/>
          <w:sz w:val="18"/>
        </w:rPr>
        <w:t>A. Alternative definitions of type 2 diabetes mellitus</w:t>
      </w:r>
    </w:p>
    <w:tbl>
      <w:tblPr>
        <w:tblStyle w:val="4"/>
        <w:tblW w:w="0" w:type="auto"/>
        <w:jc w:val="center"/>
        <w:tblLayout w:type="autofit"/>
        <w:tblCellMar>
          <w:top w:w="0" w:type="dxa"/>
          <w:left w:w="108" w:type="dxa"/>
          <w:bottom w:w="0" w:type="dxa"/>
          <w:right w:w="108" w:type="dxa"/>
        </w:tblCellMar>
      </w:tblPr>
      <w:tblGrid>
        <w:gridCol w:w="2109"/>
        <w:gridCol w:w="1872"/>
        <w:gridCol w:w="1933"/>
        <w:gridCol w:w="2120"/>
        <w:gridCol w:w="1928"/>
      </w:tblGrid>
      <w:tr w14:paraId="0C1F3CB0">
        <w:tblPrEx>
          <w:tblCellMar>
            <w:top w:w="0" w:type="dxa"/>
            <w:left w:w="108" w:type="dxa"/>
            <w:bottom w:w="0" w:type="dxa"/>
            <w:right w:w="108" w:type="dxa"/>
          </w:tblCellMar>
        </w:tblPrEx>
        <w:trPr>
          <w:jc w:val="center"/>
        </w:trPr>
        <w:tc>
          <w:tcPr>
            <w:tcW w:w="2850" w:type="dxa"/>
            <w:tcBorders>
              <w:top w:val="single" w:color="000000" w:sz="8" w:space="0"/>
              <w:left w:val="nil"/>
              <w:bottom w:val="single" w:color="000000" w:sz="8" w:space="0"/>
              <w:right w:val="nil"/>
              <w:insideH w:val="nil"/>
              <w:insideV w:val="nil"/>
            </w:tcBorders>
            <w:vAlign w:val="center"/>
          </w:tcPr>
          <w:p w14:paraId="2F3721A1">
            <w:pPr>
              <w:spacing w:before="0" w:after="10" w:line="240" w:lineRule="auto"/>
              <w:jc w:val="left"/>
            </w:pPr>
            <w:r>
              <w:rPr>
                <w:b/>
                <w:sz w:val="16"/>
              </w:rPr>
              <w:t>T2DM definition</w:t>
            </w:r>
          </w:p>
        </w:tc>
        <w:tc>
          <w:tcPr>
            <w:tcW w:w="2850" w:type="dxa"/>
            <w:tcBorders>
              <w:top w:val="single" w:color="000000" w:sz="8" w:space="0"/>
              <w:left w:val="nil"/>
              <w:bottom w:val="single" w:color="000000" w:sz="8" w:space="0"/>
              <w:right w:val="nil"/>
              <w:insideH w:val="nil"/>
              <w:insideV w:val="nil"/>
            </w:tcBorders>
            <w:vAlign w:val="center"/>
          </w:tcPr>
          <w:p w14:paraId="49484DAB">
            <w:pPr>
              <w:spacing w:before="0" w:after="10" w:line="240" w:lineRule="auto"/>
              <w:jc w:val="center"/>
            </w:pPr>
            <w:r>
              <w:rPr>
                <w:b/>
                <w:sz w:val="16"/>
              </w:rPr>
              <w:t>n</w:t>
            </w:r>
          </w:p>
        </w:tc>
        <w:tc>
          <w:tcPr>
            <w:tcW w:w="2850" w:type="dxa"/>
            <w:tcBorders>
              <w:top w:val="single" w:color="000000" w:sz="8" w:space="0"/>
              <w:left w:val="nil"/>
              <w:bottom w:val="single" w:color="000000" w:sz="8" w:space="0"/>
              <w:right w:val="nil"/>
              <w:insideH w:val="nil"/>
              <w:insideV w:val="nil"/>
            </w:tcBorders>
            <w:vAlign w:val="center"/>
          </w:tcPr>
          <w:p w14:paraId="6A846E7A">
            <w:pPr>
              <w:spacing w:before="0" w:after="10" w:line="240" w:lineRule="auto"/>
              <w:jc w:val="center"/>
            </w:pPr>
            <w:r>
              <w:rPr>
                <w:b/>
                <w:sz w:val="16"/>
              </w:rPr>
              <w:t>Events</w:t>
            </w:r>
          </w:p>
        </w:tc>
        <w:tc>
          <w:tcPr>
            <w:tcW w:w="2850" w:type="dxa"/>
            <w:tcBorders>
              <w:top w:val="single" w:color="000000" w:sz="8" w:space="0"/>
              <w:left w:val="nil"/>
              <w:bottom w:val="single" w:color="000000" w:sz="8" w:space="0"/>
              <w:right w:val="nil"/>
              <w:insideH w:val="nil"/>
              <w:insideV w:val="nil"/>
            </w:tcBorders>
            <w:vAlign w:val="center"/>
          </w:tcPr>
          <w:p w14:paraId="574B1EF0">
            <w:pPr>
              <w:spacing w:before="0" w:after="10" w:line="240" w:lineRule="auto"/>
              <w:jc w:val="center"/>
            </w:pPr>
            <w:r>
              <w:rPr>
                <w:b/>
                <w:sz w:val="16"/>
              </w:rPr>
              <w:t>OR per 1-SD (95% CI)</w:t>
            </w:r>
          </w:p>
        </w:tc>
        <w:tc>
          <w:tcPr>
            <w:tcW w:w="2850" w:type="dxa"/>
            <w:tcBorders>
              <w:top w:val="single" w:color="000000" w:sz="8" w:space="0"/>
              <w:left w:val="nil"/>
              <w:bottom w:val="single" w:color="000000" w:sz="8" w:space="0"/>
              <w:right w:val="nil"/>
              <w:insideH w:val="nil"/>
              <w:insideV w:val="nil"/>
            </w:tcBorders>
            <w:vAlign w:val="center"/>
          </w:tcPr>
          <w:p w14:paraId="051C82DD">
            <w:pPr>
              <w:spacing w:before="0" w:after="10" w:line="240" w:lineRule="auto"/>
              <w:jc w:val="center"/>
            </w:pPr>
            <w:r>
              <w:rPr>
                <w:b/>
                <w:sz w:val="16"/>
              </w:rPr>
              <w:t>P value</w:t>
            </w:r>
          </w:p>
        </w:tc>
      </w:tr>
      <w:tr w14:paraId="5F527086">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37182B42">
            <w:pPr>
              <w:spacing w:before="0" w:after="10" w:line="240" w:lineRule="auto"/>
              <w:jc w:val="left"/>
            </w:pPr>
            <w:r>
              <w:rPr>
                <w:sz w:val="16"/>
              </w:rPr>
              <w:t>Primary definition</w:t>
            </w:r>
          </w:p>
        </w:tc>
        <w:tc>
          <w:tcPr>
            <w:tcW w:w="2850" w:type="dxa"/>
            <w:tcBorders>
              <w:top w:val="nil"/>
              <w:left w:val="nil"/>
              <w:bottom w:val="nil"/>
              <w:right w:val="nil"/>
              <w:insideH w:val="nil"/>
              <w:insideV w:val="nil"/>
            </w:tcBorders>
            <w:vAlign w:val="center"/>
          </w:tcPr>
          <w:p w14:paraId="24DC37E9">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129FB7E4">
            <w:pPr>
              <w:spacing w:before="0" w:after="10" w:line="240" w:lineRule="auto"/>
              <w:jc w:val="center"/>
            </w:pPr>
            <w:r>
              <w:rPr>
                <w:sz w:val="16"/>
              </w:rPr>
              <w:t>790</w:t>
            </w:r>
          </w:p>
        </w:tc>
        <w:tc>
          <w:tcPr>
            <w:tcW w:w="2850" w:type="dxa"/>
            <w:tcBorders>
              <w:top w:val="nil"/>
              <w:left w:val="nil"/>
              <w:bottom w:val="nil"/>
              <w:right w:val="nil"/>
              <w:insideH w:val="nil"/>
              <w:insideV w:val="nil"/>
            </w:tcBorders>
            <w:vAlign w:val="center"/>
          </w:tcPr>
          <w:p w14:paraId="70085571">
            <w:pPr>
              <w:spacing w:before="0" w:after="10" w:line="240" w:lineRule="auto"/>
              <w:jc w:val="center"/>
            </w:pPr>
            <w:r>
              <w:rPr>
                <w:sz w:val="16"/>
              </w:rPr>
              <w:t>0.900 (0.818–0.991)</w:t>
            </w:r>
          </w:p>
        </w:tc>
        <w:tc>
          <w:tcPr>
            <w:tcW w:w="2850" w:type="dxa"/>
            <w:tcBorders>
              <w:top w:val="nil"/>
              <w:left w:val="nil"/>
              <w:bottom w:val="nil"/>
              <w:right w:val="nil"/>
              <w:insideH w:val="nil"/>
              <w:insideV w:val="nil"/>
            </w:tcBorders>
            <w:vAlign w:val="center"/>
          </w:tcPr>
          <w:p w14:paraId="14B99B6E">
            <w:pPr>
              <w:spacing w:before="0" w:after="10" w:line="240" w:lineRule="auto"/>
              <w:jc w:val="center"/>
            </w:pPr>
            <w:r>
              <w:rPr>
                <w:sz w:val="16"/>
              </w:rPr>
              <w:t>0.032</w:t>
            </w:r>
          </w:p>
        </w:tc>
      </w:tr>
      <w:tr w14:paraId="2632E576">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41CD3CAF">
            <w:pPr>
              <w:spacing w:before="0" w:after="10" w:line="240" w:lineRule="auto"/>
              <w:jc w:val="left"/>
            </w:pPr>
            <w:r>
              <w:rPr>
                <w:sz w:val="16"/>
              </w:rPr>
              <w:t>Definition excluding HbA1c</w:t>
            </w:r>
          </w:p>
        </w:tc>
        <w:tc>
          <w:tcPr>
            <w:tcW w:w="2850" w:type="dxa"/>
            <w:tcBorders>
              <w:top w:val="nil"/>
              <w:left w:val="nil"/>
              <w:bottom w:val="nil"/>
              <w:right w:val="nil"/>
              <w:insideH w:val="nil"/>
              <w:insideV w:val="nil"/>
            </w:tcBorders>
            <w:vAlign w:val="center"/>
          </w:tcPr>
          <w:p w14:paraId="17EAE002">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1C802F5F">
            <w:pPr>
              <w:spacing w:before="0" w:after="10" w:line="240" w:lineRule="auto"/>
              <w:jc w:val="center"/>
            </w:pPr>
            <w:r>
              <w:rPr>
                <w:sz w:val="16"/>
              </w:rPr>
              <w:t>575</w:t>
            </w:r>
          </w:p>
        </w:tc>
        <w:tc>
          <w:tcPr>
            <w:tcW w:w="2850" w:type="dxa"/>
            <w:tcBorders>
              <w:top w:val="nil"/>
              <w:left w:val="nil"/>
              <w:bottom w:val="nil"/>
              <w:right w:val="nil"/>
              <w:insideH w:val="nil"/>
              <w:insideV w:val="nil"/>
            </w:tcBorders>
            <w:vAlign w:val="center"/>
          </w:tcPr>
          <w:p w14:paraId="19FE1BFB">
            <w:pPr>
              <w:spacing w:before="0" w:after="10" w:line="240" w:lineRule="auto"/>
              <w:jc w:val="center"/>
            </w:pPr>
            <w:r>
              <w:rPr>
                <w:sz w:val="16"/>
              </w:rPr>
              <w:t>1.002 (0.904–1.111)</w:t>
            </w:r>
          </w:p>
        </w:tc>
        <w:tc>
          <w:tcPr>
            <w:tcW w:w="2850" w:type="dxa"/>
            <w:tcBorders>
              <w:top w:val="nil"/>
              <w:left w:val="nil"/>
              <w:bottom w:val="nil"/>
              <w:right w:val="nil"/>
              <w:insideH w:val="nil"/>
              <w:insideV w:val="nil"/>
            </w:tcBorders>
            <w:vAlign w:val="center"/>
          </w:tcPr>
          <w:p w14:paraId="21B7E182">
            <w:pPr>
              <w:spacing w:before="0" w:after="10" w:line="240" w:lineRule="auto"/>
              <w:jc w:val="center"/>
            </w:pPr>
            <w:r>
              <w:rPr>
                <w:sz w:val="16"/>
              </w:rPr>
              <w:t>0.970</w:t>
            </w:r>
          </w:p>
        </w:tc>
      </w:tr>
      <w:tr w14:paraId="52E6881A">
        <w:tblPrEx>
          <w:tblCellMar>
            <w:top w:w="0" w:type="dxa"/>
            <w:left w:w="108" w:type="dxa"/>
            <w:bottom w:w="0" w:type="dxa"/>
            <w:right w:w="108" w:type="dxa"/>
          </w:tblCellMar>
        </w:tblPrEx>
        <w:trPr>
          <w:jc w:val="center"/>
        </w:trPr>
        <w:tc>
          <w:tcPr>
            <w:tcW w:w="2850" w:type="dxa"/>
            <w:tcBorders>
              <w:top w:val="nil"/>
              <w:left w:val="nil"/>
              <w:bottom w:val="single" w:color="000000" w:sz="8" w:space="0"/>
              <w:right w:val="nil"/>
              <w:insideH w:val="nil"/>
              <w:insideV w:val="nil"/>
            </w:tcBorders>
            <w:vAlign w:val="center"/>
          </w:tcPr>
          <w:p w14:paraId="5E1A7B36">
            <w:pPr>
              <w:spacing w:before="0" w:after="10" w:line="240" w:lineRule="auto"/>
              <w:jc w:val="left"/>
            </w:pPr>
            <w:r>
              <w:rPr>
                <w:sz w:val="16"/>
              </w:rPr>
              <w:t>HbA1c-based definition only</w:t>
            </w:r>
          </w:p>
        </w:tc>
        <w:tc>
          <w:tcPr>
            <w:tcW w:w="2850" w:type="dxa"/>
            <w:tcBorders>
              <w:top w:val="nil"/>
              <w:left w:val="nil"/>
              <w:bottom w:val="single" w:color="000000" w:sz="8" w:space="0"/>
              <w:right w:val="nil"/>
              <w:insideH w:val="nil"/>
              <w:insideV w:val="nil"/>
            </w:tcBorders>
            <w:vAlign w:val="center"/>
          </w:tcPr>
          <w:p w14:paraId="34442F86">
            <w:pPr>
              <w:spacing w:before="0" w:after="10" w:line="240" w:lineRule="auto"/>
              <w:jc w:val="center"/>
            </w:pPr>
            <w:r>
              <w:rPr>
                <w:sz w:val="16"/>
              </w:rPr>
              <w:t>7846</w:t>
            </w:r>
          </w:p>
        </w:tc>
        <w:tc>
          <w:tcPr>
            <w:tcW w:w="2850" w:type="dxa"/>
            <w:tcBorders>
              <w:top w:val="nil"/>
              <w:left w:val="nil"/>
              <w:bottom w:val="single" w:color="000000" w:sz="8" w:space="0"/>
              <w:right w:val="nil"/>
              <w:insideH w:val="nil"/>
              <w:insideV w:val="nil"/>
            </w:tcBorders>
            <w:vAlign w:val="center"/>
          </w:tcPr>
          <w:p w14:paraId="163592AD">
            <w:pPr>
              <w:spacing w:before="0" w:after="10" w:line="240" w:lineRule="auto"/>
              <w:jc w:val="center"/>
            </w:pPr>
            <w:r>
              <w:rPr>
                <w:sz w:val="16"/>
              </w:rPr>
              <w:t>547</w:t>
            </w:r>
          </w:p>
        </w:tc>
        <w:tc>
          <w:tcPr>
            <w:tcW w:w="2850" w:type="dxa"/>
            <w:tcBorders>
              <w:top w:val="nil"/>
              <w:left w:val="nil"/>
              <w:bottom w:val="single" w:color="000000" w:sz="8" w:space="0"/>
              <w:right w:val="nil"/>
              <w:insideH w:val="nil"/>
              <w:insideV w:val="nil"/>
            </w:tcBorders>
            <w:vAlign w:val="center"/>
          </w:tcPr>
          <w:p w14:paraId="3ED1383F">
            <w:pPr>
              <w:spacing w:before="0" w:after="10" w:line="240" w:lineRule="auto"/>
              <w:jc w:val="center"/>
            </w:pPr>
            <w:r>
              <w:rPr>
                <w:sz w:val="16"/>
              </w:rPr>
              <w:t>0.791 (0.708–0.885)</w:t>
            </w:r>
          </w:p>
        </w:tc>
        <w:tc>
          <w:tcPr>
            <w:tcW w:w="2850" w:type="dxa"/>
            <w:tcBorders>
              <w:top w:val="nil"/>
              <w:left w:val="nil"/>
              <w:bottom w:val="single" w:color="000000" w:sz="8" w:space="0"/>
              <w:right w:val="nil"/>
              <w:insideH w:val="nil"/>
              <w:insideV w:val="nil"/>
            </w:tcBorders>
            <w:vAlign w:val="center"/>
          </w:tcPr>
          <w:p w14:paraId="27B5EAE4">
            <w:pPr>
              <w:spacing w:before="0" w:after="10" w:line="240" w:lineRule="auto"/>
              <w:jc w:val="center"/>
            </w:pPr>
            <w:r>
              <w:rPr>
                <w:sz w:val="16"/>
              </w:rPr>
              <w:t>&lt;0.001</w:t>
            </w:r>
          </w:p>
        </w:tc>
      </w:tr>
    </w:tbl>
    <w:p w14:paraId="0553AE4C">
      <w:pPr>
        <w:spacing w:before="100" w:after="60"/>
      </w:pPr>
      <w:r>
        <w:rPr>
          <w:b/>
          <w:sz w:val="18"/>
        </w:rPr>
        <w:t>B. Alternative adjustment for adiposity</w:t>
      </w:r>
    </w:p>
    <w:tbl>
      <w:tblPr>
        <w:tblStyle w:val="4"/>
        <w:tblW w:w="0" w:type="auto"/>
        <w:jc w:val="center"/>
        <w:tblLayout w:type="autofit"/>
        <w:tblCellMar>
          <w:top w:w="0" w:type="dxa"/>
          <w:left w:w="108" w:type="dxa"/>
          <w:bottom w:w="0" w:type="dxa"/>
          <w:right w:w="108" w:type="dxa"/>
        </w:tblCellMar>
      </w:tblPr>
      <w:tblGrid>
        <w:gridCol w:w="2121"/>
        <w:gridCol w:w="1869"/>
        <w:gridCol w:w="1930"/>
        <w:gridCol w:w="2118"/>
        <w:gridCol w:w="1924"/>
      </w:tblGrid>
      <w:tr w14:paraId="4B84F381">
        <w:tblPrEx>
          <w:tblCellMar>
            <w:top w:w="0" w:type="dxa"/>
            <w:left w:w="108" w:type="dxa"/>
            <w:bottom w:w="0" w:type="dxa"/>
            <w:right w:w="108" w:type="dxa"/>
          </w:tblCellMar>
        </w:tblPrEx>
        <w:trPr>
          <w:jc w:val="center"/>
        </w:trPr>
        <w:tc>
          <w:tcPr>
            <w:tcW w:w="2850" w:type="dxa"/>
            <w:tcBorders>
              <w:top w:val="single" w:color="000000" w:sz="8" w:space="0"/>
              <w:left w:val="nil"/>
              <w:bottom w:val="single" w:color="000000" w:sz="8" w:space="0"/>
              <w:right w:val="nil"/>
              <w:insideH w:val="nil"/>
              <w:insideV w:val="nil"/>
            </w:tcBorders>
            <w:vAlign w:val="center"/>
          </w:tcPr>
          <w:p w14:paraId="15BA4047">
            <w:pPr>
              <w:spacing w:before="0" w:after="10" w:line="240" w:lineRule="auto"/>
              <w:jc w:val="left"/>
            </w:pPr>
            <w:r>
              <w:rPr>
                <w:b/>
                <w:sz w:val="16"/>
              </w:rPr>
              <w:t>Adiposity adjustment</w:t>
            </w:r>
          </w:p>
        </w:tc>
        <w:tc>
          <w:tcPr>
            <w:tcW w:w="2850" w:type="dxa"/>
            <w:tcBorders>
              <w:top w:val="single" w:color="000000" w:sz="8" w:space="0"/>
              <w:left w:val="nil"/>
              <w:bottom w:val="single" w:color="000000" w:sz="8" w:space="0"/>
              <w:right w:val="nil"/>
              <w:insideH w:val="nil"/>
              <w:insideV w:val="nil"/>
            </w:tcBorders>
            <w:vAlign w:val="center"/>
          </w:tcPr>
          <w:p w14:paraId="2201EDE4">
            <w:pPr>
              <w:spacing w:before="0" w:after="10" w:line="240" w:lineRule="auto"/>
              <w:jc w:val="center"/>
            </w:pPr>
            <w:r>
              <w:rPr>
                <w:b/>
                <w:sz w:val="16"/>
              </w:rPr>
              <w:t>n</w:t>
            </w:r>
          </w:p>
        </w:tc>
        <w:tc>
          <w:tcPr>
            <w:tcW w:w="2850" w:type="dxa"/>
            <w:tcBorders>
              <w:top w:val="single" w:color="000000" w:sz="8" w:space="0"/>
              <w:left w:val="nil"/>
              <w:bottom w:val="single" w:color="000000" w:sz="8" w:space="0"/>
              <w:right w:val="nil"/>
              <w:insideH w:val="nil"/>
              <w:insideV w:val="nil"/>
            </w:tcBorders>
            <w:vAlign w:val="center"/>
          </w:tcPr>
          <w:p w14:paraId="257E65C0">
            <w:pPr>
              <w:spacing w:before="0" w:after="10" w:line="240" w:lineRule="auto"/>
              <w:jc w:val="center"/>
            </w:pPr>
            <w:r>
              <w:rPr>
                <w:b/>
                <w:sz w:val="16"/>
              </w:rPr>
              <w:t>Events</w:t>
            </w:r>
          </w:p>
        </w:tc>
        <w:tc>
          <w:tcPr>
            <w:tcW w:w="2850" w:type="dxa"/>
            <w:tcBorders>
              <w:top w:val="single" w:color="000000" w:sz="8" w:space="0"/>
              <w:left w:val="nil"/>
              <w:bottom w:val="single" w:color="000000" w:sz="8" w:space="0"/>
              <w:right w:val="nil"/>
              <w:insideH w:val="nil"/>
              <w:insideV w:val="nil"/>
            </w:tcBorders>
            <w:vAlign w:val="center"/>
          </w:tcPr>
          <w:p w14:paraId="6A5A6104">
            <w:pPr>
              <w:spacing w:before="0" w:after="10" w:line="240" w:lineRule="auto"/>
              <w:jc w:val="center"/>
            </w:pPr>
            <w:r>
              <w:rPr>
                <w:b/>
                <w:sz w:val="16"/>
              </w:rPr>
              <w:t>OR per 1-SD (95% CI)</w:t>
            </w:r>
          </w:p>
        </w:tc>
        <w:tc>
          <w:tcPr>
            <w:tcW w:w="2850" w:type="dxa"/>
            <w:tcBorders>
              <w:top w:val="single" w:color="000000" w:sz="8" w:space="0"/>
              <w:left w:val="nil"/>
              <w:bottom w:val="single" w:color="000000" w:sz="8" w:space="0"/>
              <w:right w:val="nil"/>
              <w:insideH w:val="nil"/>
              <w:insideV w:val="nil"/>
            </w:tcBorders>
            <w:vAlign w:val="center"/>
          </w:tcPr>
          <w:p w14:paraId="40D72486">
            <w:pPr>
              <w:spacing w:before="0" w:after="10" w:line="240" w:lineRule="auto"/>
              <w:jc w:val="center"/>
            </w:pPr>
            <w:r>
              <w:rPr>
                <w:b/>
                <w:sz w:val="16"/>
              </w:rPr>
              <w:t>P value</w:t>
            </w:r>
          </w:p>
        </w:tc>
      </w:tr>
      <w:tr w14:paraId="596E488B">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58884CEB">
            <w:pPr>
              <w:spacing w:before="0" w:after="10" w:line="240" w:lineRule="auto"/>
              <w:jc w:val="left"/>
            </w:pPr>
            <w:r>
              <w:rPr>
                <w:sz w:val="16"/>
              </w:rPr>
              <w:t>BMI and waist circumference</w:t>
            </w:r>
          </w:p>
        </w:tc>
        <w:tc>
          <w:tcPr>
            <w:tcW w:w="2850" w:type="dxa"/>
            <w:tcBorders>
              <w:top w:val="nil"/>
              <w:left w:val="nil"/>
              <w:bottom w:val="nil"/>
              <w:right w:val="nil"/>
              <w:insideH w:val="nil"/>
              <w:insideV w:val="nil"/>
            </w:tcBorders>
            <w:vAlign w:val="center"/>
          </w:tcPr>
          <w:p w14:paraId="797385DB">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2CF06636">
            <w:pPr>
              <w:spacing w:before="0" w:after="10" w:line="240" w:lineRule="auto"/>
              <w:jc w:val="center"/>
            </w:pPr>
            <w:r>
              <w:rPr>
                <w:sz w:val="16"/>
              </w:rPr>
              <w:t>790</w:t>
            </w:r>
          </w:p>
        </w:tc>
        <w:tc>
          <w:tcPr>
            <w:tcW w:w="2850" w:type="dxa"/>
            <w:tcBorders>
              <w:top w:val="nil"/>
              <w:left w:val="nil"/>
              <w:bottom w:val="nil"/>
              <w:right w:val="nil"/>
              <w:insideH w:val="nil"/>
              <w:insideV w:val="nil"/>
            </w:tcBorders>
            <w:vAlign w:val="center"/>
          </w:tcPr>
          <w:p w14:paraId="0A6A209F">
            <w:pPr>
              <w:spacing w:before="0" w:after="10" w:line="240" w:lineRule="auto"/>
              <w:jc w:val="center"/>
            </w:pPr>
            <w:r>
              <w:rPr>
                <w:sz w:val="16"/>
              </w:rPr>
              <w:t>0.900 (0.818–0.991)</w:t>
            </w:r>
          </w:p>
        </w:tc>
        <w:tc>
          <w:tcPr>
            <w:tcW w:w="2850" w:type="dxa"/>
            <w:tcBorders>
              <w:top w:val="nil"/>
              <w:left w:val="nil"/>
              <w:bottom w:val="nil"/>
              <w:right w:val="nil"/>
              <w:insideH w:val="nil"/>
              <w:insideV w:val="nil"/>
            </w:tcBorders>
            <w:vAlign w:val="center"/>
          </w:tcPr>
          <w:p w14:paraId="325C9B0B">
            <w:pPr>
              <w:spacing w:before="0" w:after="10" w:line="240" w:lineRule="auto"/>
              <w:jc w:val="center"/>
            </w:pPr>
            <w:r>
              <w:rPr>
                <w:sz w:val="16"/>
              </w:rPr>
              <w:t>0.032</w:t>
            </w:r>
          </w:p>
        </w:tc>
      </w:tr>
      <w:tr w14:paraId="38D52449">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11D5DB22">
            <w:pPr>
              <w:spacing w:before="0" w:after="10" w:line="240" w:lineRule="auto"/>
              <w:jc w:val="left"/>
            </w:pPr>
            <w:r>
              <w:rPr>
                <w:sz w:val="16"/>
              </w:rPr>
              <w:t>BMI only</w:t>
            </w:r>
          </w:p>
        </w:tc>
        <w:tc>
          <w:tcPr>
            <w:tcW w:w="2850" w:type="dxa"/>
            <w:tcBorders>
              <w:top w:val="nil"/>
              <w:left w:val="nil"/>
              <w:bottom w:val="nil"/>
              <w:right w:val="nil"/>
              <w:insideH w:val="nil"/>
              <w:insideV w:val="nil"/>
            </w:tcBorders>
            <w:vAlign w:val="center"/>
          </w:tcPr>
          <w:p w14:paraId="05C86818">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70F4BF3E">
            <w:pPr>
              <w:spacing w:before="0" w:after="10" w:line="240" w:lineRule="auto"/>
              <w:jc w:val="center"/>
            </w:pPr>
            <w:r>
              <w:rPr>
                <w:sz w:val="16"/>
              </w:rPr>
              <w:t>790</w:t>
            </w:r>
          </w:p>
        </w:tc>
        <w:tc>
          <w:tcPr>
            <w:tcW w:w="2850" w:type="dxa"/>
            <w:tcBorders>
              <w:top w:val="nil"/>
              <w:left w:val="nil"/>
              <w:bottom w:val="nil"/>
              <w:right w:val="nil"/>
              <w:insideH w:val="nil"/>
              <w:insideV w:val="nil"/>
            </w:tcBorders>
            <w:vAlign w:val="center"/>
          </w:tcPr>
          <w:p w14:paraId="7F9F4546">
            <w:pPr>
              <w:spacing w:before="0" w:after="10" w:line="240" w:lineRule="auto"/>
              <w:jc w:val="center"/>
            </w:pPr>
            <w:r>
              <w:rPr>
                <w:sz w:val="16"/>
              </w:rPr>
              <w:t>0.884 (0.806–0.970)</w:t>
            </w:r>
          </w:p>
        </w:tc>
        <w:tc>
          <w:tcPr>
            <w:tcW w:w="2850" w:type="dxa"/>
            <w:tcBorders>
              <w:top w:val="nil"/>
              <w:left w:val="nil"/>
              <w:bottom w:val="nil"/>
              <w:right w:val="nil"/>
              <w:insideH w:val="nil"/>
              <w:insideV w:val="nil"/>
            </w:tcBorders>
            <w:vAlign w:val="center"/>
          </w:tcPr>
          <w:p w14:paraId="073F6227">
            <w:pPr>
              <w:spacing w:before="0" w:after="10" w:line="240" w:lineRule="auto"/>
              <w:jc w:val="center"/>
            </w:pPr>
            <w:r>
              <w:rPr>
                <w:sz w:val="16"/>
              </w:rPr>
              <w:t>0.009</w:t>
            </w:r>
          </w:p>
        </w:tc>
      </w:tr>
      <w:tr w14:paraId="400270B4">
        <w:tblPrEx>
          <w:tblCellMar>
            <w:top w:w="0" w:type="dxa"/>
            <w:left w:w="108" w:type="dxa"/>
            <w:bottom w:w="0" w:type="dxa"/>
            <w:right w:w="108" w:type="dxa"/>
          </w:tblCellMar>
        </w:tblPrEx>
        <w:trPr>
          <w:jc w:val="center"/>
        </w:trPr>
        <w:tc>
          <w:tcPr>
            <w:tcW w:w="2850" w:type="dxa"/>
            <w:tcBorders>
              <w:top w:val="nil"/>
              <w:left w:val="nil"/>
              <w:bottom w:val="nil"/>
              <w:right w:val="nil"/>
              <w:insideH w:val="nil"/>
              <w:insideV w:val="nil"/>
            </w:tcBorders>
            <w:vAlign w:val="center"/>
          </w:tcPr>
          <w:p w14:paraId="5575BB93">
            <w:pPr>
              <w:spacing w:before="0" w:after="10" w:line="240" w:lineRule="auto"/>
              <w:jc w:val="left"/>
            </w:pPr>
            <w:r>
              <w:rPr>
                <w:sz w:val="16"/>
              </w:rPr>
              <w:t>Waist circumference only</w:t>
            </w:r>
          </w:p>
        </w:tc>
        <w:tc>
          <w:tcPr>
            <w:tcW w:w="2850" w:type="dxa"/>
            <w:tcBorders>
              <w:top w:val="nil"/>
              <w:left w:val="nil"/>
              <w:bottom w:val="nil"/>
              <w:right w:val="nil"/>
              <w:insideH w:val="nil"/>
              <w:insideV w:val="nil"/>
            </w:tcBorders>
            <w:vAlign w:val="center"/>
          </w:tcPr>
          <w:p w14:paraId="29B59358">
            <w:pPr>
              <w:spacing w:before="0" w:after="10" w:line="240" w:lineRule="auto"/>
              <w:jc w:val="center"/>
            </w:pPr>
            <w:r>
              <w:rPr>
                <w:sz w:val="16"/>
              </w:rPr>
              <w:t>7846</w:t>
            </w:r>
          </w:p>
        </w:tc>
        <w:tc>
          <w:tcPr>
            <w:tcW w:w="2850" w:type="dxa"/>
            <w:tcBorders>
              <w:top w:val="nil"/>
              <w:left w:val="nil"/>
              <w:bottom w:val="nil"/>
              <w:right w:val="nil"/>
              <w:insideH w:val="nil"/>
              <w:insideV w:val="nil"/>
            </w:tcBorders>
            <w:vAlign w:val="center"/>
          </w:tcPr>
          <w:p w14:paraId="1F57B7A8">
            <w:pPr>
              <w:spacing w:before="0" w:after="10" w:line="240" w:lineRule="auto"/>
              <w:jc w:val="center"/>
            </w:pPr>
            <w:r>
              <w:rPr>
                <w:sz w:val="16"/>
              </w:rPr>
              <w:t>790</w:t>
            </w:r>
          </w:p>
        </w:tc>
        <w:tc>
          <w:tcPr>
            <w:tcW w:w="2850" w:type="dxa"/>
            <w:tcBorders>
              <w:top w:val="nil"/>
              <w:left w:val="nil"/>
              <w:bottom w:val="nil"/>
              <w:right w:val="nil"/>
              <w:insideH w:val="nil"/>
              <w:insideV w:val="nil"/>
            </w:tcBorders>
            <w:vAlign w:val="center"/>
          </w:tcPr>
          <w:p w14:paraId="305BEACF">
            <w:pPr>
              <w:spacing w:before="0" w:after="10" w:line="240" w:lineRule="auto"/>
              <w:jc w:val="center"/>
            </w:pPr>
            <w:r>
              <w:rPr>
                <w:sz w:val="16"/>
              </w:rPr>
              <w:t>0.900 (0.817–0.992)</w:t>
            </w:r>
          </w:p>
        </w:tc>
        <w:tc>
          <w:tcPr>
            <w:tcW w:w="2850" w:type="dxa"/>
            <w:tcBorders>
              <w:top w:val="nil"/>
              <w:left w:val="nil"/>
              <w:bottom w:val="nil"/>
              <w:right w:val="nil"/>
              <w:insideH w:val="nil"/>
              <w:insideV w:val="nil"/>
            </w:tcBorders>
            <w:vAlign w:val="center"/>
          </w:tcPr>
          <w:p w14:paraId="53616795">
            <w:pPr>
              <w:spacing w:before="0" w:after="10" w:line="240" w:lineRule="auto"/>
              <w:jc w:val="center"/>
            </w:pPr>
            <w:r>
              <w:rPr>
                <w:sz w:val="16"/>
              </w:rPr>
              <w:t>0.033</w:t>
            </w:r>
          </w:p>
        </w:tc>
      </w:tr>
      <w:tr w14:paraId="075D8677">
        <w:tblPrEx>
          <w:tblCellMar>
            <w:top w:w="0" w:type="dxa"/>
            <w:left w:w="108" w:type="dxa"/>
            <w:bottom w:w="0" w:type="dxa"/>
            <w:right w:w="108" w:type="dxa"/>
          </w:tblCellMar>
        </w:tblPrEx>
        <w:trPr>
          <w:jc w:val="center"/>
        </w:trPr>
        <w:tc>
          <w:tcPr>
            <w:tcW w:w="2850" w:type="dxa"/>
            <w:tcBorders>
              <w:top w:val="nil"/>
              <w:left w:val="nil"/>
              <w:bottom w:val="single" w:color="000000" w:sz="8" w:space="0"/>
              <w:right w:val="nil"/>
              <w:insideH w:val="nil"/>
              <w:insideV w:val="nil"/>
            </w:tcBorders>
            <w:vAlign w:val="center"/>
          </w:tcPr>
          <w:p w14:paraId="3D46F857">
            <w:pPr>
              <w:spacing w:before="0" w:after="10" w:line="240" w:lineRule="auto"/>
              <w:jc w:val="left"/>
            </w:pPr>
            <w:r>
              <w:rPr>
                <w:sz w:val="16"/>
              </w:rPr>
              <w:t>Neither BMI nor waist circumference</w:t>
            </w:r>
          </w:p>
        </w:tc>
        <w:tc>
          <w:tcPr>
            <w:tcW w:w="2850" w:type="dxa"/>
            <w:tcBorders>
              <w:top w:val="nil"/>
              <w:left w:val="nil"/>
              <w:bottom w:val="single" w:color="000000" w:sz="8" w:space="0"/>
              <w:right w:val="nil"/>
              <w:insideH w:val="nil"/>
              <w:insideV w:val="nil"/>
            </w:tcBorders>
            <w:vAlign w:val="center"/>
          </w:tcPr>
          <w:p w14:paraId="71CACD95">
            <w:pPr>
              <w:spacing w:before="0" w:after="10" w:line="240" w:lineRule="auto"/>
              <w:jc w:val="center"/>
            </w:pPr>
            <w:r>
              <w:rPr>
                <w:sz w:val="16"/>
              </w:rPr>
              <w:t>7846</w:t>
            </w:r>
          </w:p>
        </w:tc>
        <w:tc>
          <w:tcPr>
            <w:tcW w:w="2850" w:type="dxa"/>
            <w:tcBorders>
              <w:top w:val="nil"/>
              <w:left w:val="nil"/>
              <w:bottom w:val="single" w:color="000000" w:sz="8" w:space="0"/>
              <w:right w:val="nil"/>
              <w:insideH w:val="nil"/>
              <w:insideV w:val="nil"/>
            </w:tcBorders>
            <w:vAlign w:val="center"/>
          </w:tcPr>
          <w:p w14:paraId="48A93F8B">
            <w:pPr>
              <w:spacing w:before="0" w:after="10" w:line="240" w:lineRule="auto"/>
              <w:jc w:val="center"/>
            </w:pPr>
            <w:r>
              <w:rPr>
                <w:sz w:val="16"/>
              </w:rPr>
              <w:t>790</w:t>
            </w:r>
          </w:p>
        </w:tc>
        <w:tc>
          <w:tcPr>
            <w:tcW w:w="2850" w:type="dxa"/>
            <w:tcBorders>
              <w:top w:val="nil"/>
              <w:left w:val="nil"/>
              <w:bottom w:val="single" w:color="000000" w:sz="8" w:space="0"/>
              <w:right w:val="nil"/>
              <w:insideH w:val="nil"/>
              <w:insideV w:val="nil"/>
            </w:tcBorders>
            <w:vAlign w:val="center"/>
          </w:tcPr>
          <w:p w14:paraId="5A3BED43">
            <w:pPr>
              <w:spacing w:before="0" w:after="10" w:line="240" w:lineRule="auto"/>
              <w:jc w:val="center"/>
            </w:pPr>
            <w:r>
              <w:rPr>
                <w:sz w:val="16"/>
              </w:rPr>
              <w:t>0.834 (0.762–0.913)</w:t>
            </w:r>
          </w:p>
        </w:tc>
        <w:tc>
          <w:tcPr>
            <w:tcW w:w="2850" w:type="dxa"/>
            <w:tcBorders>
              <w:top w:val="nil"/>
              <w:left w:val="nil"/>
              <w:bottom w:val="single" w:color="000000" w:sz="8" w:space="0"/>
              <w:right w:val="nil"/>
              <w:insideH w:val="nil"/>
              <w:insideV w:val="nil"/>
            </w:tcBorders>
            <w:vAlign w:val="center"/>
          </w:tcPr>
          <w:p w14:paraId="5EBAD24A">
            <w:pPr>
              <w:spacing w:before="0" w:after="10" w:line="240" w:lineRule="auto"/>
              <w:jc w:val="center"/>
            </w:pPr>
            <w:r>
              <w:rPr>
                <w:sz w:val="16"/>
              </w:rPr>
              <w:t>&lt;0.001</w:t>
            </w:r>
          </w:p>
        </w:tc>
      </w:tr>
    </w:tbl>
    <w:p w14:paraId="1488C3D2">
      <w:pPr>
        <w:spacing w:before="20" w:after="20" w:line="240" w:lineRule="auto"/>
      </w:pPr>
      <w:r>
        <w:rPr>
          <w:b/>
          <w:sz w:val="16"/>
        </w:rPr>
        <w:t>Notes:</w:t>
      </w:r>
      <w:r>
        <w:rPr>
          <w:sz w:val="16"/>
        </w:rPr>
        <w:t xml:space="preserve"> Odds ratios and 95% confidence intervals were estimated per one-SD increment in C-DMIP using the fixed complete-case cross-sectional sample. The primary T2DM definition included fasting plasma glucose ≥7.0 mmol/L, HbA1c ≥6.5%, self-reported physician diagnosis, or use of glucose-lowering medication. The definition excluding HbA1c was based on fasting plasma glucose, self-reported diagnosis, or glucose-lowering medication, whereas the HbA1c-only definition used HbA1c ≥6.5%.</w:t>
      </w:r>
    </w:p>
    <w:p w14:paraId="458E9964">
      <w:pPr>
        <w:spacing w:before="20" w:after="20" w:line="240" w:lineRule="auto"/>
      </w:pPr>
      <w:r>
        <w:rPr>
          <w:sz w:val="16"/>
        </w:rPr>
        <w:t>All models were adjusted for age, sex, urban/rural residence, educational attainment, smoking status, alcohol consumption, and total energy intake. BMI and waist circumference were additionally included as indicated in Panel B. Community-level cluster-robust standard errors with HC1 correction were used.</w:t>
      </w:r>
    </w:p>
    <w:p w14:paraId="27AC4A77">
      <w:pPr>
        <w:spacing w:before="20" w:after="20" w:line="240" w:lineRule="auto"/>
      </w:pPr>
      <w:r>
        <w:rPr>
          <w:b/>
          <w:sz w:val="16"/>
        </w:rPr>
        <w:t>Abbreviations:</w:t>
      </w:r>
      <w:r>
        <w:rPr>
          <w:sz w:val="16"/>
        </w:rPr>
        <w:t xml:space="preserve"> BMI, body mass index; C-DMIP, China-specific Dietary Metabolic-Inflammatory Pattern; CI, confidence interval; HbA1c, glycated haemoglobin; OR, odds ratio; SD, standard deviation; T2DM, type 2 diabetes mellitus.</w:t>
      </w:r>
    </w:p>
    <w:p w14:paraId="0F5C36ED">
      <w:pPr>
        <w:spacing w:after="100"/>
      </w:pPr>
      <w:r>
        <w:rPr>
          <w:b/>
          <w:sz w:val="20"/>
        </w:rPr>
        <w:t>Supplementary Table S6. Geographic adjustment of C-DMIP–T2DM associations within urban and rural strata</w:t>
      </w:r>
    </w:p>
    <w:tbl>
      <w:tblPr>
        <w:tblStyle w:val="4"/>
        <w:tblW w:w="0" w:type="auto"/>
        <w:jc w:val="center"/>
        <w:tblLayout w:type="autofit"/>
        <w:tblCellMar>
          <w:top w:w="0" w:type="dxa"/>
          <w:left w:w="108" w:type="dxa"/>
          <w:bottom w:w="0" w:type="dxa"/>
          <w:right w:w="108" w:type="dxa"/>
        </w:tblCellMar>
      </w:tblPr>
      <w:tblGrid>
        <w:gridCol w:w="1654"/>
        <w:gridCol w:w="1492"/>
        <w:gridCol w:w="1556"/>
        <w:gridCol w:w="1753"/>
        <w:gridCol w:w="1753"/>
        <w:gridCol w:w="1754"/>
      </w:tblGrid>
      <w:tr w14:paraId="2062CBAB">
        <w:tblPrEx>
          <w:tblCellMar>
            <w:top w:w="0" w:type="dxa"/>
            <w:left w:w="108" w:type="dxa"/>
            <w:bottom w:w="0" w:type="dxa"/>
            <w:right w:w="108" w:type="dxa"/>
          </w:tblCellMar>
        </w:tblPrEx>
        <w:trPr>
          <w:jc w:val="center"/>
        </w:trPr>
        <w:tc>
          <w:tcPr>
            <w:tcW w:w="2375" w:type="dxa"/>
            <w:tcBorders>
              <w:top w:val="single" w:color="000000" w:sz="8" w:space="0"/>
              <w:left w:val="nil"/>
              <w:bottom w:val="single" w:color="000000" w:sz="8" w:space="0"/>
              <w:right w:val="nil"/>
              <w:insideH w:val="nil"/>
              <w:insideV w:val="nil"/>
            </w:tcBorders>
            <w:vAlign w:val="center"/>
          </w:tcPr>
          <w:p w14:paraId="15A91607">
            <w:pPr>
              <w:spacing w:before="0" w:after="10" w:line="240" w:lineRule="auto"/>
              <w:jc w:val="left"/>
            </w:pPr>
            <w:r>
              <w:rPr>
                <w:b/>
                <w:sz w:val="15"/>
              </w:rPr>
              <w:t>Residence stratum</w:t>
            </w:r>
          </w:p>
        </w:tc>
        <w:tc>
          <w:tcPr>
            <w:tcW w:w="2375" w:type="dxa"/>
            <w:tcBorders>
              <w:top w:val="single" w:color="000000" w:sz="8" w:space="0"/>
              <w:left w:val="nil"/>
              <w:bottom w:val="single" w:color="000000" w:sz="8" w:space="0"/>
              <w:right w:val="nil"/>
              <w:insideH w:val="nil"/>
              <w:insideV w:val="nil"/>
            </w:tcBorders>
            <w:vAlign w:val="center"/>
          </w:tcPr>
          <w:p w14:paraId="6FA53611">
            <w:pPr>
              <w:spacing w:before="0" w:after="10" w:line="240" w:lineRule="auto"/>
              <w:jc w:val="center"/>
            </w:pPr>
            <w:r>
              <w:rPr>
                <w:b/>
                <w:sz w:val="15"/>
              </w:rPr>
              <w:t>n</w:t>
            </w:r>
          </w:p>
        </w:tc>
        <w:tc>
          <w:tcPr>
            <w:tcW w:w="2375" w:type="dxa"/>
            <w:tcBorders>
              <w:top w:val="single" w:color="000000" w:sz="8" w:space="0"/>
              <w:left w:val="nil"/>
              <w:bottom w:val="single" w:color="000000" w:sz="8" w:space="0"/>
              <w:right w:val="nil"/>
              <w:insideH w:val="nil"/>
              <w:insideV w:val="nil"/>
            </w:tcBorders>
            <w:vAlign w:val="center"/>
          </w:tcPr>
          <w:p w14:paraId="7119E4FE">
            <w:pPr>
              <w:spacing w:before="0" w:after="10" w:line="240" w:lineRule="auto"/>
              <w:jc w:val="center"/>
            </w:pPr>
            <w:r>
              <w:rPr>
                <w:b/>
                <w:sz w:val="15"/>
              </w:rPr>
              <w:t>Events</w:t>
            </w:r>
          </w:p>
        </w:tc>
        <w:tc>
          <w:tcPr>
            <w:tcW w:w="2375" w:type="dxa"/>
            <w:tcBorders>
              <w:top w:val="single" w:color="000000" w:sz="8" w:space="0"/>
              <w:left w:val="nil"/>
              <w:bottom w:val="single" w:color="000000" w:sz="8" w:space="0"/>
              <w:right w:val="nil"/>
              <w:insideH w:val="nil"/>
              <w:insideV w:val="nil"/>
            </w:tcBorders>
            <w:vAlign w:val="center"/>
          </w:tcPr>
          <w:p w14:paraId="1B57A8B5">
            <w:pPr>
              <w:spacing w:before="0" w:after="10" w:line="240" w:lineRule="auto"/>
              <w:jc w:val="center"/>
            </w:pPr>
            <w:r>
              <w:rPr>
                <w:b/>
                <w:sz w:val="15"/>
              </w:rPr>
              <w:t>Model 3 OR (95% CI)</w:t>
            </w:r>
          </w:p>
        </w:tc>
        <w:tc>
          <w:tcPr>
            <w:tcW w:w="2375" w:type="dxa"/>
            <w:tcBorders>
              <w:top w:val="single" w:color="000000" w:sz="8" w:space="0"/>
              <w:left w:val="nil"/>
              <w:bottom w:val="single" w:color="000000" w:sz="8" w:space="0"/>
              <w:right w:val="nil"/>
              <w:insideH w:val="nil"/>
              <w:insideV w:val="nil"/>
            </w:tcBorders>
            <w:vAlign w:val="center"/>
          </w:tcPr>
          <w:p w14:paraId="4FD68AFE">
            <w:pPr>
              <w:spacing w:before="0" w:after="10" w:line="240" w:lineRule="auto"/>
              <w:jc w:val="center"/>
            </w:pPr>
            <w:r>
              <w:rPr>
                <w:b/>
                <w:sz w:val="15"/>
              </w:rPr>
              <w:t>Model 4: + north–south region OR (95% CI)</w:t>
            </w:r>
          </w:p>
        </w:tc>
        <w:tc>
          <w:tcPr>
            <w:tcW w:w="2375" w:type="dxa"/>
            <w:tcBorders>
              <w:top w:val="single" w:color="000000" w:sz="8" w:space="0"/>
              <w:left w:val="nil"/>
              <w:bottom w:val="single" w:color="000000" w:sz="8" w:space="0"/>
              <w:right w:val="nil"/>
              <w:insideH w:val="nil"/>
              <w:insideV w:val="nil"/>
            </w:tcBorders>
            <w:vAlign w:val="center"/>
          </w:tcPr>
          <w:p w14:paraId="5F503049">
            <w:pPr>
              <w:spacing w:before="0" w:after="10" w:line="240" w:lineRule="auto"/>
              <w:jc w:val="center"/>
            </w:pPr>
            <w:r>
              <w:rPr>
                <w:b/>
                <w:sz w:val="15"/>
              </w:rPr>
              <w:t>Model 5: + province fixed effects OR (95% CI)</w:t>
            </w:r>
          </w:p>
        </w:tc>
      </w:tr>
      <w:tr w14:paraId="1FCEB336">
        <w:tblPrEx>
          <w:tblCellMar>
            <w:top w:w="0" w:type="dxa"/>
            <w:left w:w="108" w:type="dxa"/>
            <w:bottom w:w="0" w:type="dxa"/>
            <w:right w:w="108" w:type="dxa"/>
          </w:tblCellMar>
        </w:tblPrEx>
        <w:trPr>
          <w:jc w:val="center"/>
        </w:trPr>
        <w:tc>
          <w:tcPr>
            <w:tcW w:w="2375" w:type="dxa"/>
            <w:tcBorders>
              <w:top w:val="nil"/>
              <w:left w:val="nil"/>
              <w:bottom w:val="nil"/>
              <w:right w:val="nil"/>
              <w:insideH w:val="nil"/>
              <w:insideV w:val="nil"/>
            </w:tcBorders>
            <w:vAlign w:val="center"/>
          </w:tcPr>
          <w:p w14:paraId="6D383E48">
            <w:pPr>
              <w:spacing w:before="0" w:after="10" w:line="240" w:lineRule="auto"/>
              <w:jc w:val="left"/>
            </w:pPr>
            <w:r>
              <w:rPr>
                <w:sz w:val="15"/>
              </w:rPr>
              <w:t>Rural</w:t>
            </w:r>
          </w:p>
        </w:tc>
        <w:tc>
          <w:tcPr>
            <w:tcW w:w="2375" w:type="dxa"/>
            <w:tcBorders>
              <w:top w:val="nil"/>
              <w:left w:val="nil"/>
              <w:bottom w:val="nil"/>
              <w:right w:val="nil"/>
              <w:insideH w:val="nil"/>
              <w:insideV w:val="nil"/>
            </w:tcBorders>
            <w:vAlign w:val="center"/>
          </w:tcPr>
          <w:p w14:paraId="2430B0F4">
            <w:pPr>
              <w:spacing w:before="0" w:after="10" w:line="240" w:lineRule="auto"/>
              <w:jc w:val="center"/>
            </w:pPr>
            <w:r>
              <w:rPr>
                <w:sz w:val="15"/>
              </w:rPr>
              <w:t>5463</w:t>
            </w:r>
          </w:p>
        </w:tc>
        <w:tc>
          <w:tcPr>
            <w:tcW w:w="2375" w:type="dxa"/>
            <w:tcBorders>
              <w:top w:val="nil"/>
              <w:left w:val="nil"/>
              <w:bottom w:val="nil"/>
              <w:right w:val="nil"/>
              <w:insideH w:val="nil"/>
              <w:insideV w:val="nil"/>
            </w:tcBorders>
            <w:vAlign w:val="center"/>
          </w:tcPr>
          <w:p w14:paraId="4A51CF04">
            <w:pPr>
              <w:spacing w:before="0" w:after="10" w:line="240" w:lineRule="auto"/>
              <w:jc w:val="center"/>
            </w:pPr>
            <w:r>
              <w:rPr>
                <w:sz w:val="15"/>
              </w:rPr>
              <w:t>461</w:t>
            </w:r>
          </w:p>
        </w:tc>
        <w:tc>
          <w:tcPr>
            <w:tcW w:w="2375" w:type="dxa"/>
            <w:tcBorders>
              <w:top w:val="nil"/>
              <w:left w:val="nil"/>
              <w:bottom w:val="nil"/>
              <w:right w:val="nil"/>
              <w:insideH w:val="nil"/>
              <w:insideV w:val="nil"/>
            </w:tcBorders>
            <w:vAlign w:val="center"/>
          </w:tcPr>
          <w:p w14:paraId="0041A022">
            <w:pPr>
              <w:spacing w:before="0" w:after="10" w:line="240" w:lineRule="auto"/>
              <w:jc w:val="center"/>
            </w:pPr>
            <w:r>
              <w:rPr>
                <w:sz w:val="15"/>
              </w:rPr>
              <w:t>0.935 (0.833–1.049)</w:t>
            </w:r>
          </w:p>
        </w:tc>
        <w:tc>
          <w:tcPr>
            <w:tcW w:w="2375" w:type="dxa"/>
            <w:tcBorders>
              <w:top w:val="nil"/>
              <w:left w:val="nil"/>
              <w:bottom w:val="nil"/>
              <w:right w:val="nil"/>
              <w:insideH w:val="nil"/>
              <w:insideV w:val="nil"/>
            </w:tcBorders>
            <w:vAlign w:val="center"/>
          </w:tcPr>
          <w:p w14:paraId="410CAA6A">
            <w:pPr>
              <w:spacing w:before="0" w:after="10" w:line="240" w:lineRule="auto"/>
              <w:jc w:val="center"/>
            </w:pPr>
            <w:r>
              <w:rPr>
                <w:sz w:val="15"/>
              </w:rPr>
              <w:t>1.010 (0.889–1.148)</w:t>
            </w:r>
          </w:p>
        </w:tc>
        <w:tc>
          <w:tcPr>
            <w:tcW w:w="2375" w:type="dxa"/>
            <w:tcBorders>
              <w:top w:val="nil"/>
              <w:left w:val="nil"/>
              <w:bottom w:val="nil"/>
              <w:right w:val="nil"/>
              <w:insideH w:val="nil"/>
              <w:insideV w:val="nil"/>
            </w:tcBorders>
            <w:vAlign w:val="center"/>
          </w:tcPr>
          <w:p w14:paraId="38414AC3">
            <w:pPr>
              <w:spacing w:before="0" w:after="10" w:line="240" w:lineRule="auto"/>
              <w:jc w:val="center"/>
            </w:pPr>
            <w:r>
              <w:rPr>
                <w:sz w:val="15"/>
              </w:rPr>
              <w:t>1.031 (0.900–1.182)</w:t>
            </w:r>
          </w:p>
        </w:tc>
      </w:tr>
      <w:tr w14:paraId="15283B74">
        <w:tblPrEx>
          <w:tblCellMar>
            <w:top w:w="0" w:type="dxa"/>
            <w:left w:w="108" w:type="dxa"/>
            <w:bottom w:w="0" w:type="dxa"/>
            <w:right w:w="108" w:type="dxa"/>
          </w:tblCellMar>
        </w:tblPrEx>
        <w:trPr>
          <w:jc w:val="center"/>
        </w:trPr>
        <w:tc>
          <w:tcPr>
            <w:tcW w:w="2375" w:type="dxa"/>
            <w:tcBorders>
              <w:top w:val="nil"/>
              <w:left w:val="nil"/>
              <w:bottom w:val="single" w:color="000000" w:sz="8" w:space="0"/>
              <w:right w:val="nil"/>
              <w:insideH w:val="nil"/>
              <w:insideV w:val="nil"/>
            </w:tcBorders>
            <w:vAlign w:val="center"/>
          </w:tcPr>
          <w:p w14:paraId="4F4ACBB5">
            <w:pPr>
              <w:spacing w:before="0" w:after="10" w:line="240" w:lineRule="auto"/>
              <w:jc w:val="left"/>
            </w:pPr>
            <w:r>
              <w:rPr>
                <w:sz w:val="15"/>
              </w:rPr>
              <w:t>Urban</w:t>
            </w:r>
          </w:p>
        </w:tc>
        <w:tc>
          <w:tcPr>
            <w:tcW w:w="2375" w:type="dxa"/>
            <w:tcBorders>
              <w:top w:val="nil"/>
              <w:left w:val="nil"/>
              <w:bottom w:val="single" w:color="000000" w:sz="8" w:space="0"/>
              <w:right w:val="nil"/>
              <w:insideH w:val="nil"/>
              <w:insideV w:val="nil"/>
            </w:tcBorders>
            <w:vAlign w:val="center"/>
          </w:tcPr>
          <w:p w14:paraId="5875E158">
            <w:pPr>
              <w:spacing w:before="0" w:after="10" w:line="240" w:lineRule="auto"/>
              <w:jc w:val="center"/>
            </w:pPr>
            <w:r>
              <w:rPr>
                <w:sz w:val="15"/>
              </w:rPr>
              <w:t>2383</w:t>
            </w:r>
          </w:p>
        </w:tc>
        <w:tc>
          <w:tcPr>
            <w:tcW w:w="2375" w:type="dxa"/>
            <w:tcBorders>
              <w:top w:val="nil"/>
              <w:left w:val="nil"/>
              <w:bottom w:val="single" w:color="000000" w:sz="8" w:space="0"/>
              <w:right w:val="nil"/>
              <w:insideH w:val="nil"/>
              <w:insideV w:val="nil"/>
            </w:tcBorders>
            <w:vAlign w:val="center"/>
          </w:tcPr>
          <w:p w14:paraId="2CAB9CDA">
            <w:pPr>
              <w:spacing w:before="0" w:after="10" w:line="240" w:lineRule="auto"/>
              <w:jc w:val="center"/>
            </w:pPr>
            <w:r>
              <w:rPr>
                <w:sz w:val="15"/>
              </w:rPr>
              <w:t>329</w:t>
            </w:r>
          </w:p>
        </w:tc>
        <w:tc>
          <w:tcPr>
            <w:tcW w:w="2375" w:type="dxa"/>
            <w:tcBorders>
              <w:top w:val="nil"/>
              <w:left w:val="nil"/>
              <w:bottom w:val="single" w:color="000000" w:sz="8" w:space="0"/>
              <w:right w:val="nil"/>
              <w:insideH w:val="nil"/>
              <w:insideV w:val="nil"/>
            </w:tcBorders>
            <w:vAlign w:val="center"/>
          </w:tcPr>
          <w:p w14:paraId="17E99961">
            <w:pPr>
              <w:spacing w:before="0" w:after="10" w:line="240" w:lineRule="auto"/>
              <w:jc w:val="center"/>
            </w:pPr>
            <w:r>
              <w:rPr>
                <w:sz w:val="15"/>
              </w:rPr>
              <w:t>0.836 (0.711–0.984)</w:t>
            </w:r>
          </w:p>
        </w:tc>
        <w:tc>
          <w:tcPr>
            <w:tcW w:w="2375" w:type="dxa"/>
            <w:tcBorders>
              <w:top w:val="nil"/>
              <w:left w:val="nil"/>
              <w:bottom w:val="single" w:color="000000" w:sz="8" w:space="0"/>
              <w:right w:val="nil"/>
              <w:insideH w:val="nil"/>
              <w:insideV w:val="nil"/>
            </w:tcBorders>
            <w:vAlign w:val="center"/>
          </w:tcPr>
          <w:p w14:paraId="48024DAD">
            <w:pPr>
              <w:spacing w:before="0" w:after="10" w:line="240" w:lineRule="auto"/>
              <w:jc w:val="center"/>
            </w:pPr>
            <w:r>
              <w:rPr>
                <w:sz w:val="15"/>
              </w:rPr>
              <w:t>0.911 (0.787–1.056)</w:t>
            </w:r>
          </w:p>
        </w:tc>
        <w:tc>
          <w:tcPr>
            <w:tcW w:w="2375" w:type="dxa"/>
            <w:tcBorders>
              <w:top w:val="nil"/>
              <w:left w:val="nil"/>
              <w:bottom w:val="single" w:color="000000" w:sz="8" w:space="0"/>
              <w:right w:val="nil"/>
              <w:insideH w:val="nil"/>
              <w:insideV w:val="nil"/>
            </w:tcBorders>
            <w:vAlign w:val="center"/>
          </w:tcPr>
          <w:p w14:paraId="666C210E">
            <w:pPr>
              <w:spacing w:before="0" w:after="10" w:line="240" w:lineRule="auto"/>
              <w:jc w:val="center"/>
            </w:pPr>
            <w:r>
              <w:rPr>
                <w:sz w:val="15"/>
              </w:rPr>
              <w:t>0.993 (0.847–1.165)</w:t>
            </w:r>
          </w:p>
        </w:tc>
      </w:tr>
    </w:tbl>
    <w:p w14:paraId="1A4E5F57">
      <w:pPr>
        <w:spacing w:before="20" w:after="20" w:line="240" w:lineRule="auto"/>
      </w:pPr>
      <w:r>
        <w:rPr>
          <w:b/>
          <w:sz w:val="16"/>
        </w:rPr>
        <w:t>Notes:</w:t>
      </w:r>
      <w:r>
        <w:rPr>
          <w:sz w:val="16"/>
        </w:rPr>
        <w:t xml:space="preserve"> Odds ratios and 95% confidence intervals were estimated per one-SD increment in C-DMIP. Model 3 adjusted for age, sex, educational attainment, BMI, waist circumference, smoking status, alcohol consumption, and total energy intake. Urban/rural residence was omitted because analyses were stratified by residence. Model 4 additionally included north–south region, whereas Model 5 replaced the regional indicator with province fixed effects. All models used community-level cluster-robust standard errors with HC1 correction.</w:t>
      </w:r>
    </w:p>
    <w:p w14:paraId="750E1B19">
      <w:pPr>
        <w:spacing w:before="20" w:after="20" w:line="240" w:lineRule="auto"/>
      </w:pPr>
      <w:r>
        <w:rPr>
          <w:b/>
          <w:sz w:val="16"/>
        </w:rPr>
        <w:t>Abbreviations:</w:t>
      </w:r>
      <w:r>
        <w:rPr>
          <w:sz w:val="16"/>
        </w:rPr>
        <w:t xml:space="preserve"> BMI, body mass index; C-DMIP, China-specific Dietary Metabolic-Inflammatory Pattern; CI, confidence interval; OR, odds ratio; SD, standard deviation; T2DM, type 2 diabetes mellitus.</w:t>
      </w:r>
    </w:p>
    <w:p w14:paraId="657133B3">
      <w:pPr>
        <w:spacing w:after="100"/>
      </w:pPr>
      <w:r>
        <w:rPr>
          <w:b/>
          <w:sz w:val="20"/>
        </w:rPr>
        <w:t>Supplementary Table S7. Variance decomposition of the reduced rank regression</w:t>
      </w:r>
    </w:p>
    <w:p w14:paraId="7EFE9B93">
      <w:pPr>
        <w:spacing w:before="100" w:after="60"/>
      </w:pPr>
      <w:r>
        <w:rPr>
          <w:b/>
          <w:sz w:val="18"/>
        </w:rPr>
        <w:t>A. Proportion of fitted-response variance captured by each RRR factor in the development set</w:t>
      </w:r>
    </w:p>
    <w:tbl>
      <w:tblPr>
        <w:tblStyle w:val="4"/>
        <w:tblW w:w="0" w:type="auto"/>
        <w:jc w:val="center"/>
        <w:tblLayout w:type="autofit"/>
        <w:tblCellMar>
          <w:top w:w="0" w:type="dxa"/>
          <w:left w:w="108" w:type="dxa"/>
          <w:bottom w:w="0" w:type="dxa"/>
          <w:right w:w="108" w:type="dxa"/>
        </w:tblCellMar>
      </w:tblPr>
      <w:tblGrid>
        <w:gridCol w:w="3208"/>
        <w:gridCol w:w="3384"/>
        <w:gridCol w:w="3370"/>
      </w:tblGrid>
      <w:tr w14:paraId="0C0D30EC">
        <w:tblPrEx>
          <w:tblCellMar>
            <w:top w:w="0" w:type="dxa"/>
            <w:left w:w="108" w:type="dxa"/>
            <w:bottom w:w="0" w:type="dxa"/>
            <w:right w:w="108" w:type="dxa"/>
          </w:tblCellMar>
        </w:tblPrEx>
        <w:trPr>
          <w:jc w:val="center"/>
        </w:trPr>
        <w:tc>
          <w:tcPr>
            <w:tcW w:w="4751" w:type="dxa"/>
            <w:tcBorders>
              <w:top w:val="single" w:color="000000" w:sz="8" w:space="0"/>
              <w:left w:val="nil"/>
              <w:bottom w:val="single" w:color="000000" w:sz="8" w:space="0"/>
              <w:right w:val="nil"/>
              <w:insideH w:val="nil"/>
              <w:insideV w:val="nil"/>
            </w:tcBorders>
            <w:vAlign w:val="center"/>
          </w:tcPr>
          <w:p w14:paraId="29E17C32">
            <w:pPr>
              <w:spacing w:before="0" w:after="10" w:line="240" w:lineRule="auto"/>
              <w:jc w:val="left"/>
            </w:pPr>
            <w:r>
              <w:rPr>
                <w:b/>
                <w:sz w:val="16"/>
              </w:rPr>
              <w:t>RRR factor</w:t>
            </w:r>
          </w:p>
        </w:tc>
        <w:tc>
          <w:tcPr>
            <w:tcW w:w="4751" w:type="dxa"/>
            <w:tcBorders>
              <w:top w:val="single" w:color="000000" w:sz="8" w:space="0"/>
              <w:left w:val="nil"/>
              <w:bottom w:val="single" w:color="000000" w:sz="8" w:space="0"/>
              <w:right w:val="nil"/>
              <w:insideH w:val="nil"/>
              <w:insideV w:val="nil"/>
            </w:tcBorders>
            <w:vAlign w:val="center"/>
          </w:tcPr>
          <w:p w14:paraId="5FEF33C0">
            <w:pPr>
              <w:spacing w:before="0" w:after="10" w:line="240" w:lineRule="auto"/>
              <w:jc w:val="center"/>
            </w:pPr>
            <w:r>
              <w:rPr>
                <w:b/>
                <w:sz w:val="16"/>
              </w:rPr>
              <w:t>Proportion of fitted-response variance, %</w:t>
            </w:r>
          </w:p>
        </w:tc>
        <w:tc>
          <w:tcPr>
            <w:tcW w:w="4751" w:type="dxa"/>
            <w:tcBorders>
              <w:top w:val="single" w:color="000000" w:sz="8" w:space="0"/>
              <w:left w:val="nil"/>
              <w:bottom w:val="single" w:color="000000" w:sz="8" w:space="0"/>
              <w:right w:val="nil"/>
              <w:insideH w:val="nil"/>
              <w:insideV w:val="nil"/>
            </w:tcBorders>
            <w:vAlign w:val="center"/>
          </w:tcPr>
          <w:p w14:paraId="5DA721DB">
            <w:pPr>
              <w:spacing w:before="0" w:after="10" w:line="240" w:lineRule="auto"/>
              <w:jc w:val="center"/>
            </w:pPr>
            <w:r>
              <w:rPr>
                <w:b/>
                <w:sz w:val="16"/>
              </w:rPr>
              <w:t>Interpretation</w:t>
            </w:r>
          </w:p>
        </w:tc>
      </w:tr>
      <w:tr w14:paraId="5258AF6D">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354B772E">
            <w:pPr>
              <w:spacing w:before="0" w:after="10" w:line="240" w:lineRule="auto"/>
              <w:jc w:val="left"/>
            </w:pPr>
            <w:r>
              <w:rPr>
                <w:sz w:val="16"/>
              </w:rPr>
              <w:t>Factor 1: C-DMIP</w:t>
            </w:r>
          </w:p>
        </w:tc>
        <w:tc>
          <w:tcPr>
            <w:tcW w:w="4751" w:type="dxa"/>
            <w:tcBorders>
              <w:top w:val="nil"/>
              <w:left w:val="nil"/>
              <w:bottom w:val="nil"/>
              <w:right w:val="nil"/>
              <w:insideH w:val="nil"/>
              <w:insideV w:val="nil"/>
            </w:tcBorders>
            <w:vAlign w:val="center"/>
          </w:tcPr>
          <w:p w14:paraId="45B318EA">
            <w:pPr>
              <w:spacing w:before="0" w:after="10" w:line="240" w:lineRule="auto"/>
              <w:jc w:val="center"/>
            </w:pPr>
            <w:r>
              <w:rPr>
                <w:sz w:val="16"/>
              </w:rPr>
              <w:t>66.2</w:t>
            </w:r>
          </w:p>
        </w:tc>
        <w:tc>
          <w:tcPr>
            <w:tcW w:w="4751" w:type="dxa"/>
            <w:tcBorders>
              <w:top w:val="nil"/>
              <w:left w:val="nil"/>
              <w:bottom w:val="nil"/>
              <w:right w:val="nil"/>
              <w:insideH w:val="nil"/>
              <w:insideV w:val="nil"/>
            </w:tcBorders>
            <w:vAlign w:val="center"/>
          </w:tcPr>
          <w:p w14:paraId="0EF7D778">
            <w:pPr>
              <w:spacing w:before="0" w:after="10" w:line="240" w:lineRule="auto"/>
              <w:jc w:val="center"/>
            </w:pPr>
            <w:r>
              <w:rPr>
                <w:sz w:val="16"/>
              </w:rPr>
              <w:t>Retained as the primary dietary pattern</w:t>
            </w:r>
          </w:p>
        </w:tc>
      </w:tr>
      <w:tr w14:paraId="54D77B26">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4BAEA717">
            <w:pPr>
              <w:spacing w:before="0" w:after="10" w:line="240" w:lineRule="auto"/>
              <w:jc w:val="left"/>
            </w:pPr>
            <w:r>
              <w:rPr>
                <w:sz w:val="16"/>
              </w:rPr>
              <w:t>Factor 2</w:t>
            </w:r>
          </w:p>
        </w:tc>
        <w:tc>
          <w:tcPr>
            <w:tcW w:w="4751" w:type="dxa"/>
            <w:tcBorders>
              <w:top w:val="nil"/>
              <w:left w:val="nil"/>
              <w:bottom w:val="nil"/>
              <w:right w:val="nil"/>
              <w:insideH w:val="nil"/>
              <w:insideV w:val="nil"/>
            </w:tcBorders>
            <w:vAlign w:val="center"/>
          </w:tcPr>
          <w:p w14:paraId="1852446B">
            <w:pPr>
              <w:spacing w:before="0" w:after="10" w:line="240" w:lineRule="auto"/>
              <w:jc w:val="center"/>
            </w:pPr>
            <w:r>
              <w:rPr>
                <w:sz w:val="16"/>
              </w:rPr>
              <w:t>19.6</w:t>
            </w:r>
          </w:p>
        </w:tc>
        <w:tc>
          <w:tcPr>
            <w:tcW w:w="4751" w:type="dxa"/>
            <w:tcBorders>
              <w:top w:val="nil"/>
              <w:left w:val="nil"/>
              <w:bottom w:val="nil"/>
              <w:right w:val="nil"/>
              <w:insideH w:val="nil"/>
              <w:insideV w:val="nil"/>
            </w:tcBorders>
            <w:vAlign w:val="center"/>
          </w:tcPr>
          <w:p w14:paraId="3A354423">
            <w:pPr>
              <w:spacing w:before="0" w:after="10" w:line="240" w:lineRule="auto"/>
              <w:jc w:val="center"/>
            </w:pPr>
            <w:r>
              <w:rPr>
                <w:sz w:val="16"/>
              </w:rPr>
              <w:t>Not retained</w:t>
            </w:r>
          </w:p>
        </w:tc>
      </w:tr>
      <w:tr w14:paraId="6049A937">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10E20BFC">
            <w:pPr>
              <w:spacing w:before="0" w:after="10" w:line="240" w:lineRule="auto"/>
              <w:jc w:val="left"/>
            </w:pPr>
            <w:r>
              <w:rPr>
                <w:sz w:val="16"/>
              </w:rPr>
              <w:t>Factor 3</w:t>
            </w:r>
          </w:p>
        </w:tc>
        <w:tc>
          <w:tcPr>
            <w:tcW w:w="4751" w:type="dxa"/>
            <w:tcBorders>
              <w:top w:val="nil"/>
              <w:left w:val="nil"/>
              <w:bottom w:val="nil"/>
              <w:right w:val="nil"/>
              <w:insideH w:val="nil"/>
              <w:insideV w:val="nil"/>
            </w:tcBorders>
            <w:vAlign w:val="center"/>
          </w:tcPr>
          <w:p w14:paraId="30087890">
            <w:pPr>
              <w:spacing w:before="0" w:after="10" w:line="240" w:lineRule="auto"/>
              <w:jc w:val="center"/>
            </w:pPr>
            <w:r>
              <w:rPr>
                <w:sz w:val="16"/>
              </w:rPr>
              <w:t>9.1</w:t>
            </w:r>
          </w:p>
        </w:tc>
        <w:tc>
          <w:tcPr>
            <w:tcW w:w="4751" w:type="dxa"/>
            <w:tcBorders>
              <w:top w:val="nil"/>
              <w:left w:val="nil"/>
              <w:bottom w:val="nil"/>
              <w:right w:val="nil"/>
              <w:insideH w:val="nil"/>
              <w:insideV w:val="nil"/>
            </w:tcBorders>
            <w:vAlign w:val="center"/>
          </w:tcPr>
          <w:p w14:paraId="23B512F4">
            <w:pPr>
              <w:spacing w:before="0" w:after="10" w:line="240" w:lineRule="auto"/>
              <w:jc w:val="center"/>
            </w:pPr>
            <w:r>
              <w:rPr>
                <w:sz w:val="16"/>
              </w:rPr>
              <w:t>Not retained</w:t>
            </w:r>
          </w:p>
        </w:tc>
      </w:tr>
      <w:tr w14:paraId="6A50AC51">
        <w:tblPrEx>
          <w:tblCellMar>
            <w:top w:w="0" w:type="dxa"/>
            <w:left w:w="108" w:type="dxa"/>
            <w:bottom w:w="0" w:type="dxa"/>
            <w:right w:w="108" w:type="dxa"/>
          </w:tblCellMar>
        </w:tblPrEx>
        <w:trPr>
          <w:jc w:val="center"/>
        </w:trPr>
        <w:tc>
          <w:tcPr>
            <w:tcW w:w="4751" w:type="dxa"/>
            <w:tcBorders>
              <w:top w:val="nil"/>
              <w:left w:val="nil"/>
              <w:bottom w:val="single" w:color="000000" w:sz="8" w:space="0"/>
              <w:right w:val="nil"/>
              <w:insideH w:val="nil"/>
              <w:insideV w:val="nil"/>
            </w:tcBorders>
            <w:vAlign w:val="center"/>
          </w:tcPr>
          <w:p w14:paraId="6E3C63AD">
            <w:pPr>
              <w:spacing w:before="0" w:after="10" w:line="240" w:lineRule="auto"/>
              <w:jc w:val="left"/>
            </w:pPr>
            <w:r>
              <w:rPr>
                <w:sz w:val="16"/>
              </w:rPr>
              <w:t>Factor 4</w:t>
            </w:r>
          </w:p>
        </w:tc>
        <w:tc>
          <w:tcPr>
            <w:tcW w:w="4751" w:type="dxa"/>
            <w:tcBorders>
              <w:top w:val="nil"/>
              <w:left w:val="nil"/>
              <w:bottom w:val="single" w:color="000000" w:sz="8" w:space="0"/>
              <w:right w:val="nil"/>
              <w:insideH w:val="nil"/>
              <w:insideV w:val="nil"/>
            </w:tcBorders>
            <w:vAlign w:val="center"/>
          </w:tcPr>
          <w:p w14:paraId="41058EAB">
            <w:pPr>
              <w:spacing w:before="0" w:after="10" w:line="240" w:lineRule="auto"/>
              <w:jc w:val="center"/>
            </w:pPr>
            <w:r>
              <w:rPr>
                <w:sz w:val="16"/>
              </w:rPr>
              <w:t>5.1</w:t>
            </w:r>
          </w:p>
        </w:tc>
        <w:tc>
          <w:tcPr>
            <w:tcW w:w="4751" w:type="dxa"/>
            <w:tcBorders>
              <w:top w:val="nil"/>
              <w:left w:val="nil"/>
              <w:bottom w:val="single" w:color="000000" w:sz="8" w:space="0"/>
              <w:right w:val="nil"/>
              <w:insideH w:val="nil"/>
              <w:insideV w:val="nil"/>
            </w:tcBorders>
            <w:vAlign w:val="center"/>
          </w:tcPr>
          <w:p w14:paraId="13201337">
            <w:pPr>
              <w:spacing w:before="0" w:after="10" w:line="240" w:lineRule="auto"/>
              <w:jc w:val="center"/>
            </w:pPr>
            <w:r>
              <w:rPr>
                <w:sz w:val="16"/>
              </w:rPr>
              <w:t>Not retained</w:t>
            </w:r>
          </w:p>
        </w:tc>
      </w:tr>
    </w:tbl>
    <w:p w14:paraId="056E78FC">
      <w:pPr>
        <w:spacing w:before="100" w:after="60"/>
      </w:pPr>
      <w:r>
        <w:rPr>
          <w:b/>
          <w:sz w:val="18"/>
        </w:rPr>
        <w:t>B. Variance in the original response variables explained by the first RRR factor</w:t>
      </w:r>
    </w:p>
    <w:tbl>
      <w:tblPr>
        <w:tblStyle w:val="4"/>
        <w:tblW w:w="0" w:type="auto"/>
        <w:jc w:val="center"/>
        <w:tblLayout w:type="autofit"/>
        <w:tblCellMar>
          <w:top w:w="0" w:type="dxa"/>
          <w:left w:w="108" w:type="dxa"/>
          <w:bottom w:w="0" w:type="dxa"/>
          <w:right w:w="108" w:type="dxa"/>
        </w:tblCellMar>
      </w:tblPr>
      <w:tblGrid>
        <w:gridCol w:w="3457"/>
        <w:gridCol w:w="3169"/>
        <w:gridCol w:w="3336"/>
      </w:tblGrid>
      <w:tr w14:paraId="37DF6327">
        <w:tblPrEx>
          <w:tblCellMar>
            <w:top w:w="0" w:type="dxa"/>
            <w:left w:w="108" w:type="dxa"/>
            <w:bottom w:w="0" w:type="dxa"/>
            <w:right w:w="108" w:type="dxa"/>
          </w:tblCellMar>
        </w:tblPrEx>
        <w:trPr>
          <w:jc w:val="center"/>
        </w:trPr>
        <w:tc>
          <w:tcPr>
            <w:tcW w:w="4751" w:type="dxa"/>
            <w:tcBorders>
              <w:top w:val="single" w:color="000000" w:sz="8" w:space="0"/>
              <w:left w:val="nil"/>
              <w:bottom w:val="single" w:color="000000" w:sz="8" w:space="0"/>
              <w:right w:val="nil"/>
              <w:insideH w:val="nil"/>
              <w:insideV w:val="nil"/>
            </w:tcBorders>
            <w:vAlign w:val="center"/>
          </w:tcPr>
          <w:p w14:paraId="5DF48779">
            <w:pPr>
              <w:spacing w:before="0" w:after="10" w:line="240" w:lineRule="auto"/>
              <w:jc w:val="left"/>
            </w:pPr>
            <w:r>
              <w:rPr>
                <w:b/>
                <w:sz w:val="16"/>
              </w:rPr>
              <w:t>Response variable</w:t>
            </w:r>
          </w:p>
        </w:tc>
        <w:tc>
          <w:tcPr>
            <w:tcW w:w="4751" w:type="dxa"/>
            <w:tcBorders>
              <w:top w:val="single" w:color="000000" w:sz="8" w:space="0"/>
              <w:left w:val="nil"/>
              <w:bottom w:val="single" w:color="000000" w:sz="8" w:space="0"/>
              <w:right w:val="nil"/>
              <w:insideH w:val="nil"/>
              <w:insideV w:val="nil"/>
            </w:tcBorders>
            <w:vAlign w:val="center"/>
          </w:tcPr>
          <w:p w14:paraId="3AD9D640">
            <w:pPr>
              <w:spacing w:before="0" w:after="10" w:line="240" w:lineRule="auto"/>
              <w:jc w:val="center"/>
            </w:pPr>
            <w:r>
              <w:rPr>
                <w:b/>
                <w:sz w:val="16"/>
              </w:rPr>
              <w:t>R²</w:t>
            </w:r>
          </w:p>
        </w:tc>
        <w:tc>
          <w:tcPr>
            <w:tcW w:w="4751" w:type="dxa"/>
            <w:tcBorders>
              <w:top w:val="single" w:color="000000" w:sz="8" w:space="0"/>
              <w:left w:val="nil"/>
              <w:bottom w:val="single" w:color="000000" w:sz="8" w:space="0"/>
              <w:right w:val="nil"/>
              <w:insideH w:val="nil"/>
              <w:insideV w:val="nil"/>
            </w:tcBorders>
            <w:vAlign w:val="center"/>
          </w:tcPr>
          <w:p w14:paraId="52F1C95F">
            <w:pPr>
              <w:spacing w:before="0" w:after="10" w:line="240" w:lineRule="auto"/>
              <w:jc w:val="center"/>
            </w:pPr>
            <w:r>
              <w:rPr>
                <w:b/>
                <w:sz w:val="16"/>
              </w:rPr>
              <w:t>Correlation with C-DMIP, r</w:t>
            </w:r>
          </w:p>
        </w:tc>
      </w:tr>
      <w:tr w14:paraId="60384DE7">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729FF674">
            <w:pPr>
              <w:spacing w:before="0" w:after="10" w:line="240" w:lineRule="auto"/>
              <w:jc w:val="left"/>
            </w:pPr>
            <w:r>
              <w:rPr>
                <w:sz w:val="16"/>
              </w:rPr>
              <w:t>BMI-residualised hs-CRP</w:t>
            </w:r>
          </w:p>
        </w:tc>
        <w:tc>
          <w:tcPr>
            <w:tcW w:w="4751" w:type="dxa"/>
            <w:tcBorders>
              <w:top w:val="nil"/>
              <w:left w:val="nil"/>
              <w:bottom w:val="nil"/>
              <w:right w:val="nil"/>
              <w:insideH w:val="nil"/>
              <w:insideV w:val="nil"/>
            </w:tcBorders>
            <w:vAlign w:val="center"/>
          </w:tcPr>
          <w:p w14:paraId="463615BA">
            <w:pPr>
              <w:spacing w:before="0" w:after="10" w:line="240" w:lineRule="auto"/>
              <w:jc w:val="center"/>
            </w:pPr>
            <w:r>
              <w:rPr>
                <w:sz w:val="16"/>
              </w:rPr>
              <w:t>0.006</w:t>
            </w:r>
          </w:p>
        </w:tc>
        <w:tc>
          <w:tcPr>
            <w:tcW w:w="4751" w:type="dxa"/>
            <w:tcBorders>
              <w:top w:val="nil"/>
              <w:left w:val="nil"/>
              <w:bottom w:val="nil"/>
              <w:right w:val="nil"/>
              <w:insideH w:val="nil"/>
              <w:insideV w:val="nil"/>
            </w:tcBorders>
            <w:vAlign w:val="center"/>
          </w:tcPr>
          <w:p w14:paraId="115BC5D2">
            <w:pPr>
              <w:spacing w:before="0" w:after="10" w:line="240" w:lineRule="auto"/>
              <w:jc w:val="center"/>
            </w:pPr>
            <w:r>
              <w:rPr>
                <w:sz w:val="16"/>
              </w:rPr>
              <w:t>0.075</w:t>
            </w:r>
          </w:p>
        </w:tc>
      </w:tr>
      <w:tr w14:paraId="1788CBD3">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5837CCFD">
            <w:pPr>
              <w:spacing w:before="0" w:after="10" w:line="240" w:lineRule="auto"/>
              <w:jc w:val="left"/>
            </w:pPr>
            <w:r>
              <w:rPr>
                <w:sz w:val="16"/>
              </w:rPr>
              <w:t>BMI-residualised HOMA-IR</w:t>
            </w:r>
          </w:p>
        </w:tc>
        <w:tc>
          <w:tcPr>
            <w:tcW w:w="4751" w:type="dxa"/>
            <w:tcBorders>
              <w:top w:val="nil"/>
              <w:left w:val="nil"/>
              <w:bottom w:val="nil"/>
              <w:right w:val="nil"/>
              <w:insideH w:val="nil"/>
              <w:insideV w:val="nil"/>
            </w:tcBorders>
            <w:vAlign w:val="center"/>
          </w:tcPr>
          <w:p w14:paraId="13B263F8">
            <w:pPr>
              <w:spacing w:before="0" w:after="10" w:line="240" w:lineRule="auto"/>
              <w:jc w:val="center"/>
            </w:pPr>
            <w:r>
              <w:rPr>
                <w:sz w:val="16"/>
              </w:rPr>
              <w:t>0.000</w:t>
            </w:r>
          </w:p>
        </w:tc>
        <w:tc>
          <w:tcPr>
            <w:tcW w:w="4751" w:type="dxa"/>
            <w:tcBorders>
              <w:top w:val="nil"/>
              <w:left w:val="nil"/>
              <w:bottom w:val="nil"/>
              <w:right w:val="nil"/>
              <w:insideH w:val="nil"/>
              <w:insideV w:val="nil"/>
            </w:tcBorders>
            <w:vAlign w:val="center"/>
          </w:tcPr>
          <w:p w14:paraId="6C462052">
            <w:pPr>
              <w:spacing w:before="0" w:after="10" w:line="240" w:lineRule="auto"/>
              <w:jc w:val="center"/>
            </w:pPr>
            <w:r>
              <w:rPr>
                <w:sz w:val="16"/>
              </w:rPr>
              <w:t>−0.002</w:t>
            </w:r>
          </w:p>
        </w:tc>
      </w:tr>
      <w:tr w14:paraId="1870795F">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0271B149">
            <w:pPr>
              <w:spacing w:before="0" w:after="10" w:line="240" w:lineRule="auto"/>
              <w:jc w:val="left"/>
            </w:pPr>
            <w:r>
              <w:rPr>
                <w:sz w:val="16"/>
              </w:rPr>
              <w:t>BMI-residualised TG/HDL-C</w:t>
            </w:r>
          </w:p>
        </w:tc>
        <w:tc>
          <w:tcPr>
            <w:tcW w:w="4751" w:type="dxa"/>
            <w:tcBorders>
              <w:top w:val="nil"/>
              <w:left w:val="nil"/>
              <w:bottom w:val="nil"/>
              <w:right w:val="nil"/>
              <w:insideH w:val="nil"/>
              <w:insideV w:val="nil"/>
            </w:tcBorders>
            <w:vAlign w:val="center"/>
          </w:tcPr>
          <w:p w14:paraId="0FE8F5F9">
            <w:pPr>
              <w:spacing w:before="0" w:after="10" w:line="240" w:lineRule="auto"/>
              <w:jc w:val="center"/>
            </w:pPr>
            <w:r>
              <w:rPr>
                <w:sz w:val="16"/>
              </w:rPr>
              <w:t>0.016</w:t>
            </w:r>
          </w:p>
        </w:tc>
        <w:tc>
          <w:tcPr>
            <w:tcW w:w="4751" w:type="dxa"/>
            <w:tcBorders>
              <w:top w:val="nil"/>
              <w:left w:val="nil"/>
              <w:bottom w:val="nil"/>
              <w:right w:val="nil"/>
              <w:insideH w:val="nil"/>
              <w:insideV w:val="nil"/>
            </w:tcBorders>
            <w:vAlign w:val="center"/>
          </w:tcPr>
          <w:p w14:paraId="1E126C95">
            <w:pPr>
              <w:spacing w:before="0" w:after="10" w:line="240" w:lineRule="auto"/>
              <w:jc w:val="center"/>
            </w:pPr>
            <w:r>
              <w:rPr>
                <w:sz w:val="16"/>
              </w:rPr>
              <w:t>0.125</w:t>
            </w:r>
          </w:p>
        </w:tc>
      </w:tr>
      <w:tr w14:paraId="12DDF82B">
        <w:tblPrEx>
          <w:tblCellMar>
            <w:top w:w="0" w:type="dxa"/>
            <w:left w:w="108" w:type="dxa"/>
            <w:bottom w:w="0" w:type="dxa"/>
            <w:right w:w="108" w:type="dxa"/>
          </w:tblCellMar>
        </w:tblPrEx>
        <w:trPr>
          <w:jc w:val="center"/>
        </w:trPr>
        <w:tc>
          <w:tcPr>
            <w:tcW w:w="4751" w:type="dxa"/>
            <w:tcBorders>
              <w:top w:val="nil"/>
              <w:left w:val="nil"/>
              <w:bottom w:val="nil"/>
              <w:right w:val="nil"/>
              <w:insideH w:val="nil"/>
              <w:insideV w:val="nil"/>
            </w:tcBorders>
            <w:vAlign w:val="center"/>
          </w:tcPr>
          <w:p w14:paraId="14FCAA2A">
            <w:pPr>
              <w:spacing w:before="0" w:after="10" w:line="240" w:lineRule="auto"/>
              <w:jc w:val="left"/>
            </w:pPr>
            <w:r>
              <w:rPr>
                <w:sz w:val="16"/>
              </w:rPr>
              <w:t>BMI-residualised serum uric acid</w:t>
            </w:r>
          </w:p>
        </w:tc>
        <w:tc>
          <w:tcPr>
            <w:tcW w:w="4751" w:type="dxa"/>
            <w:tcBorders>
              <w:top w:val="nil"/>
              <w:left w:val="nil"/>
              <w:bottom w:val="nil"/>
              <w:right w:val="nil"/>
              <w:insideH w:val="nil"/>
              <w:insideV w:val="nil"/>
            </w:tcBorders>
            <w:vAlign w:val="center"/>
          </w:tcPr>
          <w:p w14:paraId="74DC6BD5">
            <w:pPr>
              <w:spacing w:before="0" w:after="10" w:line="240" w:lineRule="auto"/>
              <w:jc w:val="center"/>
            </w:pPr>
            <w:r>
              <w:rPr>
                <w:sz w:val="16"/>
              </w:rPr>
              <w:t>0.059</w:t>
            </w:r>
          </w:p>
        </w:tc>
        <w:tc>
          <w:tcPr>
            <w:tcW w:w="4751" w:type="dxa"/>
            <w:tcBorders>
              <w:top w:val="nil"/>
              <w:left w:val="nil"/>
              <w:bottom w:val="nil"/>
              <w:right w:val="nil"/>
              <w:insideH w:val="nil"/>
              <w:insideV w:val="nil"/>
            </w:tcBorders>
            <w:vAlign w:val="center"/>
          </w:tcPr>
          <w:p w14:paraId="78483171">
            <w:pPr>
              <w:spacing w:before="0" w:after="10" w:line="240" w:lineRule="auto"/>
              <w:jc w:val="center"/>
            </w:pPr>
            <w:r>
              <w:rPr>
                <w:sz w:val="16"/>
              </w:rPr>
              <w:t>0.242</w:t>
            </w:r>
          </w:p>
        </w:tc>
      </w:tr>
      <w:tr w14:paraId="2171917E">
        <w:tblPrEx>
          <w:tblCellMar>
            <w:top w:w="0" w:type="dxa"/>
            <w:left w:w="108" w:type="dxa"/>
            <w:bottom w:w="0" w:type="dxa"/>
            <w:right w:w="108" w:type="dxa"/>
          </w:tblCellMar>
        </w:tblPrEx>
        <w:trPr>
          <w:jc w:val="center"/>
        </w:trPr>
        <w:tc>
          <w:tcPr>
            <w:tcW w:w="4751" w:type="dxa"/>
            <w:tcBorders>
              <w:top w:val="nil"/>
              <w:left w:val="nil"/>
              <w:bottom w:val="single" w:color="000000" w:sz="8" w:space="0"/>
              <w:right w:val="nil"/>
              <w:insideH w:val="nil"/>
              <w:insideV w:val="nil"/>
            </w:tcBorders>
            <w:vAlign w:val="center"/>
          </w:tcPr>
          <w:p w14:paraId="451A7AC4">
            <w:pPr>
              <w:spacing w:before="0" w:after="10" w:line="240" w:lineRule="auto"/>
              <w:jc w:val="left"/>
            </w:pPr>
            <w:r>
              <w:rPr>
                <w:sz w:val="16"/>
              </w:rPr>
              <w:t>Mean across the four responses</w:t>
            </w:r>
          </w:p>
        </w:tc>
        <w:tc>
          <w:tcPr>
            <w:tcW w:w="4751" w:type="dxa"/>
            <w:tcBorders>
              <w:top w:val="nil"/>
              <w:left w:val="nil"/>
              <w:bottom w:val="single" w:color="000000" w:sz="8" w:space="0"/>
              <w:right w:val="nil"/>
              <w:insideH w:val="nil"/>
              <w:insideV w:val="nil"/>
            </w:tcBorders>
            <w:vAlign w:val="center"/>
          </w:tcPr>
          <w:p w14:paraId="16806034">
            <w:pPr>
              <w:spacing w:before="0" w:after="10" w:line="240" w:lineRule="auto"/>
              <w:jc w:val="center"/>
            </w:pPr>
            <w:r>
              <w:rPr>
                <w:sz w:val="16"/>
              </w:rPr>
              <w:t>0.020</w:t>
            </w:r>
          </w:p>
        </w:tc>
        <w:tc>
          <w:tcPr>
            <w:tcW w:w="4751" w:type="dxa"/>
            <w:tcBorders>
              <w:top w:val="nil"/>
              <w:left w:val="nil"/>
              <w:bottom w:val="single" w:color="000000" w:sz="8" w:space="0"/>
              <w:right w:val="nil"/>
              <w:insideH w:val="nil"/>
              <w:insideV w:val="nil"/>
            </w:tcBorders>
            <w:vAlign w:val="center"/>
          </w:tcPr>
          <w:p w14:paraId="282C1F5D">
            <w:pPr>
              <w:spacing w:before="0" w:after="10" w:line="240" w:lineRule="auto"/>
              <w:jc w:val="center"/>
            </w:pPr>
            <w:r>
              <w:rPr>
                <w:sz w:val="16"/>
              </w:rPr>
              <w:t>—</w:t>
            </w:r>
          </w:p>
        </w:tc>
      </w:tr>
    </w:tbl>
    <w:p w14:paraId="06DD57EB">
      <w:pPr>
        <w:spacing w:before="100" w:after="60"/>
      </w:pPr>
      <w:r>
        <w:rPr>
          <w:b/>
          <w:sz w:val="18"/>
        </w:rPr>
        <w:t>C. Variance in food-group predictors explained by the first RRR factor</w:t>
      </w:r>
    </w:p>
    <w:tbl>
      <w:tblPr>
        <w:tblStyle w:val="4"/>
        <w:tblW w:w="0" w:type="auto"/>
        <w:jc w:val="center"/>
        <w:tblLayout w:type="autofit"/>
        <w:tblCellMar>
          <w:top w:w="0" w:type="dxa"/>
          <w:left w:w="108" w:type="dxa"/>
          <w:bottom w:w="0" w:type="dxa"/>
          <w:right w:w="108" w:type="dxa"/>
        </w:tblCellMar>
      </w:tblPr>
      <w:tblGrid>
        <w:gridCol w:w="5035"/>
        <w:gridCol w:w="4927"/>
      </w:tblGrid>
      <w:tr w14:paraId="396A8F3F">
        <w:tblPrEx>
          <w:tblCellMar>
            <w:top w:w="0" w:type="dxa"/>
            <w:left w:w="108" w:type="dxa"/>
            <w:bottom w:w="0" w:type="dxa"/>
            <w:right w:w="108" w:type="dxa"/>
          </w:tblCellMar>
        </w:tblPrEx>
        <w:trPr>
          <w:jc w:val="center"/>
        </w:trPr>
        <w:tc>
          <w:tcPr>
            <w:tcW w:w="7126" w:type="dxa"/>
            <w:tcBorders>
              <w:top w:val="single" w:color="000000" w:sz="8" w:space="0"/>
              <w:left w:val="nil"/>
              <w:bottom w:val="single" w:color="000000" w:sz="8" w:space="0"/>
              <w:right w:val="nil"/>
              <w:insideH w:val="nil"/>
              <w:insideV w:val="nil"/>
            </w:tcBorders>
            <w:vAlign w:val="center"/>
          </w:tcPr>
          <w:p w14:paraId="22BDC89D">
            <w:pPr>
              <w:spacing w:before="0" w:after="10" w:line="240" w:lineRule="auto"/>
              <w:jc w:val="left"/>
            </w:pPr>
            <w:r>
              <w:rPr>
                <w:b/>
                <w:sz w:val="16"/>
              </w:rPr>
              <w:t>Metric</w:t>
            </w:r>
          </w:p>
        </w:tc>
        <w:tc>
          <w:tcPr>
            <w:tcW w:w="7126" w:type="dxa"/>
            <w:tcBorders>
              <w:top w:val="single" w:color="000000" w:sz="8" w:space="0"/>
              <w:left w:val="nil"/>
              <w:bottom w:val="single" w:color="000000" w:sz="8" w:space="0"/>
              <w:right w:val="nil"/>
              <w:insideH w:val="nil"/>
              <w:insideV w:val="nil"/>
            </w:tcBorders>
            <w:vAlign w:val="center"/>
          </w:tcPr>
          <w:p w14:paraId="6EA769D9">
            <w:pPr>
              <w:spacing w:before="0" w:after="10" w:line="240" w:lineRule="auto"/>
              <w:jc w:val="center"/>
            </w:pPr>
            <w:r>
              <w:rPr>
                <w:b/>
                <w:sz w:val="16"/>
              </w:rPr>
              <w:t>Value</w:t>
            </w:r>
          </w:p>
        </w:tc>
      </w:tr>
      <w:tr w14:paraId="4D8157D3">
        <w:tblPrEx>
          <w:tblCellMar>
            <w:top w:w="0" w:type="dxa"/>
            <w:left w:w="108" w:type="dxa"/>
            <w:bottom w:w="0" w:type="dxa"/>
            <w:right w:w="108" w:type="dxa"/>
          </w:tblCellMar>
        </w:tblPrEx>
        <w:trPr>
          <w:jc w:val="center"/>
        </w:trPr>
        <w:tc>
          <w:tcPr>
            <w:tcW w:w="7126" w:type="dxa"/>
            <w:tcBorders>
              <w:top w:val="nil"/>
              <w:left w:val="nil"/>
              <w:bottom w:val="single" w:color="000000" w:sz="8" w:space="0"/>
              <w:right w:val="nil"/>
              <w:insideH w:val="nil"/>
              <w:insideV w:val="nil"/>
            </w:tcBorders>
            <w:vAlign w:val="center"/>
          </w:tcPr>
          <w:p w14:paraId="27D5C1C3">
            <w:pPr>
              <w:spacing w:before="0" w:after="10" w:line="240" w:lineRule="auto"/>
              <w:jc w:val="left"/>
            </w:pPr>
            <w:r>
              <w:rPr>
                <w:sz w:val="16"/>
              </w:rPr>
              <w:t>Variance in the 32 food-group predictors explained by Factor 1, %</w:t>
            </w:r>
          </w:p>
        </w:tc>
        <w:tc>
          <w:tcPr>
            <w:tcW w:w="7126" w:type="dxa"/>
            <w:tcBorders>
              <w:top w:val="nil"/>
              <w:left w:val="nil"/>
              <w:bottom w:val="single" w:color="000000" w:sz="8" w:space="0"/>
              <w:right w:val="nil"/>
              <w:insideH w:val="nil"/>
              <w:insideV w:val="nil"/>
            </w:tcBorders>
            <w:vAlign w:val="center"/>
          </w:tcPr>
          <w:p w14:paraId="3FAF7461">
            <w:pPr>
              <w:spacing w:before="0" w:after="10" w:line="240" w:lineRule="auto"/>
              <w:jc w:val="center"/>
            </w:pPr>
            <w:r>
              <w:rPr>
                <w:sz w:val="16"/>
              </w:rPr>
              <w:t>5.6</w:t>
            </w:r>
          </w:p>
        </w:tc>
      </w:tr>
    </w:tbl>
    <w:p w14:paraId="41A9A3B3">
      <w:pPr>
        <w:spacing w:before="20" w:after="20" w:line="240" w:lineRule="auto"/>
      </w:pPr>
      <w:r>
        <w:rPr>
          <w:b/>
          <w:sz w:val="16"/>
        </w:rPr>
        <w:t>Notes:</w:t>
      </w:r>
      <w:r>
        <w:rPr>
          <w:sz w:val="16"/>
        </w:rPr>
        <w:t xml:space="preserve"> The RRR model was derived in development-set participants without prevalent T2DM (n = 4956). Panel A reports the proportion of variance in the RRR-fitted response scores attributable to each RRR factor. The first factor accounted for 66.2% of the fitted-response variance and was retained as C-DMIP. The 66.2% value should not be interpreted as the proportion of variance in the original metabolic-inflammatory biomarkers explained by C-DMIP. As shown in Panel B, the first factor explained an average of 2.0% of the variance in the original response variables. The largest contribution was observed for serum uric acid, whereas essentially no variance in HOMA-IR was explained. Panel C reports the variance in the 32 food-group predictors explained by the first factor.</w:t>
      </w:r>
    </w:p>
    <w:p w14:paraId="6F9E21B2">
      <w:pPr>
        <w:spacing w:before="20" w:after="20" w:line="240" w:lineRule="auto"/>
      </w:pPr>
      <w:r>
        <w:rPr>
          <w:b/>
          <w:sz w:val="16"/>
        </w:rPr>
        <w:t>Abbreviations:</w:t>
      </w:r>
      <w:r>
        <w:rPr>
          <w:sz w:val="16"/>
        </w:rPr>
        <w:t xml:space="preserve"> BMI, body mass index; C-DMIP, China-specific Dietary Metabolic-Inflammatory Pattern; HDL-C, high-density lipoprotein cholesterol; HOMA-IR, homeostatic model assessment of insulin resistance; hs-CRP, high-sensitivity C-reactive protein; RRR, reduced rank regression; TG, triglycerides; T2DM, type 2 diabetes mellitus.</w:t>
      </w:r>
    </w:p>
    <w:p w14:paraId="294F33D4">
      <w:pPr>
        <w:spacing w:after="100"/>
      </w:pPr>
      <w:r>
        <w:rPr>
          <w:b/>
          <w:sz w:val="20"/>
        </w:rPr>
        <w:t>Supplementary Table S8. Robustness of C-DMIP to alternative RRR weight-truncation thresholds</w:t>
      </w:r>
    </w:p>
    <w:tbl>
      <w:tblPr>
        <w:tblStyle w:val="4"/>
        <w:tblW w:w="0" w:type="auto"/>
        <w:jc w:val="center"/>
        <w:tblLayout w:type="autofit"/>
        <w:tblCellMar>
          <w:top w:w="0" w:type="dxa"/>
          <w:left w:w="108" w:type="dxa"/>
          <w:bottom w:w="0" w:type="dxa"/>
          <w:right w:w="108" w:type="dxa"/>
        </w:tblCellMar>
      </w:tblPr>
      <w:tblGrid>
        <w:gridCol w:w="3322"/>
        <w:gridCol w:w="3317"/>
        <w:gridCol w:w="3323"/>
      </w:tblGrid>
      <w:tr w14:paraId="52F67455">
        <w:tblPrEx>
          <w:tblCellMar>
            <w:top w:w="0" w:type="dxa"/>
            <w:left w:w="108" w:type="dxa"/>
            <w:bottom w:w="0" w:type="dxa"/>
            <w:right w:w="108" w:type="dxa"/>
          </w:tblCellMar>
        </w:tblPrEx>
        <w:trPr>
          <w:jc w:val="center"/>
        </w:trPr>
        <w:tc>
          <w:tcPr>
            <w:tcW w:w="3400" w:type="dxa"/>
            <w:tcBorders>
              <w:top w:val="single" w:color="000000" w:sz="8" w:space="0"/>
              <w:left w:val="nil"/>
              <w:bottom w:val="single" w:color="000000" w:sz="8" w:space="0"/>
              <w:right w:val="nil"/>
              <w:insideH w:val="nil"/>
              <w:insideV w:val="nil"/>
            </w:tcBorders>
            <w:vAlign w:val="center"/>
          </w:tcPr>
          <w:p w14:paraId="75DC1194">
            <w:pPr>
              <w:spacing w:before="0" w:after="10" w:line="240" w:lineRule="auto"/>
              <w:jc w:val="left"/>
            </w:pPr>
            <w:r>
              <w:rPr>
                <w:b/>
                <w:sz w:val="16"/>
              </w:rPr>
              <w:t>C-DMIP version</w:t>
            </w:r>
          </w:p>
        </w:tc>
        <w:tc>
          <w:tcPr>
            <w:tcW w:w="3400" w:type="dxa"/>
            <w:tcBorders>
              <w:top w:val="single" w:color="000000" w:sz="8" w:space="0"/>
              <w:left w:val="nil"/>
              <w:bottom w:val="single" w:color="000000" w:sz="8" w:space="0"/>
              <w:right w:val="nil"/>
              <w:insideH w:val="nil"/>
              <w:insideV w:val="nil"/>
            </w:tcBorders>
            <w:vAlign w:val="center"/>
          </w:tcPr>
          <w:p w14:paraId="388A023B">
            <w:pPr>
              <w:spacing w:before="0" w:after="10" w:line="240" w:lineRule="auto"/>
              <w:jc w:val="center"/>
            </w:pPr>
            <w:r>
              <w:rPr>
                <w:b/>
                <w:sz w:val="16"/>
              </w:rPr>
              <w:t>Food groups retained, n</w:t>
            </w:r>
          </w:p>
        </w:tc>
        <w:tc>
          <w:tcPr>
            <w:tcW w:w="3400" w:type="dxa"/>
            <w:tcBorders>
              <w:top w:val="single" w:color="000000" w:sz="8" w:space="0"/>
              <w:left w:val="nil"/>
              <w:bottom w:val="single" w:color="000000" w:sz="8" w:space="0"/>
              <w:right w:val="nil"/>
              <w:insideH w:val="nil"/>
              <w:insideV w:val="nil"/>
            </w:tcBorders>
            <w:vAlign w:val="center"/>
          </w:tcPr>
          <w:p w14:paraId="096A9C14">
            <w:pPr>
              <w:spacing w:before="0" w:after="10" w:line="240" w:lineRule="auto"/>
              <w:jc w:val="center"/>
            </w:pPr>
            <w:r>
              <w:rPr>
                <w:b/>
                <w:sz w:val="16"/>
              </w:rPr>
              <w:t>Correlation with the primary score, r</w:t>
            </w:r>
          </w:p>
        </w:tc>
      </w:tr>
      <w:tr w14:paraId="153C6210">
        <w:tblPrEx>
          <w:tblCellMar>
            <w:top w:w="0" w:type="dxa"/>
            <w:left w:w="108" w:type="dxa"/>
            <w:bottom w:w="0" w:type="dxa"/>
            <w:right w:w="108" w:type="dxa"/>
          </w:tblCellMar>
        </w:tblPrEx>
        <w:trPr>
          <w:jc w:val="center"/>
        </w:trPr>
        <w:tc>
          <w:tcPr>
            <w:tcW w:w="3400" w:type="dxa"/>
            <w:tcBorders>
              <w:top w:val="nil"/>
              <w:left w:val="nil"/>
              <w:bottom w:val="nil"/>
              <w:right w:val="nil"/>
              <w:insideH w:val="nil"/>
              <w:insideV w:val="nil"/>
            </w:tcBorders>
            <w:vAlign w:val="center"/>
          </w:tcPr>
          <w:p w14:paraId="4C4A129D">
            <w:pPr>
              <w:spacing w:before="0" w:after="10" w:line="240" w:lineRule="auto"/>
              <w:jc w:val="left"/>
            </w:pPr>
            <w:r>
              <w:rPr>
                <w:sz w:val="16"/>
              </w:rPr>
              <w:t>Untruncated score</w:t>
            </w:r>
          </w:p>
        </w:tc>
        <w:tc>
          <w:tcPr>
            <w:tcW w:w="3400" w:type="dxa"/>
            <w:tcBorders>
              <w:top w:val="nil"/>
              <w:left w:val="nil"/>
              <w:bottom w:val="nil"/>
              <w:right w:val="nil"/>
              <w:insideH w:val="nil"/>
              <w:insideV w:val="nil"/>
            </w:tcBorders>
            <w:vAlign w:val="center"/>
          </w:tcPr>
          <w:p w14:paraId="5BCC1C6F">
            <w:pPr>
              <w:spacing w:before="0" w:after="10" w:line="240" w:lineRule="auto"/>
              <w:jc w:val="center"/>
            </w:pPr>
            <w:r>
              <w:rPr>
                <w:sz w:val="16"/>
              </w:rPr>
              <w:t>32</w:t>
            </w:r>
          </w:p>
        </w:tc>
        <w:tc>
          <w:tcPr>
            <w:tcW w:w="3400" w:type="dxa"/>
            <w:tcBorders>
              <w:top w:val="nil"/>
              <w:left w:val="nil"/>
              <w:bottom w:val="nil"/>
              <w:right w:val="nil"/>
              <w:insideH w:val="nil"/>
              <w:insideV w:val="nil"/>
            </w:tcBorders>
            <w:vAlign w:val="center"/>
          </w:tcPr>
          <w:p w14:paraId="50D7648C">
            <w:pPr>
              <w:spacing w:before="0" w:after="10" w:line="240" w:lineRule="auto"/>
              <w:jc w:val="center"/>
            </w:pPr>
            <w:r>
              <w:rPr>
                <w:sz w:val="16"/>
              </w:rPr>
              <w:t>0.988</w:t>
            </w:r>
          </w:p>
        </w:tc>
      </w:tr>
      <w:tr w14:paraId="19E28805">
        <w:tblPrEx>
          <w:tblCellMar>
            <w:top w:w="0" w:type="dxa"/>
            <w:left w:w="108" w:type="dxa"/>
            <w:bottom w:w="0" w:type="dxa"/>
            <w:right w:w="108" w:type="dxa"/>
          </w:tblCellMar>
        </w:tblPrEx>
        <w:trPr>
          <w:jc w:val="center"/>
        </w:trPr>
        <w:tc>
          <w:tcPr>
            <w:tcW w:w="3400" w:type="dxa"/>
            <w:tcBorders>
              <w:top w:val="nil"/>
              <w:left w:val="nil"/>
              <w:bottom w:val="nil"/>
              <w:right w:val="nil"/>
              <w:insideH w:val="nil"/>
              <w:insideV w:val="nil"/>
            </w:tcBorders>
            <w:vAlign w:val="center"/>
          </w:tcPr>
          <w:p w14:paraId="02094AAC">
            <w:pPr>
              <w:spacing w:before="0" w:after="10" w:line="240" w:lineRule="auto"/>
              <w:jc w:val="left"/>
            </w:pPr>
            <w:r>
              <w:rPr>
                <w:sz w:val="16"/>
              </w:rPr>
              <w:t>≥0.3-SD threshold</w:t>
            </w:r>
          </w:p>
        </w:tc>
        <w:tc>
          <w:tcPr>
            <w:tcW w:w="3400" w:type="dxa"/>
            <w:tcBorders>
              <w:top w:val="nil"/>
              <w:left w:val="nil"/>
              <w:bottom w:val="nil"/>
              <w:right w:val="nil"/>
              <w:insideH w:val="nil"/>
              <w:insideV w:val="nil"/>
            </w:tcBorders>
            <w:vAlign w:val="center"/>
          </w:tcPr>
          <w:p w14:paraId="3BEED990">
            <w:pPr>
              <w:spacing w:before="0" w:after="10" w:line="240" w:lineRule="auto"/>
              <w:jc w:val="center"/>
            </w:pPr>
            <w:r>
              <w:rPr>
                <w:sz w:val="16"/>
              </w:rPr>
              <w:t>24</w:t>
            </w:r>
          </w:p>
        </w:tc>
        <w:tc>
          <w:tcPr>
            <w:tcW w:w="3400" w:type="dxa"/>
            <w:tcBorders>
              <w:top w:val="nil"/>
              <w:left w:val="nil"/>
              <w:bottom w:val="nil"/>
              <w:right w:val="nil"/>
              <w:insideH w:val="nil"/>
              <w:insideV w:val="nil"/>
            </w:tcBorders>
            <w:vAlign w:val="center"/>
          </w:tcPr>
          <w:p w14:paraId="19986342">
            <w:pPr>
              <w:spacing w:before="0" w:after="10" w:line="240" w:lineRule="auto"/>
              <w:jc w:val="center"/>
            </w:pPr>
            <w:r>
              <w:rPr>
                <w:sz w:val="16"/>
              </w:rPr>
              <w:t>0.991</w:t>
            </w:r>
          </w:p>
        </w:tc>
      </w:tr>
      <w:tr w14:paraId="120CF1ED">
        <w:tblPrEx>
          <w:tblCellMar>
            <w:top w:w="0" w:type="dxa"/>
            <w:left w:w="108" w:type="dxa"/>
            <w:bottom w:w="0" w:type="dxa"/>
            <w:right w:w="108" w:type="dxa"/>
          </w:tblCellMar>
        </w:tblPrEx>
        <w:trPr>
          <w:jc w:val="center"/>
        </w:trPr>
        <w:tc>
          <w:tcPr>
            <w:tcW w:w="3400" w:type="dxa"/>
            <w:tcBorders>
              <w:top w:val="nil"/>
              <w:left w:val="nil"/>
              <w:bottom w:val="nil"/>
              <w:right w:val="nil"/>
              <w:insideH w:val="nil"/>
              <w:insideV w:val="nil"/>
            </w:tcBorders>
            <w:vAlign w:val="center"/>
          </w:tcPr>
          <w:p w14:paraId="58817DCE">
            <w:pPr>
              <w:spacing w:before="0" w:after="10" w:line="240" w:lineRule="auto"/>
              <w:jc w:val="left"/>
            </w:pPr>
            <w:r>
              <w:rPr>
                <w:sz w:val="16"/>
              </w:rPr>
              <w:t>≥0.5-SD threshold (primary)</w:t>
            </w:r>
          </w:p>
        </w:tc>
        <w:tc>
          <w:tcPr>
            <w:tcW w:w="3400" w:type="dxa"/>
            <w:tcBorders>
              <w:top w:val="nil"/>
              <w:left w:val="nil"/>
              <w:bottom w:val="nil"/>
              <w:right w:val="nil"/>
              <w:insideH w:val="nil"/>
              <w:insideV w:val="nil"/>
            </w:tcBorders>
            <w:vAlign w:val="center"/>
          </w:tcPr>
          <w:p w14:paraId="5FA4C395">
            <w:pPr>
              <w:spacing w:before="0" w:after="10" w:line="240" w:lineRule="auto"/>
              <w:jc w:val="center"/>
            </w:pPr>
            <w:r>
              <w:rPr>
                <w:sz w:val="16"/>
              </w:rPr>
              <w:t>20</w:t>
            </w:r>
          </w:p>
        </w:tc>
        <w:tc>
          <w:tcPr>
            <w:tcW w:w="3400" w:type="dxa"/>
            <w:tcBorders>
              <w:top w:val="nil"/>
              <w:left w:val="nil"/>
              <w:bottom w:val="nil"/>
              <w:right w:val="nil"/>
              <w:insideH w:val="nil"/>
              <w:insideV w:val="nil"/>
            </w:tcBorders>
            <w:vAlign w:val="center"/>
          </w:tcPr>
          <w:p w14:paraId="3D80DAD7">
            <w:pPr>
              <w:spacing w:before="0" w:after="10" w:line="240" w:lineRule="auto"/>
              <w:jc w:val="center"/>
            </w:pPr>
            <w:r>
              <w:rPr>
                <w:sz w:val="16"/>
              </w:rPr>
              <w:t>1.000</w:t>
            </w:r>
          </w:p>
        </w:tc>
      </w:tr>
      <w:tr w14:paraId="511648A9">
        <w:tblPrEx>
          <w:tblCellMar>
            <w:top w:w="0" w:type="dxa"/>
            <w:left w:w="108" w:type="dxa"/>
            <w:bottom w:w="0" w:type="dxa"/>
            <w:right w:w="108" w:type="dxa"/>
          </w:tblCellMar>
        </w:tblPrEx>
        <w:trPr>
          <w:jc w:val="center"/>
        </w:trPr>
        <w:tc>
          <w:tcPr>
            <w:tcW w:w="3400" w:type="dxa"/>
            <w:tcBorders>
              <w:top w:val="nil"/>
              <w:left w:val="nil"/>
              <w:bottom w:val="single" w:color="000000" w:sz="8" w:space="0"/>
              <w:right w:val="nil"/>
              <w:insideH w:val="nil"/>
              <w:insideV w:val="nil"/>
            </w:tcBorders>
            <w:vAlign w:val="center"/>
          </w:tcPr>
          <w:p w14:paraId="4E504C2E">
            <w:pPr>
              <w:spacing w:before="0" w:after="10" w:line="240" w:lineRule="auto"/>
              <w:jc w:val="left"/>
            </w:pPr>
            <w:r>
              <w:rPr>
                <w:sz w:val="16"/>
              </w:rPr>
              <w:t>≥0.7-SD threshold</w:t>
            </w:r>
          </w:p>
        </w:tc>
        <w:tc>
          <w:tcPr>
            <w:tcW w:w="3400" w:type="dxa"/>
            <w:tcBorders>
              <w:top w:val="nil"/>
              <w:left w:val="nil"/>
              <w:bottom w:val="single" w:color="000000" w:sz="8" w:space="0"/>
              <w:right w:val="nil"/>
              <w:insideH w:val="nil"/>
              <w:insideV w:val="nil"/>
            </w:tcBorders>
            <w:vAlign w:val="center"/>
          </w:tcPr>
          <w:p w14:paraId="7460617D">
            <w:pPr>
              <w:spacing w:before="0" w:after="10" w:line="240" w:lineRule="auto"/>
              <w:jc w:val="center"/>
            </w:pPr>
            <w:r>
              <w:rPr>
                <w:sz w:val="16"/>
              </w:rPr>
              <w:t>13</w:t>
            </w:r>
          </w:p>
        </w:tc>
        <w:tc>
          <w:tcPr>
            <w:tcW w:w="3400" w:type="dxa"/>
            <w:tcBorders>
              <w:top w:val="nil"/>
              <w:left w:val="nil"/>
              <w:bottom w:val="single" w:color="000000" w:sz="8" w:space="0"/>
              <w:right w:val="nil"/>
              <w:insideH w:val="nil"/>
              <w:insideV w:val="nil"/>
            </w:tcBorders>
            <w:vAlign w:val="center"/>
          </w:tcPr>
          <w:p w14:paraId="27CA9DB6">
            <w:pPr>
              <w:spacing w:before="0" w:after="10" w:line="240" w:lineRule="auto"/>
              <w:jc w:val="center"/>
            </w:pPr>
            <w:r>
              <w:rPr>
                <w:sz w:val="16"/>
              </w:rPr>
              <w:t>0.973</w:t>
            </w:r>
          </w:p>
        </w:tc>
      </w:tr>
    </w:tbl>
    <w:p w14:paraId="70195EBB">
      <w:pPr>
        <w:spacing w:before="20" w:after="20" w:line="240" w:lineRule="auto"/>
      </w:pPr>
      <w:r>
        <w:rPr>
          <w:b/>
          <w:sz w:val="16"/>
        </w:rPr>
        <w:t>Notes:</w:t>
      </w:r>
      <w:r>
        <w:rPr>
          <w:sz w:val="16"/>
        </w:rPr>
        <w:t xml:space="preserve"> Alternative C-DMIP scores were calculated by applying different truncation thresholds to the standardised RRR food-group weights. Food groups with absolute standardised weights below the specified threshold were assigned a weight of zero without refitting the RRR model. The primary C-DMIP used a threshold of ≥0.5 SD and retained 20 of the 32 candidate food groups. All alternative versions were highly correlated with the primary score (r = 0.973–0.991), indicating that participant rankings were largely insensitive to the choice of truncation threshold.</w:t>
      </w:r>
    </w:p>
    <w:p w14:paraId="15DF21C0">
      <w:pPr>
        <w:spacing w:before="20" w:after="20" w:line="240" w:lineRule="auto"/>
      </w:pPr>
      <w:r>
        <w:rPr>
          <w:b/>
          <w:sz w:val="16"/>
        </w:rPr>
        <w:t>Abbreviations:</w:t>
      </w:r>
      <w:r>
        <w:rPr>
          <w:sz w:val="16"/>
        </w:rPr>
        <w:t xml:space="preserve"> C-DMIP, China-specific Dietary Metabolic-Inflammatory Pattern; RRR, reduced rank regression; SD, standard deviation.</w:t>
      </w:r>
    </w:p>
    <w:p w14:paraId="3D986298">
      <w:pPr>
        <w:spacing w:after="100" w:line="276" w:lineRule="auto"/>
        <w:ind w:firstLine="420"/>
        <w:rPr>
          <w:sz w:val="22"/>
        </w:rPr>
      </w:pPr>
    </w:p>
    <w:p w14:paraId="69849A50">
      <w:pPr>
        <w:spacing w:after="100" w:line="276" w:lineRule="auto"/>
        <w:ind w:firstLine="420"/>
        <w:rPr>
          <w:rFonts w:hint="default" w:ascii="Times New Roman" w:hAnsi="Times New Roman" w:cs="Times New Roman"/>
          <w:sz w:val="24"/>
          <w:szCs w:val="24"/>
        </w:rPr>
      </w:pPr>
      <w:r>
        <w:rPr>
          <w:rFonts w:hint="default" w:ascii="Times New Roman" w:hAnsi="Times New Roman" w:eastAsia="宋体" w:cs="Times New Roman"/>
          <w:sz w:val="24"/>
          <w:szCs w:val="24"/>
        </w:rPr>
        <w:t>Supplementary Figure S1. Province-level association between mean C-DMIP score and T2DM prevalence</w:t>
      </w:r>
    </w:p>
    <w:p w14:paraId="512D32AF">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6182360" cy="4128135"/>
            <wp:effectExtent l="0" t="0" r="5080" b="1905"/>
            <wp:docPr id="3" name="图片 3" descr="Supplementary_Figure_S1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_Figure_S1_final"/>
                    <pic:cNvPicPr>
                      <a:picLocks noChangeAspect="1"/>
                    </pic:cNvPicPr>
                  </pic:nvPicPr>
                  <pic:blipFill>
                    <a:blip r:embed="rId6"/>
                    <a:stretch>
                      <a:fillRect/>
                    </a:stretch>
                  </pic:blipFill>
                  <pic:spPr>
                    <a:xfrm>
                      <a:off x="0" y="0"/>
                      <a:ext cx="6182360" cy="4128135"/>
                    </a:xfrm>
                    <a:prstGeom prst="rect">
                      <a:avLst/>
                    </a:prstGeom>
                  </pic:spPr>
                </pic:pic>
              </a:graphicData>
            </a:graphic>
          </wp:inline>
        </w:drawing>
      </w:r>
    </w:p>
    <w:p w14:paraId="15A93150">
      <w:pPr>
        <w:rPr>
          <w:rFonts w:hint="default" w:ascii="Times New Roman" w:hAnsi="Times New Roman" w:eastAsia="宋体" w:cs="Times New Roman"/>
          <w:sz w:val="24"/>
          <w:szCs w:val="24"/>
        </w:rPr>
      </w:pPr>
      <w:r>
        <w:rPr>
          <w:rStyle w:val="6"/>
          <w:rFonts w:hint="default" w:ascii="Times New Roman" w:hAnsi="Times New Roman" w:eastAsia="宋体" w:cs="Times New Roman"/>
          <w:sz w:val="24"/>
          <w:szCs w:val="24"/>
        </w:rPr>
        <w:t>Supplementary Figure S1. Province-level association between mean C-DMIP score and T2DM prevalence.</w:t>
      </w:r>
      <w:r>
        <w:rPr>
          <w:rFonts w:hint="default" w:ascii="Times New Roman" w:hAnsi="Times New Roman" w:eastAsia="宋体" w:cs="Times New Roman"/>
          <w:sz w:val="24"/>
          <w:szCs w:val="24"/>
        </w:rPr>
        <w:t xml:space="preserve"> Each point represents one of the nine participating provinces in the eligible 2009 cross-sectional sample and is labelled by province. The x-axis shows the province-specific mean C-DMIP score, and the y-axis shows the observed prevalence of T2DM. Provinces are grouped as northern or southern according to the regional classification used in the main analysis. The province-specific mean C-DMIP score was inversely correlated with T2DM prevalence (Pearson r=−0.766, 95% CI −0.948 to −0.208; p=0.016). This province-level association is descriptive and should not be interpreted as an individual-level association. Abbreviations: C-DMIP, China-specific Dietary Metabolic-Inflammatory Pattern; CI, confidence interval; T2DM, type 2 diabetes mellitus.</w:t>
      </w:r>
    </w:p>
    <w:p w14:paraId="759AEBB8">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Supplementary Figure S2. Receiver operating characteristic curves for C-DMIP and DII models</w:t>
      </w:r>
    </w:p>
    <w:p w14:paraId="7AFC2D4F">
      <w:pP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drawing>
          <wp:inline distT="0" distB="0" distL="114300" distR="114300">
            <wp:extent cx="6185535" cy="5356860"/>
            <wp:effectExtent l="0" t="0" r="1905" b="7620"/>
            <wp:docPr id="4" name="图片 4" descr="Supplementary_Figure_S2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_Figure_S2_final"/>
                    <pic:cNvPicPr>
                      <a:picLocks noChangeAspect="1"/>
                    </pic:cNvPicPr>
                  </pic:nvPicPr>
                  <pic:blipFill>
                    <a:blip r:embed="rId7"/>
                    <a:stretch>
                      <a:fillRect/>
                    </a:stretch>
                  </pic:blipFill>
                  <pic:spPr>
                    <a:xfrm>
                      <a:off x="0" y="0"/>
                      <a:ext cx="6185535" cy="5356860"/>
                    </a:xfrm>
                    <a:prstGeom prst="rect">
                      <a:avLst/>
                    </a:prstGeom>
                  </pic:spPr>
                </pic:pic>
              </a:graphicData>
            </a:graphic>
          </wp:inline>
        </w:drawing>
      </w:r>
    </w:p>
    <w:p w14:paraId="46C75D34">
      <w:pPr>
        <w:rPr>
          <w:rFonts w:hint="default" w:ascii="Times New Roman" w:hAnsi="Times New Roman" w:eastAsia="宋体" w:cs="Times New Roman"/>
          <w:sz w:val="24"/>
          <w:szCs w:val="24"/>
          <w:lang w:val="en-US" w:eastAsia="zh-CN"/>
        </w:rPr>
      </w:pPr>
      <w:r>
        <w:rPr>
          <w:rStyle w:val="6"/>
          <w:rFonts w:hint="default" w:ascii="Times New Roman" w:hAnsi="Times New Roman" w:eastAsia="宋体" w:cs="Times New Roman"/>
          <w:sz w:val="24"/>
          <w:szCs w:val="24"/>
        </w:rPr>
        <w:t>Supplementary Figure S2. Receiver operating characteristic curves for C-DMIP and DII models.</w:t>
      </w:r>
      <w:r>
        <w:rPr>
          <w:rFonts w:hint="default" w:ascii="Times New Roman" w:hAnsi="Times New Roman" w:eastAsia="宋体" w:cs="Times New Roman"/>
          <w:sz w:val="24"/>
          <w:szCs w:val="24"/>
        </w:rPr>
        <w:t xml:space="preserve"> Receiver operating characteristic curves compare the apparent in-sample discrimination of otherwise identical Model 3 logistic regression models containing either the standardised C-DMIP score or the standardised DII score for prevalent T2DM. Analyses were conducted in the common complete-case cross-sectional sample of 7,846 participants, including 790 prevalent T2DM cases. Model 3 adjusted for age, sex, urban or rural residence, educational attainment, BMI, waist circumference, current smoking, alcohol consumption and total energy intake. The AUC was 0.758 for the C-DMIP model and 0.756 for the DII model. The AUC difference (C-DMIP − DII) was 0.0015 (community-level cluster-bootstrap 95% CI −0.0003 to 0.0051; p=0.174). Abbreviations: AUC, area under the receiver operating characteristic curve; BMI, body mass index; C-DMIP, China-specific Dietary Metabolic-Inflammatory Pattern; CI, confidence interval; DII, Dietary Inflammatory Index; T2DM, type 2 diabetes mellitus.</w:t>
      </w:r>
      <w:r>
        <w:rPr>
          <w:rFonts w:hint="eastAsia" w:eastAsia="宋体" w:cs="Times New Roman"/>
          <w:sz w:val="24"/>
          <w:szCs w:val="24"/>
          <w:lang w:val="en-US" w:eastAsia="zh-CN"/>
        </w:rPr>
        <w:t xml:space="preserve"> </w:t>
      </w:r>
      <w:r>
        <w:rPr>
          <w:rFonts w:hint="default" w:ascii="Times New Roman" w:hAnsi="Times New Roman" w:eastAsia="宋体" w:cs="Times New Roman"/>
          <w:sz w:val="24"/>
          <w:szCs w:val="24"/>
        </w:rPr>
        <w:t>The diagonal dashed line represents chance discrimination (AUC = 0.5).</w:t>
      </w:r>
    </w:p>
    <w:sectPr>
      <w:pgSz w:w="12240" w:h="15840"/>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AE193E"/>
    <w:rsid w:val="2CAE1C0A"/>
    <w:rsid w:val="5DF71FD8"/>
    <w:rsid w:val="76036D80"/>
    <w:rsid w:val="7AFA1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2123</Words>
  <Characters>13142</Characters>
  <Lines>0</Lines>
  <Paragraphs>0</Paragraphs>
  <TotalTime>21</TotalTime>
  <ScaleCrop>false</ScaleCrop>
  <LinksUpToDate>false</LinksUpToDate>
  <CharactersWithSpaces>14962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2026-07-31T13:20:00Z</dcterms:created>
  <dc:creator>11238</dc:creator>
  <cp:lastModifiedBy>萝卜头子</cp:lastModifiedBy>
  <dcterms:modified xsi:type="dcterms:W3CDTF">2026-08-11T13:47:49Z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eyJoZGlkIjoiOGQ4YWQwM2Y2YmRjMzJiN2MzNTVmNWQwZjIyOTdlMTIiLCJ1c2VySWQiOiIxMTQ2OTE4NTAzIn0=</vt:lpwstr>
  </property>
  <property fmtid="{D5CDD505-2E9C-101B-9397-08002B2CF9AE}" pid="4" name="ICV">
    <vt:lpwstr>8F005D18583E45D0A02AE14C5D604CCA_12</vt:lpwstr>
  </property>
</Properties>
</file>