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4AF16" w14:textId="77777777" w:rsidR="006F1C83" w:rsidRDefault="006F1C83" w:rsidP="006F1C83">
      <w:pPr>
        <w:pStyle w:val="Heading1"/>
      </w:pPr>
      <w:r>
        <w:t>Supplementary Figure Legends</w:t>
      </w:r>
    </w:p>
    <w:p w14:paraId="060DCABE" w14:textId="77777777" w:rsidR="006F1C83" w:rsidRDefault="006F1C83" w:rsidP="006F1C83">
      <w:pPr>
        <w:spacing w:after="120"/>
      </w:pPr>
      <w:r>
        <w:rPr>
          <w:rFonts w:ascii="Calibri" w:hAnsi="Calibri"/>
          <w:sz w:val="22"/>
        </w:rPr>
        <w:t>Supplementary Figure 1. Functional program dynamics across epithelial states. (A) Boxplots comparing oxidative phosphorylation, IFN-γ response, EMT, and G2M checkpoint scores between human-Res and human-Sen groups (***P &lt; .001, *P &lt; .05). (B) Mean module scores plotted along pseudotime. (C) Faceted boxplot matrix showing module-score distributions across epithelial subtypes and response groups, highlighting G2M enrichment in Cycling cells and IFN enrichment in Luminal-IFN cells.</w:t>
      </w:r>
    </w:p>
    <w:p w14:paraId="5A27964A" w14:textId="77777777" w:rsidR="006F1C83" w:rsidRDefault="006F1C83" w:rsidP="006F1C83">
      <w:pPr>
        <w:spacing w:after="120"/>
      </w:pPr>
      <w:r>
        <w:rPr>
          <w:rFonts w:ascii="Calibri" w:hAnsi="Calibri"/>
          <w:sz w:val="22"/>
        </w:rPr>
        <w:t>Supplementary Figure 2. GRN rewiring and IRF9-centered regulator identification. (A) UMAP visualizations of cell states and response groups in transcriptomic (umapHVG) and regulon-activity (umapRAS) spaces. (B) Feature plots of IRF9(+) and ma_IRF9 regulon activity in human-Res and human-Sen groups. (C) Violin plots of IRF9(+) TF activity across cell states and response groups. (D) KEGG enrichment of co-regulatory modules, including cell cycle, DNA replication, chemokine signaling, leukocyte transendothelial migration, and natural killer cell-mediated cytotoxicity.</w:t>
      </w:r>
    </w:p>
    <w:p w14:paraId="3BBD88B9" w14:textId="77777777" w:rsidR="006F1C83" w:rsidRDefault="006F1C83" w:rsidP="006F1C83">
      <w:pPr>
        <w:spacing w:after="120"/>
      </w:pPr>
      <w:r>
        <w:t>Supplementary Figure 3. Regulatory mapping of Luminal-IFN and Cycling adaptive modules. (A-B) Regulon specificity rankings for Luminal-IFN and Cycling lineages. (C, E, F) UMAP feature plots of IRF9(+), IRF3(+), and FOXM1(+) regulon activities. (D) Cycling-cell localization and FOXM1(+) thresholding. (G) TF expression versus regulon-activity log2 fold-change plot in Cycling cells. (H) Hallmark enrichment of activated and suppressed TF-associated programs. (I) Response-stratified TF_AUC versus gene_RNA correlation. (J) E2F7(+) regulon activity correlated with BRCA2 expression.</w:t>
      </w:r>
    </w:p>
    <w:p w14:paraId="7132F400" w14:textId="77777777" w:rsidR="006F1C83" w:rsidRDefault="006F1C83" w:rsidP="006F1C83">
      <w:pPr>
        <w:spacing w:after="120"/>
      </w:pPr>
      <w:r>
        <w:t>Supplementary Figure 4. Clinical prognostic relevance and immune microenvironment remodeling of the IFN/DTP program. (A) Kaplan-Meier survival curve (TCGA cohort) showing the prognostic trend of the IFN/DTP program in the Basal-Squamous subtype. (B) Boxplots illustrating significantly elevated expression of key immune checkpoints (CD274/PD-L1, CTLA4, PDCD1, LAG3, TIGIT) in High-IFN versus Low-IFN tumors (****P &lt; .0001). (C-F) Correlation scatter plots demonstrating strong positive associations between the IFN/DTP program score and CD8+ T-cell infiltration (C), cytolytic activity (D), NK-cell infiltration (E), and T-cell recruitment signatures (F), supporting an inflamed but checkpoint-suppressed immune microenvironment.</w:t>
      </w:r>
    </w:p>
    <w:p w14:paraId="4AC79930" w14:textId="77777777" w:rsidR="006F1C83" w:rsidRDefault="006F1C83" w:rsidP="006F1C83">
      <w:pPr>
        <w:spacing w:after="120" w:line="480" w:lineRule="auto"/>
      </w:pPr>
    </w:p>
    <w:p w14:paraId="664CA392" w14:textId="77777777" w:rsidR="00E023F9" w:rsidRDefault="00E023F9"/>
    <w:sectPr w:rsidR="00E023F9" w:rsidSect="006F1C83">
      <w:foot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D1881" w14:textId="77777777" w:rsidR="006F1C83" w:rsidRDefault="006F1C83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C83"/>
    <w:rsid w:val="000C4033"/>
    <w:rsid w:val="00173ED8"/>
    <w:rsid w:val="002F50B1"/>
    <w:rsid w:val="004B42CB"/>
    <w:rsid w:val="005F2B46"/>
    <w:rsid w:val="006E1731"/>
    <w:rsid w:val="006F1C83"/>
    <w:rsid w:val="00866D74"/>
    <w:rsid w:val="00882A73"/>
    <w:rsid w:val="008A6B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A04FD"/>
  <w15:chartTrackingRefBased/>
  <w15:docId w15:val="{BADC10A3-472F-4AA5-B670-2401597FF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C83"/>
    <w:pPr>
      <w:spacing w:after="200" w:line="276" w:lineRule="auto"/>
    </w:pPr>
    <w:rPr>
      <w:rFonts w:ascii="Times New Roman" w:eastAsia="Times New Roman" w:hAnsi="Times New Roman"/>
      <w:color w:val="000000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1C8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1C8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1C8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1C8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1C8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1C8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1C8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1C8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1C8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1C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1C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1C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1C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1C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1C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1C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1C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1C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1C8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F1C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1C8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F1C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1C83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F1C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1C83"/>
    <w:pPr>
      <w:spacing w:after="160" w:line="278" w:lineRule="auto"/>
      <w:ind w:left="720"/>
      <w:contextualSpacing/>
    </w:pPr>
    <w:rPr>
      <w:rFonts w:asciiTheme="minorHAnsi" w:eastAsiaTheme="minorHAnsi" w:hAnsiTheme="minorHAnsi"/>
      <w:color w:val="auto"/>
      <w:kern w:val="2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F1C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1C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1C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1C8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F1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C83"/>
    <w:rPr>
      <w:rFonts w:ascii="Times New Roman" w:eastAsia="Times New Roman" w:hAnsi="Times New Roman"/>
      <w:color w:val="000000"/>
      <w:kern w:val="0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2026-08-31T13:58:00Z</dcterms:created>
  <dcterms:modified xsi:type="dcterms:W3CDTF">2026-08-31T13:58:00Z</dcterms:modified>
</cp:coreProperties>
</file>