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8C" w:rsidRPr="00F4565D" w:rsidRDefault="00BB628C" w:rsidP="00BB628C">
      <w:pPr>
        <w:widowControl/>
        <w:shd w:val="clear" w:color="auto" w:fill="FFFFFF"/>
        <w:spacing w:after="90" w:line="140" w:lineRule="atLeast"/>
        <w:jc w:val="left"/>
        <w:outlineLvl w:val="3"/>
        <w:rPr>
          <w:rFonts w:ascii="Arial" w:eastAsia="宋体" w:hAnsi="Arial" w:cs="Arial"/>
          <w:bCs/>
          <w:color w:val="000000" w:themeColor="text1"/>
          <w:kern w:val="0"/>
          <w:sz w:val="20"/>
          <w:szCs w:val="20"/>
        </w:rPr>
      </w:pPr>
    </w:p>
    <w:p w:rsidR="00BB628C" w:rsidRPr="00F4565D" w:rsidRDefault="00BB628C" w:rsidP="00BB628C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4565D">
        <w:rPr>
          <w:rFonts w:ascii="Arial" w:hAnsi="Arial" w:cs="Arial"/>
          <w:b/>
          <w:sz w:val="24"/>
          <w:szCs w:val="24"/>
        </w:rPr>
        <w:t>Supplement Table</w:t>
      </w:r>
      <w:bookmarkEnd w:id="0"/>
      <w:r w:rsidRPr="00F4565D">
        <w:rPr>
          <w:rFonts w:ascii="Arial" w:hAnsi="Arial" w:cs="Arial"/>
          <w:b/>
          <w:sz w:val="24"/>
          <w:szCs w:val="24"/>
        </w:rPr>
        <w:t xml:space="preserve"> 1: Formulas for scores</w:t>
      </w:r>
      <w:r w:rsidRPr="00F4565D">
        <w:rPr>
          <w:rFonts w:ascii="Arial" w:hAnsi="Arial" w:cs="Arial" w:hint="eastAsia"/>
          <w:b/>
          <w:sz w:val="24"/>
          <w:szCs w:val="24"/>
        </w:rPr>
        <w:t xml:space="preserve"> to represent</w:t>
      </w:r>
      <w:r w:rsidRPr="00F4565D">
        <w:rPr>
          <w:rFonts w:ascii="Arial" w:hAnsi="Arial" w:cs="Arial"/>
          <w:b/>
          <w:sz w:val="24"/>
          <w:szCs w:val="24"/>
        </w:rPr>
        <w:t xml:space="preserve"> acute-on-chronic liver failure (ACLF)</w:t>
      </w:r>
    </w:p>
    <w:tbl>
      <w:tblPr>
        <w:tblW w:w="95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4"/>
        <w:gridCol w:w="1106"/>
        <w:gridCol w:w="1427"/>
        <w:gridCol w:w="1723"/>
        <w:gridCol w:w="371"/>
        <w:gridCol w:w="1023"/>
        <w:gridCol w:w="278"/>
        <w:gridCol w:w="1426"/>
      </w:tblGrid>
      <w:tr w:rsidR="00BB628C" w:rsidRPr="00F4565D" w:rsidTr="00F04920">
        <w:trPr>
          <w:trHeight w:val="327"/>
        </w:trPr>
        <w:tc>
          <w:tcPr>
            <w:tcW w:w="2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b/>
                <w:color w:val="000000"/>
                <w:kern w:val="24"/>
                <w:sz w:val="20"/>
                <w:szCs w:val="20"/>
              </w:rPr>
              <w:t>Scores</w:t>
            </w:r>
          </w:p>
        </w:tc>
        <w:tc>
          <w:tcPr>
            <w:tcW w:w="736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b/>
                <w:color w:val="000000"/>
                <w:kern w:val="24"/>
                <w:sz w:val="20"/>
                <w:szCs w:val="20"/>
              </w:rPr>
              <w:t>Formulas</w:t>
            </w: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MELD score</w:t>
            </w:r>
          </w:p>
        </w:tc>
        <w:tc>
          <w:tcPr>
            <w:tcW w:w="7362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9.1×ln[creatinine(mg/dL)]+3.8×ln[bilirubin(mg/dL)]+11.2×ln(INR)+6.4×(etiology:0 if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cholestatic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 or alcoholic, 1 otherwise).</w:t>
            </w:r>
          </w:p>
        </w:tc>
      </w:tr>
      <w:tr w:rsidR="00BB628C" w:rsidRPr="00F4565D" w:rsidTr="00F04920">
        <w:trPr>
          <w:trHeight w:val="381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ABIC score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>(age × 0.1) + (bilirubin(mg/</w:t>
            </w:r>
            <w:proofErr w:type="spellStart"/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>dL</w:t>
            </w:r>
            <w:proofErr w:type="spellEnd"/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>)× 0.08) + (</w:t>
            </w:r>
            <w:proofErr w:type="spellStart"/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>creatine</w:t>
            </w:r>
            <w:proofErr w:type="spellEnd"/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>(mg/</w:t>
            </w:r>
            <w:proofErr w:type="spellStart"/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>dL</w:t>
            </w:r>
            <w:proofErr w:type="spellEnd"/>
            <w:r w:rsidRPr="00F4565D">
              <w:rPr>
                <w:rFonts w:ascii="Arial" w:eastAsia="宋体" w:hAnsi="Arial" w:cs="Arial"/>
                <w:color w:val="000000"/>
                <w:kern w:val="24"/>
                <w:sz w:val="20"/>
                <w:szCs w:val="20"/>
              </w:rPr>
              <w:t xml:space="preserve">) × 0.3)+(INR × 0.8) </w:t>
            </w: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CLIF-SOFA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4</w:t>
            </w: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Liver(bilirubin, mg/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dL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1.2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≥1.2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2.0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≥2.0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6.0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≥6.0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12.0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≥12.0</w:t>
            </w:r>
          </w:p>
        </w:tc>
      </w:tr>
      <w:tr w:rsidR="00BB628C" w:rsidRPr="00F4565D" w:rsidTr="00F04920">
        <w:trPr>
          <w:trHeight w:val="51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Renal(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creatine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, mg/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dL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1.2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≥1.2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2.0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≥2.0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≥3.5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5.0 or use of RRT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≥5.0</w:t>
            </w: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CNS(HE grade)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No HE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宋体" w:eastAsia="宋体" w:hAnsi="宋体" w:cs="宋体" w:hint="eastAsia"/>
                <w:color w:val="000000"/>
                <w:kern w:val="24"/>
                <w:sz w:val="20"/>
                <w:szCs w:val="20"/>
              </w:rPr>
              <w:t>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宋体" w:eastAsia="宋体" w:hAnsi="宋体" w:cs="宋体" w:hint="eastAsia"/>
                <w:color w:val="000000"/>
                <w:kern w:val="24"/>
                <w:sz w:val="20"/>
                <w:szCs w:val="20"/>
              </w:rPr>
              <w:t>Ⅱ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宋体" w:eastAsia="宋体" w:hAnsi="宋体" w:cs="宋体" w:hint="eastAsia"/>
                <w:color w:val="000000"/>
                <w:kern w:val="24"/>
                <w:sz w:val="20"/>
                <w:szCs w:val="20"/>
              </w:rPr>
              <w:t>Ⅲ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宋体" w:eastAsia="宋体" w:hAnsi="宋体" w:cs="宋体" w:hint="eastAsia"/>
                <w:color w:val="000000"/>
                <w:kern w:val="24"/>
                <w:sz w:val="20"/>
                <w:szCs w:val="20"/>
              </w:rPr>
              <w:t>Ⅳ</w:t>
            </w:r>
          </w:p>
        </w:tc>
      </w:tr>
      <w:tr w:rsidR="00BB628C" w:rsidRPr="00F4565D" w:rsidTr="00F04920">
        <w:trPr>
          <w:trHeight w:val="51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Coagulation(INR)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1.1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≥1.1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≥1.25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≥1.5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2.5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≥2.5 to platelet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2*10^9/L</w:t>
            </w:r>
          </w:p>
        </w:tc>
      </w:tr>
      <w:tr w:rsidR="00BB628C" w:rsidRPr="00F4565D" w:rsidTr="00F04920">
        <w:trPr>
          <w:trHeight w:val="70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Cardiovascular(hypotension)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MAP≥20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MAP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70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Dopamine≤5 or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dobutamine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(any dose) or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terlipressin</w:t>
            </w:r>
            <w:proofErr w:type="spellEnd"/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Dopamine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5 or epi≤0.1 or norepi≤0.1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Dopamine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15 or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epi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0.1 or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norepi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0.1</w:t>
            </w: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Respiration 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45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PaO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FiO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400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300 to ≤400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200 to ≤300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100 to ≤200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≤100</w:t>
            </w:r>
          </w:p>
        </w:tc>
      </w:tr>
      <w:tr w:rsidR="00BB628C" w:rsidRPr="00F4565D" w:rsidTr="00F04920">
        <w:trPr>
          <w:trHeight w:val="51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Or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SpO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FiO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512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357 to ≤512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214 and ≤357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89 to ≤214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≤89</w:t>
            </w: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CLIF-C OF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5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Liver(bilirubin, mg/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dL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3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9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Renal(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creatine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, mg/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dL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9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9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≥6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9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≥12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27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lastRenderedPageBreak/>
              <w:t>CNS(HE grade)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1-2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spacing w:line="326" w:lineRule="atLeast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3-4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5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Coagulation(INR)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≥2.0 to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3.5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≥3.5 or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RRT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51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Cardiovascular(hypotension)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MAP≥70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MAP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＜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70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Vasopressors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8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Respiration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5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PaO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FiO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≤300 and 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≤200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54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Or 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SpO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/</w:t>
            </w:r>
            <w:proofErr w:type="spellStart"/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FiO</w:t>
            </w:r>
            <w:proofErr w:type="spellEnd"/>
            <w:r w:rsidRPr="00F4565D">
              <w:rPr>
                <w:rFonts w:ascii="Arial" w:eastAsia="Arial Unicode MS" w:hAnsi="Arial" w:cs="Arial"/>
                <w:color w:val="000000"/>
                <w:kern w:val="24"/>
                <w:position w:val="-4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357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＞</w:t>
            </w: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214 to ≤357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≤214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BB628C" w:rsidRPr="00F4565D" w:rsidTr="00F04920">
        <w:trPr>
          <w:trHeight w:val="354"/>
        </w:trPr>
        <w:tc>
          <w:tcPr>
            <w:tcW w:w="21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CLIF-ACLFs</w:t>
            </w:r>
          </w:p>
        </w:tc>
        <w:tc>
          <w:tcPr>
            <w:tcW w:w="736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628C" w:rsidRPr="00F4565D" w:rsidRDefault="00BB628C" w:rsidP="00F0492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565D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10×[0.33×CLIF-C OFs+0.04×Age+0.63×ln(WBC count) ×2]</w:t>
            </w:r>
          </w:p>
        </w:tc>
      </w:tr>
    </w:tbl>
    <w:p w:rsidR="00BB628C" w:rsidRPr="00F4565D" w:rsidRDefault="00BB628C" w:rsidP="00BB628C">
      <w:pPr>
        <w:rPr>
          <w:rFonts w:ascii="Arial" w:hAnsi="Arial" w:cs="Arial"/>
          <w:sz w:val="20"/>
          <w:szCs w:val="20"/>
        </w:rPr>
      </w:pPr>
      <w:r w:rsidRPr="00F4565D">
        <w:rPr>
          <w:rFonts w:ascii="Arial" w:hAnsi="Arial" w:cs="Arial"/>
          <w:color w:val="000000" w:themeColor="text1"/>
          <w:sz w:val="20"/>
          <w:szCs w:val="20"/>
        </w:rPr>
        <w:t>Abbreviations:</w:t>
      </w:r>
      <w:r w:rsidRPr="00F4565D">
        <w:rPr>
          <w:rFonts w:ascii="Arial" w:hAnsi="Arial" w:cs="Arial" w:hint="eastAsia"/>
          <w:b/>
          <w:color w:val="000000" w:themeColor="text1"/>
          <w:sz w:val="20"/>
          <w:szCs w:val="20"/>
        </w:rPr>
        <w:t xml:space="preserve"> </w:t>
      </w:r>
      <w:r w:rsidRPr="00F4565D">
        <w:rPr>
          <w:rFonts w:ascii="Arial" w:hAnsi="Arial" w:cs="Arial"/>
          <w:sz w:val="20"/>
          <w:szCs w:val="20"/>
        </w:rPr>
        <w:t>MELD: Model for end-stage liver disease; ABIC: age-bilirubin-international normalized ratio-</w:t>
      </w:r>
      <w:proofErr w:type="spellStart"/>
      <w:r w:rsidRPr="00F4565D">
        <w:rPr>
          <w:rFonts w:ascii="Arial" w:hAnsi="Arial" w:cs="Arial"/>
          <w:sz w:val="20"/>
          <w:szCs w:val="20"/>
        </w:rPr>
        <w:t>creatinine</w:t>
      </w:r>
      <w:proofErr w:type="spellEnd"/>
      <w:r w:rsidRPr="00F4565D">
        <w:rPr>
          <w:rFonts w:ascii="Arial" w:hAnsi="Arial" w:cs="Arial"/>
          <w:sz w:val="20"/>
          <w:szCs w:val="20"/>
        </w:rPr>
        <w:t>; CLIF-SOFA: Chronic liver failure-Sequential organ failure assessment; CLIF-C OF: Chronic liver failure consortium Organ Failure score; INR: International normalized ratio; RRT: Renal replacement therapy; HE: Hepatic encephalopathy; MAP: Mean arterial pressure; PaO</w:t>
      </w:r>
      <w:r w:rsidRPr="00F4565D">
        <w:rPr>
          <w:rFonts w:ascii="Arial" w:hAnsi="Arial" w:cs="Arial"/>
          <w:sz w:val="20"/>
          <w:szCs w:val="20"/>
          <w:vertAlign w:val="subscript"/>
        </w:rPr>
        <w:t>2</w:t>
      </w:r>
      <w:r w:rsidRPr="00F4565D">
        <w:rPr>
          <w:rFonts w:ascii="Arial" w:hAnsi="Arial" w:cs="Arial"/>
          <w:sz w:val="20"/>
          <w:szCs w:val="20"/>
        </w:rPr>
        <w:t>: Partial pressure of arterial oxygen; FiO</w:t>
      </w:r>
      <w:r w:rsidRPr="00F4565D">
        <w:rPr>
          <w:rFonts w:ascii="Arial" w:hAnsi="Arial" w:cs="Arial"/>
          <w:sz w:val="20"/>
          <w:szCs w:val="20"/>
          <w:vertAlign w:val="subscript"/>
        </w:rPr>
        <w:t>2</w:t>
      </w:r>
      <w:r w:rsidRPr="00F4565D">
        <w:rPr>
          <w:rFonts w:ascii="Arial" w:hAnsi="Arial" w:cs="Arial"/>
          <w:sz w:val="20"/>
          <w:szCs w:val="20"/>
        </w:rPr>
        <w:t>: Fraction of inspired oxygen; SPO</w:t>
      </w:r>
      <w:r w:rsidRPr="00F4565D">
        <w:rPr>
          <w:rFonts w:ascii="Arial" w:hAnsi="Arial" w:cs="Arial"/>
          <w:sz w:val="20"/>
          <w:szCs w:val="20"/>
          <w:vertAlign w:val="subscript"/>
        </w:rPr>
        <w:t>2</w:t>
      </w:r>
      <w:r w:rsidRPr="00F4565D">
        <w:rPr>
          <w:rFonts w:ascii="Arial" w:hAnsi="Arial" w:cs="Arial"/>
          <w:sz w:val="20"/>
          <w:szCs w:val="20"/>
        </w:rPr>
        <w:t xml:space="preserve">: Pulse </w:t>
      </w:r>
      <w:proofErr w:type="spellStart"/>
      <w:r w:rsidRPr="00F4565D">
        <w:rPr>
          <w:rFonts w:ascii="Arial" w:hAnsi="Arial" w:cs="Arial"/>
          <w:sz w:val="20"/>
          <w:szCs w:val="20"/>
        </w:rPr>
        <w:t>oximetric</w:t>
      </w:r>
      <w:proofErr w:type="spellEnd"/>
      <w:r w:rsidRPr="00F4565D">
        <w:rPr>
          <w:rFonts w:ascii="Arial" w:hAnsi="Arial" w:cs="Arial"/>
          <w:sz w:val="20"/>
          <w:szCs w:val="20"/>
        </w:rPr>
        <w:t xml:space="preserve"> saturation.</w:t>
      </w:r>
    </w:p>
    <w:p w:rsidR="009E5AC5" w:rsidRPr="00BB628C" w:rsidRDefault="009E5AC5"/>
    <w:sectPr w:rsidR="009E5AC5" w:rsidRPr="00BB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2F" w:rsidRDefault="009D2A2F" w:rsidP="00BB628C">
      <w:r>
        <w:separator/>
      </w:r>
    </w:p>
  </w:endnote>
  <w:endnote w:type="continuationSeparator" w:id="0">
    <w:p w:rsidR="009D2A2F" w:rsidRDefault="009D2A2F" w:rsidP="00BB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2F" w:rsidRDefault="009D2A2F" w:rsidP="00BB628C">
      <w:r>
        <w:separator/>
      </w:r>
    </w:p>
  </w:footnote>
  <w:footnote w:type="continuationSeparator" w:id="0">
    <w:p w:rsidR="009D2A2F" w:rsidRDefault="009D2A2F" w:rsidP="00BB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84"/>
    <w:rsid w:val="00867E84"/>
    <w:rsid w:val="009D2A2F"/>
    <w:rsid w:val="009E5AC5"/>
    <w:rsid w:val="00B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2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2021-11-13T06:57:00Z</dcterms:created>
  <dcterms:modified xsi:type="dcterms:W3CDTF">2021-11-13T06:57:00Z</dcterms:modified>
</cp:coreProperties>
</file>