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48C" w:rsidRPr="00355DCA" w:rsidRDefault="007A448C" w:rsidP="007A448C">
      <w:pPr>
        <w:spacing w:line="480" w:lineRule="auto"/>
        <w:jc w:val="both"/>
        <w:rPr>
          <w:rFonts w:ascii="Arial" w:hAnsi="Arial" w:cs="Arial"/>
          <w:b/>
          <w:sz w:val="24"/>
          <w:szCs w:val="24"/>
          <w:lang w:val="en-GB"/>
        </w:rPr>
      </w:pPr>
      <w:r w:rsidRPr="00355DCA">
        <w:rPr>
          <w:rFonts w:ascii="Arial" w:hAnsi="Arial" w:cs="Arial"/>
          <w:b/>
          <w:sz w:val="24"/>
          <w:szCs w:val="24"/>
          <w:lang w:val="en-GB"/>
        </w:rPr>
        <w:t>Magnetic nanoparticle priming of mesenchymal stromal cells generates MRI-detectable extracellular vesicles with enhanced immunomodulatory activity</w:t>
      </w:r>
    </w:p>
    <w:p w:rsidR="007A448C" w:rsidRPr="00355DCA" w:rsidRDefault="007A448C" w:rsidP="007A448C">
      <w:pPr>
        <w:spacing w:line="480" w:lineRule="auto"/>
        <w:jc w:val="both"/>
        <w:rPr>
          <w:rFonts w:ascii="Arial" w:hAnsi="Arial" w:cs="Arial"/>
          <w:sz w:val="24"/>
          <w:szCs w:val="24"/>
          <w:vertAlign w:val="superscript"/>
          <w:lang w:val="en-GB"/>
        </w:rPr>
      </w:pPr>
      <w:r w:rsidRPr="00355DCA">
        <w:rPr>
          <w:rFonts w:ascii="Arial" w:hAnsi="Arial" w:cs="Arial"/>
          <w:sz w:val="24"/>
          <w:szCs w:val="24"/>
          <w:lang w:val="en-GB"/>
        </w:rPr>
        <w:t>Léa Jabbour, Estelle Surply, Sonia Becharef, Sarah Razafindrakoto, Nathalie Luciani and Florence Gazeau*</w:t>
      </w:r>
    </w:p>
    <w:p w:rsidR="007A448C" w:rsidRPr="00355DCA" w:rsidRDefault="007A448C" w:rsidP="007A448C">
      <w:pPr>
        <w:spacing w:line="480" w:lineRule="auto"/>
        <w:jc w:val="both"/>
        <w:rPr>
          <w:rFonts w:ascii="Arial" w:hAnsi="Arial" w:cs="Arial"/>
          <w:b/>
          <w:sz w:val="24"/>
          <w:szCs w:val="24"/>
          <w:lang w:val="en-GB"/>
        </w:rPr>
      </w:pPr>
      <w:r w:rsidRPr="00355DCA">
        <w:rPr>
          <w:rFonts w:ascii="Arial" w:hAnsi="Arial" w:cs="Arial"/>
          <w:b/>
          <w:sz w:val="24"/>
          <w:szCs w:val="24"/>
          <w:lang w:val="en-GB"/>
        </w:rPr>
        <w:t xml:space="preserve">Authors and Affiliations: </w:t>
      </w:r>
    </w:p>
    <w:p w:rsidR="007A448C" w:rsidRPr="00355DCA" w:rsidRDefault="007A448C" w:rsidP="007A448C">
      <w:pPr>
        <w:spacing w:line="480" w:lineRule="auto"/>
        <w:jc w:val="both"/>
        <w:rPr>
          <w:rFonts w:ascii="Arial" w:hAnsi="Arial" w:cs="Arial"/>
          <w:sz w:val="24"/>
          <w:szCs w:val="24"/>
          <w:lang w:val="en-GB"/>
        </w:rPr>
      </w:pPr>
      <w:r w:rsidRPr="00355DCA">
        <w:rPr>
          <w:rFonts w:ascii="Arial" w:hAnsi="Arial" w:cs="Arial"/>
          <w:sz w:val="24"/>
          <w:szCs w:val="24"/>
          <w:lang w:val="en-GB"/>
        </w:rPr>
        <w:t xml:space="preserve">Université Paris Cité, CNRS, Inserm, NABI, F-75006 Paris, France. </w:t>
      </w:r>
    </w:p>
    <w:p w:rsidR="007A448C" w:rsidRPr="00372D55" w:rsidRDefault="007A448C" w:rsidP="007A448C">
      <w:pPr>
        <w:spacing w:line="480" w:lineRule="auto"/>
        <w:jc w:val="both"/>
        <w:rPr>
          <w:rFonts w:ascii="Arial" w:hAnsi="Arial" w:cs="Arial"/>
          <w:sz w:val="24"/>
          <w:szCs w:val="24"/>
        </w:rPr>
      </w:pPr>
      <w:r w:rsidRPr="00372D55">
        <w:rPr>
          <w:rFonts w:ascii="Arial" w:hAnsi="Arial" w:cs="Arial"/>
          <w:b/>
          <w:sz w:val="24"/>
          <w:szCs w:val="24"/>
        </w:rPr>
        <w:t>*Corresponding author:</w:t>
      </w:r>
      <w:r w:rsidRPr="00372D55">
        <w:rPr>
          <w:rFonts w:ascii="Arial" w:hAnsi="Arial" w:cs="Arial"/>
          <w:sz w:val="24"/>
          <w:szCs w:val="24"/>
        </w:rPr>
        <w:t xml:space="preserve"> Florence Gazeau, Université Paris Cité, CNRS, Inserm, NABI, F-75006 Paris, France (e-mail : florence.gazeau@u-paris.fr)</w:t>
      </w:r>
    </w:p>
    <w:p w:rsidR="007A448C" w:rsidRPr="007A448C" w:rsidRDefault="007A448C" w:rsidP="007A448C">
      <w:pPr>
        <w:spacing w:line="480" w:lineRule="auto"/>
        <w:jc w:val="both"/>
        <w:rPr>
          <w:rFonts w:ascii="Arial" w:hAnsi="Arial" w:cs="Arial"/>
          <w:b/>
          <w:sz w:val="24"/>
          <w:szCs w:val="24"/>
        </w:rPr>
      </w:pPr>
    </w:p>
    <w:p w:rsidR="007A448C" w:rsidRDefault="007A448C" w:rsidP="007A448C">
      <w:pPr>
        <w:spacing w:line="480" w:lineRule="auto"/>
        <w:jc w:val="both"/>
        <w:rPr>
          <w:rFonts w:ascii="Arial" w:hAnsi="Arial" w:cs="Arial"/>
          <w:b/>
          <w:sz w:val="24"/>
          <w:szCs w:val="24"/>
          <w:lang w:val="en-GB"/>
        </w:rPr>
      </w:pPr>
      <w:r w:rsidRPr="008A4C85">
        <w:rPr>
          <w:rFonts w:ascii="Arial" w:hAnsi="Arial" w:cs="Arial"/>
          <w:b/>
          <w:sz w:val="24"/>
          <w:szCs w:val="24"/>
          <w:lang w:val="en-GB"/>
        </w:rPr>
        <w:t xml:space="preserve">Supplementary Figures </w:t>
      </w:r>
    </w:p>
    <w:p w:rsidR="007A448C" w:rsidRDefault="007A448C" w:rsidP="007A448C">
      <w:pPr>
        <w:spacing w:line="480" w:lineRule="auto"/>
        <w:jc w:val="both"/>
        <w:rPr>
          <w:rFonts w:ascii="Arial" w:hAnsi="Arial" w:cs="Arial"/>
          <w:b/>
          <w:sz w:val="24"/>
          <w:szCs w:val="24"/>
          <w:lang w:val="en-GB"/>
        </w:rPr>
      </w:pPr>
      <w:r>
        <w:rPr>
          <w:rFonts w:ascii="Arial" w:hAnsi="Arial" w:cs="Arial"/>
          <w:b/>
          <w:noProof/>
          <w:sz w:val="24"/>
          <w:szCs w:val="24"/>
          <w:lang w:eastAsia="fr-FR"/>
        </w:rPr>
        <w:drawing>
          <wp:inline distT="0" distB="0" distL="0" distR="0">
            <wp:extent cx="5760720" cy="227393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2273935"/>
                    </a:xfrm>
                    <a:prstGeom prst="rect">
                      <a:avLst/>
                    </a:prstGeom>
                  </pic:spPr>
                </pic:pic>
              </a:graphicData>
            </a:graphic>
          </wp:inline>
        </w:drawing>
      </w:r>
    </w:p>
    <w:p w:rsidR="007A448C" w:rsidRDefault="007A448C" w:rsidP="007A448C">
      <w:pPr>
        <w:spacing w:line="480" w:lineRule="auto"/>
        <w:jc w:val="both"/>
        <w:rPr>
          <w:rFonts w:ascii="Arial" w:hAnsi="Arial" w:cs="Arial"/>
          <w:sz w:val="24"/>
          <w:szCs w:val="24"/>
          <w:lang w:val="en-GB"/>
        </w:rPr>
      </w:pPr>
      <w:r w:rsidRPr="008A4C85">
        <w:rPr>
          <w:rFonts w:ascii="Arial" w:hAnsi="Arial" w:cs="Arial"/>
          <w:b/>
          <w:sz w:val="24"/>
          <w:szCs w:val="24"/>
          <w:lang w:val="en-GB"/>
        </w:rPr>
        <w:t xml:space="preserve">Figure S1. Effect of magnetic field exposure on basal gene expression in unstimulated M1- and M2-like macrophages. </w:t>
      </w:r>
      <w:r w:rsidRPr="008A4C85">
        <w:rPr>
          <w:rFonts w:ascii="Arial" w:hAnsi="Arial" w:cs="Arial"/>
          <w:sz w:val="24"/>
          <w:szCs w:val="24"/>
          <w:lang w:val="en-GB"/>
        </w:rPr>
        <w:t>No significant effect of magnetic field exposure was observed on baseline gene expression. Data represents mean±SD.</w:t>
      </w:r>
    </w:p>
    <w:p w:rsidR="007A448C" w:rsidRDefault="007A448C" w:rsidP="007A448C">
      <w:pPr>
        <w:spacing w:line="480" w:lineRule="auto"/>
        <w:jc w:val="both"/>
        <w:rPr>
          <w:rFonts w:ascii="Arial" w:hAnsi="Arial" w:cs="Arial"/>
          <w:sz w:val="24"/>
          <w:szCs w:val="24"/>
          <w:lang w:val="en-GB"/>
        </w:rPr>
      </w:pPr>
      <w:r>
        <w:rPr>
          <w:rFonts w:ascii="Arial" w:hAnsi="Arial" w:cs="Arial"/>
          <w:noProof/>
          <w:sz w:val="24"/>
          <w:szCs w:val="24"/>
          <w:lang w:eastAsia="fr-FR"/>
        </w:rPr>
        <w:lastRenderedPageBreak/>
        <w:drawing>
          <wp:inline distT="0" distB="0" distL="0" distR="0">
            <wp:extent cx="6314792" cy="4757672"/>
            <wp:effectExtent l="0" t="0" r="0" b="5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2.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20858" cy="4762242"/>
                    </a:xfrm>
                    <a:prstGeom prst="rect">
                      <a:avLst/>
                    </a:prstGeom>
                  </pic:spPr>
                </pic:pic>
              </a:graphicData>
            </a:graphic>
          </wp:inline>
        </w:drawing>
      </w:r>
    </w:p>
    <w:p w:rsidR="007A448C" w:rsidRDefault="007A448C" w:rsidP="007A448C">
      <w:pPr>
        <w:spacing w:line="480" w:lineRule="auto"/>
        <w:jc w:val="both"/>
        <w:rPr>
          <w:rFonts w:ascii="Arial" w:hAnsi="Arial" w:cs="Arial"/>
          <w:sz w:val="24"/>
          <w:szCs w:val="24"/>
          <w:lang w:val="en-GB"/>
        </w:rPr>
      </w:pPr>
      <w:r w:rsidRPr="008A4C85">
        <w:rPr>
          <w:rFonts w:ascii="Arial" w:hAnsi="Arial" w:cs="Arial"/>
          <w:b/>
          <w:sz w:val="24"/>
          <w:szCs w:val="24"/>
          <w:lang w:val="en-GB"/>
        </w:rPr>
        <w:t>Figure S2. Principal component analysis (PCA) of macrophage inflammatory responses after EV-Turb treatment.</w:t>
      </w:r>
      <w:r w:rsidRPr="008A4C85">
        <w:rPr>
          <w:rFonts w:ascii="Arial" w:hAnsi="Arial" w:cs="Arial"/>
          <w:sz w:val="24"/>
          <w:szCs w:val="24"/>
          <w:lang w:val="en-GB"/>
        </w:rPr>
        <w:t xml:space="preserve"> PCA was performed on combined signalling (NF-κB and IRF activation) and gene expression parameters. PCA loading plot indicating the contribution of individual signalling and gene expression variables to PC1 and PC2. Relative contribution of each gene to the principal components.</w:t>
      </w:r>
    </w:p>
    <w:p w:rsidR="007A448C" w:rsidRDefault="007A448C" w:rsidP="007A448C">
      <w:pPr>
        <w:spacing w:line="480" w:lineRule="auto"/>
        <w:jc w:val="both"/>
        <w:rPr>
          <w:rFonts w:ascii="Arial" w:hAnsi="Arial" w:cs="Arial"/>
          <w:sz w:val="24"/>
          <w:szCs w:val="24"/>
          <w:lang w:val="en-GB"/>
        </w:rPr>
      </w:pPr>
      <w:r>
        <w:rPr>
          <w:rFonts w:ascii="Arial" w:hAnsi="Arial" w:cs="Arial"/>
          <w:noProof/>
          <w:sz w:val="24"/>
          <w:szCs w:val="24"/>
          <w:lang w:eastAsia="fr-FR"/>
        </w:rPr>
        <w:drawing>
          <wp:inline distT="0" distB="0" distL="0" distR="0">
            <wp:extent cx="6459647" cy="4861824"/>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3.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65024" cy="4865871"/>
                    </a:xfrm>
                    <a:prstGeom prst="rect">
                      <a:avLst/>
                    </a:prstGeom>
                  </pic:spPr>
                </pic:pic>
              </a:graphicData>
            </a:graphic>
          </wp:inline>
        </w:drawing>
      </w:r>
    </w:p>
    <w:p w:rsidR="007A448C" w:rsidRDefault="007A448C" w:rsidP="007A448C">
      <w:pPr>
        <w:spacing w:line="480" w:lineRule="auto"/>
        <w:jc w:val="both"/>
        <w:rPr>
          <w:rFonts w:ascii="Arial" w:hAnsi="Arial" w:cs="Arial"/>
          <w:sz w:val="24"/>
          <w:szCs w:val="24"/>
          <w:lang w:val="en-GB"/>
        </w:rPr>
      </w:pPr>
      <w:r w:rsidRPr="008A4C85">
        <w:rPr>
          <w:rFonts w:ascii="Arial" w:hAnsi="Arial" w:cs="Arial"/>
          <w:b/>
          <w:sz w:val="24"/>
          <w:szCs w:val="24"/>
          <w:lang w:val="en-GB"/>
        </w:rPr>
        <w:t>Figure S3. Principal component analysis (PCA) of macrophage inflammatory responses after EV-ION treatment.</w:t>
      </w:r>
      <w:r w:rsidRPr="008A4C85">
        <w:rPr>
          <w:rFonts w:ascii="Arial" w:hAnsi="Arial" w:cs="Arial"/>
          <w:sz w:val="24"/>
          <w:szCs w:val="24"/>
          <w:lang w:val="en-GB"/>
        </w:rPr>
        <w:t xml:space="preserve"> PCA was performed on combined signalling (NF-κB and IRF activation) and gene expression parameters. PCA loading plot indicating the contribution of individual signalling and gene expression variables to PC1 and PC2. Relative contribution of each gene to the principal components.</w:t>
      </w:r>
    </w:p>
    <w:p w:rsidR="007A448C" w:rsidRDefault="007A448C" w:rsidP="007A448C">
      <w:pPr>
        <w:spacing w:line="480" w:lineRule="auto"/>
        <w:jc w:val="both"/>
        <w:rPr>
          <w:rFonts w:ascii="Arial" w:hAnsi="Arial" w:cs="Arial"/>
          <w:sz w:val="24"/>
          <w:szCs w:val="24"/>
          <w:lang w:val="en-GB"/>
        </w:rPr>
      </w:pPr>
      <w:bookmarkStart w:id="0" w:name="_GoBack"/>
      <w:r>
        <w:rPr>
          <w:rFonts w:ascii="Arial" w:hAnsi="Arial" w:cs="Arial"/>
          <w:noProof/>
          <w:sz w:val="24"/>
          <w:szCs w:val="24"/>
          <w:lang w:eastAsia="fr-FR"/>
        </w:rPr>
        <w:drawing>
          <wp:inline distT="0" distB="0" distL="0" distR="0">
            <wp:extent cx="6577342" cy="4940982"/>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4.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583549" cy="4945645"/>
                    </a:xfrm>
                    <a:prstGeom prst="rect">
                      <a:avLst/>
                    </a:prstGeom>
                  </pic:spPr>
                </pic:pic>
              </a:graphicData>
            </a:graphic>
          </wp:inline>
        </w:drawing>
      </w:r>
      <w:bookmarkEnd w:id="0"/>
    </w:p>
    <w:p w:rsidR="007A448C" w:rsidRPr="008A4C85" w:rsidRDefault="007A448C" w:rsidP="007A448C">
      <w:pPr>
        <w:spacing w:line="480" w:lineRule="auto"/>
        <w:jc w:val="both"/>
        <w:rPr>
          <w:rFonts w:ascii="Arial" w:hAnsi="Arial" w:cs="Arial"/>
          <w:sz w:val="24"/>
          <w:szCs w:val="24"/>
          <w:lang w:val="en-GB"/>
        </w:rPr>
      </w:pPr>
      <w:r w:rsidRPr="008A4C85">
        <w:rPr>
          <w:rFonts w:ascii="Arial" w:hAnsi="Arial" w:cs="Arial"/>
          <w:b/>
          <w:sz w:val="24"/>
          <w:szCs w:val="24"/>
          <w:lang w:val="en-GB"/>
        </w:rPr>
        <w:t>Figure S4. Principal component analysis (PCA) of macrophage inflammatory responses after EV-ION treatment under magnetic field exposure.</w:t>
      </w:r>
      <w:r w:rsidRPr="008A4C85">
        <w:rPr>
          <w:rFonts w:ascii="Arial" w:hAnsi="Arial" w:cs="Arial"/>
          <w:sz w:val="24"/>
          <w:szCs w:val="24"/>
          <w:lang w:val="en-GB"/>
        </w:rPr>
        <w:t xml:space="preserve"> PCA was performed on combined signalling (NF-κB and IRF activation) and gene expression parameters. PCA loading plot indicating the contribution of individual signalling and gene expression variables to PC1 and PC2. Relative contribution of each gene to the principal components.</w:t>
      </w:r>
    </w:p>
    <w:p w:rsidR="0071156D" w:rsidRDefault="0071156D"/>
    <w:sectPr w:rsidR="0071156D" w:rsidSect="006C5FB7">
      <w:footerReference w:type="default" r:id="rId11"/>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33E" w:rsidRDefault="0069333E">
      <w:pPr>
        <w:spacing w:after="0" w:line="240" w:lineRule="auto"/>
      </w:pPr>
      <w:r>
        <w:separator/>
      </w:r>
    </w:p>
  </w:endnote>
  <w:endnote w:type="continuationSeparator" w:id="0">
    <w:p w:rsidR="0069333E" w:rsidRDefault="00693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77478"/>
      <w:docPartObj>
        <w:docPartGallery w:val="Page Numbers (Bottom of Page)"/>
        <w:docPartUnique/>
      </w:docPartObj>
    </w:sdtPr>
    <w:sdtEndPr/>
    <w:sdtContent>
      <w:p w:rsidR="003F0D87" w:rsidRDefault="007A448C">
        <w:pPr>
          <w:pStyle w:val="Pieddepage"/>
          <w:jc w:val="center"/>
        </w:pPr>
        <w:r>
          <w:fldChar w:fldCharType="begin"/>
        </w:r>
        <w:r>
          <w:instrText>PAGE   \* MERGEFORMAT</w:instrText>
        </w:r>
        <w:r>
          <w:fldChar w:fldCharType="separate"/>
        </w:r>
        <w:r w:rsidR="0069333E">
          <w:rPr>
            <w:noProof/>
          </w:rPr>
          <w:t>1</w:t>
        </w:r>
        <w:r>
          <w:fldChar w:fldCharType="end"/>
        </w:r>
      </w:p>
    </w:sdtContent>
  </w:sdt>
  <w:p w:rsidR="003F0D87" w:rsidRDefault="0069333E">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33E" w:rsidRDefault="0069333E">
      <w:pPr>
        <w:spacing w:after="0" w:line="240" w:lineRule="auto"/>
      </w:pPr>
      <w:r>
        <w:separator/>
      </w:r>
    </w:p>
  </w:footnote>
  <w:footnote w:type="continuationSeparator" w:id="0">
    <w:p w:rsidR="0069333E" w:rsidRDefault="006933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782EA8"/>
    <w:multiLevelType w:val="multilevel"/>
    <w:tmpl w:val="337C8E12"/>
    <w:lvl w:ilvl="0">
      <w:start w:val="1"/>
      <w:numFmt w:val="decimal"/>
      <w:pStyle w:val="Titr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F222CF4"/>
    <w:multiLevelType w:val="multilevel"/>
    <w:tmpl w:val="8BD867E6"/>
    <w:lvl w:ilvl="0">
      <w:start w:val="1"/>
      <w:numFmt w:val="none"/>
      <w:lvlText w:val=""/>
      <w:lvlJc w:val="left"/>
      <w:pPr>
        <w:ind w:left="431" w:hanging="431"/>
      </w:pPr>
      <w:rPr>
        <w:rFonts w:hint="default"/>
      </w:rPr>
    </w:lvl>
    <w:lvl w:ilvl="1">
      <w:start w:val="1"/>
      <w:numFmt w:val="decimal"/>
      <w:lvlText w:val="%1"/>
      <w:lvlJc w:val="left"/>
      <w:pPr>
        <w:ind w:left="715" w:hanging="431"/>
      </w:pPr>
      <w:rPr>
        <w:rFonts w:hint="default"/>
      </w:rPr>
    </w:lvl>
    <w:lvl w:ilvl="2">
      <w:start w:val="1"/>
      <w:numFmt w:val="decimal"/>
      <w:lvlText w:val="%1%2."/>
      <w:lvlJc w:val="left"/>
      <w:pPr>
        <w:ind w:left="999" w:hanging="431"/>
      </w:pPr>
      <w:rPr>
        <w:rFonts w:hint="default"/>
        <w:i w:val="0"/>
      </w:rPr>
    </w:lvl>
    <w:lvl w:ilvl="3">
      <w:start w:val="1"/>
      <w:numFmt w:val="decimal"/>
      <w:lvlText w:val="%1%2.%3."/>
      <w:lvlJc w:val="left"/>
      <w:pPr>
        <w:ind w:left="1283" w:hanging="431"/>
      </w:pPr>
      <w:rPr>
        <w:rFonts w:hint="default"/>
      </w:rPr>
    </w:lvl>
    <w:lvl w:ilvl="4">
      <w:start w:val="1"/>
      <w:numFmt w:val="decimal"/>
      <w:lvlText w:val="%1%2.%3.1."/>
      <w:lvlJc w:val="left"/>
      <w:pPr>
        <w:ind w:left="1567" w:hanging="431"/>
      </w:pPr>
      <w:rPr>
        <w:rFonts w:hint="default"/>
      </w:rPr>
    </w:lvl>
    <w:lvl w:ilvl="5">
      <w:start w:val="1"/>
      <w:numFmt w:val="decimal"/>
      <w:lvlText w:val="%1%2.%3.%4.%5."/>
      <w:lvlJc w:val="left"/>
      <w:pPr>
        <w:ind w:left="1851" w:hanging="431"/>
      </w:pPr>
      <w:rPr>
        <w:rFonts w:hint="default"/>
      </w:rPr>
    </w:lvl>
    <w:lvl w:ilvl="6">
      <w:start w:val="1"/>
      <w:numFmt w:val="decimal"/>
      <w:lvlText w:val="%1%2.%3.%4.%5.%6."/>
      <w:lvlJc w:val="left"/>
      <w:pPr>
        <w:ind w:left="2135" w:hanging="431"/>
      </w:pPr>
      <w:rPr>
        <w:rFonts w:hint="default"/>
      </w:rPr>
    </w:lvl>
    <w:lvl w:ilvl="7">
      <w:start w:val="1"/>
      <w:numFmt w:val="decimal"/>
      <w:lvlText w:val="%1%2.%3.%4.%5.%6."/>
      <w:lvlJc w:val="left"/>
      <w:pPr>
        <w:ind w:left="2419" w:hanging="431"/>
      </w:pPr>
      <w:rPr>
        <w:rFonts w:hint="default"/>
      </w:rPr>
    </w:lvl>
    <w:lvl w:ilvl="8">
      <w:start w:val="1"/>
      <w:numFmt w:val="decimal"/>
      <w:lvlText w:val="%1%2.%3.%4.%5.%6."/>
      <w:lvlJc w:val="left"/>
      <w:pPr>
        <w:ind w:left="2703" w:hanging="43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21D"/>
    <w:rsid w:val="000B021D"/>
    <w:rsid w:val="0033172D"/>
    <w:rsid w:val="004311D4"/>
    <w:rsid w:val="005C4854"/>
    <w:rsid w:val="0069333E"/>
    <w:rsid w:val="0071156D"/>
    <w:rsid w:val="007A448C"/>
    <w:rsid w:val="009D6F60"/>
    <w:rsid w:val="00E533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CAFC39-B75D-48D5-852C-054F37096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48C"/>
  </w:style>
  <w:style w:type="paragraph" w:styleId="Titre1">
    <w:name w:val="heading 1"/>
    <w:basedOn w:val="Normal"/>
    <w:next w:val="Normal"/>
    <w:link w:val="Titre1Car"/>
    <w:uiPriority w:val="9"/>
    <w:qFormat/>
    <w:rsid w:val="0033172D"/>
    <w:pPr>
      <w:keepNext/>
      <w:keepLines/>
      <w:numPr>
        <w:numId w:val="2"/>
      </w:numPr>
      <w:spacing w:before="360" w:after="120" w:line="480" w:lineRule="auto"/>
      <w:ind w:left="431" w:hanging="431"/>
      <w:jc w:val="both"/>
      <w:outlineLvl w:val="0"/>
    </w:pPr>
    <w:rPr>
      <w:rFonts w:ascii="Times New Roman" w:eastAsiaTheme="majorEastAsia" w:hAnsi="Times New Roman" w:cstheme="majorBidi"/>
      <w:b/>
      <w:sz w:val="24"/>
      <w:szCs w:val="32"/>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3172D"/>
    <w:rPr>
      <w:rFonts w:ascii="Times New Roman" w:eastAsiaTheme="majorEastAsia" w:hAnsi="Times New Roman" w:cstheme="majorBidi"/>
      <w:b/>
      <w:sz w:val="24"/>
      <w:szCs w:val="32"/>
      <w:lang w:val="en-GB"/>
    </w:rPr>
  </w:style>
  <w:style w:type="paragraph" w:styleId="Pieddepage">
    <w:name w:val="footer"/>
    <w:basedOn w:val="Normal"/>
    <w:link w:val="PieddepageCar"/>
    <w:uiPriority w:val="99"/>
    <w:unhideWhenUsed/>
    <w:rsid w:val="007A44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448C"/>
  </w:style>
  <w:style w:type="character" w:styleId="Numrodeligne">
    <w:name w:val="line number"/>
    <w:basedOn w:val="Policepardfaut"/>
    <w:uiPriority w:val="99"/>
    <w:semiHidden/>
    <w:unhideWhenUsed/>
    <w:rsid w:val="007A4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299</Words>
  <Characters>1646</Characters>
  <Application>Microsoft Office Word</Application>
  <DocSecurity>0</DocSecurity>
  <Lines>13</Lines>
  <Paragraphs>3</Paragraphs>
  <ScaleCrop>false</ScaleCrop>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 JABBOUR</dc:creator>
  <cp:keywords/>
  <dc:description/>
  <cp:lastModifiedBy>Florence Gazeau</cp:lastModifiedBy>
  <cp:revision>3</cp:revision>
  <dcterms:created xsi:type="dcterms:W3CDTF">2026-08-11T14:21:00Z</dcterms:created>
  <dcterms:modified xsi:type="dcterms:W3CDTF">2026-08-11T14:53:00Z</dcterms:modified>
</cp:coreProperties>
</file>