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7A932" w14:textId="56A15DC7" w:rsidR="004C6DBE" w:rsidRPr="00DD30BB" w:rsidRDefault="00312AAD" w:rsidP="00DD30BB">
      <w:pPr>
        <w:rPr>
          <w:b/>
          <w:bCs/>
          <w:sz w:val="32"/>
          <w:szCs w:val="32"/>
          <w:lang w:val="en-US"/>
        </w:rPr>
      </w:pPr>
      <w:r w:rsidRPr="00DD30BB">
        <w:rPr>
          <w:b/>
          <w:bCs/>
          <w:sz w:val="32"/>
          <w:szCs w:val="32"/>
          <w:lang w:val="en-US"/>
        </w:rPr>
        <w:t>Supplementary</w:t>
      </w:r>
      <w:r w:rsidR="009C101C" w:rsidRPr="00DD30BB">
        <w:rPr>
          <w:b/>
          <w:bCs/>
          <w:sz w:val="32"/>
          <w:szCs w:val="32"/>
          <w:lang w:val="en-US"/>
        </w:rPr>
        <w:t xml:space="preserve"> </w:t>
      </w:r>
      <w:r w:rsidR="00DD30BB">
        <w:rPr>
          <w:b/>
          <w:bCs/>
          <w:sz w:val="32"/>
          <w:szCs w:val="32"/>
          <w:lang w:val="en-US"/>
        </w:rPr>
        <w:t>information</w:t>
      </w:r>
      <w:r w:rsidR="009C101C" w:rsidRPr="00DD30BB">
        <w:rPr>
          <w:b/>
          <w:bCs/>
          <w:sz w:val="32"/>
          <w:szCs w:val="32"/>
          <w:lang w:val="en-US"/>
        </w:rPr>
        <w:t xml:space="preserve"> </w:t>
      </w:r>
    </w:p>
    <w:p w14:paraId="12BCA93F" w14:textId="2F3D16CC" w:rsidR="00967B45" w:rsidRPr="004C6DBE" w:rsidRDefault="00DD30BB">
      <w:pPr>
        <w:rPr>
          <w:b/>
          <w:bCs/>
          <w:sz w:val="32"/>
          <w:szCs w:val="32"/>
        </w:rPr>
      </w:pPr>
      <w:r w:rsidRPr="00BB01C6">
        <w:rPr>
          <w:b/>
          <w:bCs/>
          <w:noProof/>
        </w:rPr>
        <w:drawing>
          <wp:anchor distT="0" distB="0" distL="114300" distR="114300" simplePos="0" relativeHeight="251659264" behindDoc="0" locked="0" layoutInCell="1" allowOverlap="1" wp14:anchorId="55A052F2" wp14:editId="029AE8A8">
            <wp:simplePos x="0" y="0"/>
            <wp:positionH relativeFrom="margin">
              <wp:posOffset>0</wp:posOffset>
            </wp:positionH>
            <wp:positionV relativeFrom="page">
              <wp:posOffset>1689100</wp:posOffset>
            </wp:positionV>
            <wp:extent cx="5730240" cy="4917440"/>
            <wp:effectExtent l="0" t="0" r="3810" b="0"/>
            <wp:wrapTopAndBottom/>
            <wp:docPr id="1418257517" name="Picture 1" descr="A collage of plants and see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57517" name="Picture 1" descr="A collage of plants and seeds&#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7" r="36663"/>
                    <a:stretch>
                      <a:fillRect/>
                    </a:stretch>
                  </pic:blipFill>
                  <pic:spPr bwMode="auto">
                    <a:xfrm>
                      <a:off x="0" y="0"/>
                      <a:ext cx="5730240" cy="4917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450E58" w14:textId="77777777" w:rsidR="00DD30BB" w:rsidRDefault="00DD30BB" w:rsidP="00DD30BB">
      <w:pPr>
        <w:spacing w:line="240" w:lineRule="auto"/>
        <w:jc w:val="both"/>
        <w:rPr>
          <w:b/>
          <w:bCs/>
        </w:rPr>
      </w:pPr>
    </w:p>
    <w:p w14:paraId="221869E6" w14:textId="5A64BA99" w:rsidR="00DD30BB" w:rsidRPr="006B07BE" w:rsidRDefault="00967B45" w:rsidP="00DD30BB">
      <w:pPr>
        <w:spacing w:line="240" w:lineRule="auto"/>
        <w:jc w:val="both"/>
      </w:pPr>
      <w:r w:rsidRPr="006B07BE">
        <w:rPr>
          <w:b/>
          <w:bCs/>
        </w:rPr>
        <w:t>Fig</w:t>
      </w:r>
      <w:r w:rsidR="00DD30BB">
        <w:rPr>
          <w:b/>
          <w:bCs/>
        </w:rPr>
        <w:t>ure S</w:t>
      </w:r>
      <w:r w:rsidRPr="006B07BE">
        <w:rPr>
          <w:b/>
          <w:bCs/>
        </w:rPr>
        <w:t>1</w:t>
      </w:r>
      <w:r>
        <w:t>.</w:t>
      </w:r>
      <w:r w:rsidR="00DD30BB">
        <w:t xml:space="preserve"> </w:t>
      </w:r>
      <w:r w:rsidR="00DD30BB" w:rsidRPr="00DD30BB">
        <w:t xml:space="preserve">Map and photographs of the sampling site and </w:t>
      </w:r>
      <w:proofErr w:type="spellStart"/>
      <w:r w:rsidR="00DD30BB" w:rsidRPr="00DD30BB">
        <w:rPr>
          <w:i/>
          <w:iCs/>
        </w:rPr>
        <w:t>Peganum</w:t>
      </w:r>
      <w:proofErr w:type="spellEnd"/>
      <w:r w:rsidR="00DD30BB" w:rsidRPr="00DD30BB">
        <w:rPr>
          <w:i/>
          <w:iCs/>
        </w:rPr>
        <w:t xml:space="preserve"> harmala</w:t>
      </w:r>
      <w:r w:rsidR="00DD30BB" w:rsidRPr="00DD30BB">
        <w:t xml:space="preserve"> specimens. (a) Geographic location of the sampling site in RHAMNA–</w:t>
      </w:r>
      <w:proofErr w:type="spellStart"/>
      <w:r w:rsidR="00DD30BB" w:rsidRPr="00DD30BB">
        <w:t>Benguerir</w:t>
      </w:r>
      <w:proofErr w:type="spellEnd"/>
      <w:r w:rsidR="00DD30BB" w:rsidRPr="00DD30BB">
        <w:t xml:space="preserve"> (</w:t>
      </w:r>
      <w:proofErr w:type="spellStart"/>
      <w:r w:rsidR="00DD30BB" w:rsidRPr="00DD30BB">
        <w:t>Nazlat</w:t>
      </w:r>
      <w:proofErr w:type="spellEnd"/>
      <w:r w:rsidR="00DD30BB" w:rsidRPr="00DD30BB">
        <w:t xml:space="preserve"> </w:t>
      </w:r>
      <w:proofErr w:type="spellStart"/>
      <w:r w:rsidR="00DD30BB" w:rsidRPr="00DD30BB">
        <w:t>Laâdem</w:t>
      </w:r>
      <w:proofErr w:type="spellEnd"/>
      <w:r w:rsidR="00DD30BB" w:rsidRPr="00DD30BB">
        <w:t xml:space="preserve">, Morocco). (b) Representative </w:t>
      </w:r>
      <w:r w:rsidR="00DD30BB" w:rsidRPr="00DD30BB">
        <w:rPr>
          <w:i/>
          <w:iCs/>
        </w:rPr>
        <w:t>P. harmala</w:t>
      </w:r>
      <w:r w:rsidR="00DD30BB" w:rsidRPr="00DD30BB">
        <w:t xml:space="preserve"> specimen from the first sampling campaign. (c) Root system of </w:t>
      </w:r>
      <w:r w:rsidR="00DD30BB" w:rsidRPr="00DD30BB">
        <w:rPr>
          <w:i/>
          <w:iCs/>
        </w:rPr>
        <w:t>P. harmala</w:t>
      </w:r>
      <w:r w:rsidR="00DD30BB" w:rsidRPr="00DD30BB">
        <w:t xml:space="preserve">. (d) Shoot system of </w:t>
      </w:r>
      <w:r w:rsidR="00DD30BB" w:rsidRPr="00DD30BB">
        <w:rPr>
          <w:i/>
          <w:iCs/>
        </w:rPr>
        <w:t>P. harmala</w:t>
      </w:r>
      <w:r w:rsidR="00DD30BB" w:rsidRPr="00DD30BB">
        <w:t xml:space="preserve"> from the first sampling campaign</w:t>
      </w:r>
      <w:r w:rsidR="00DD30BB" w:rsidRPr="00440615">
        <w:t>.</w:t>
      </w:r>
    </w:p>
    <w:p w14:paraId="34428BC2" w14:textId="263CCA60" w:rsidR="009C101C" w:rsidRDefault="00542A65" w:rsidP="00DD30BB">
      <w:pPr>
        <w:jc w:val="center"/>
        <w:rPr>
          <w:b/>
          <w:bCs/>
          <w:sz w:val="32"/>
          <w:szCs w:val="32"/>
          <w:lang w:val="fr-MA"/>
        </w:rPr>
      </w:pPr>
      <w:r>
        <w:rPr>
          <w:b/>
          <w:bCs/>
          <w:noProof/>
          <w:sz w:val="32"/>
          <w:szCs w:val="32"/>
          <w:lang w:val="fr-MA"/>
        </w:rPr>
        <w:lastRenderedPageBreak/>
        <w:drawing>
          <wp:inline distT="0" distB="0" distL="0" distR="0" wp14:anchorId="052C89F6" wp14:editId="7126E9AD">
            <wp:extent cx="3203043" cy="6389324"/>
            <wp:effectExtent l="0" t="0" r="0" b="0"/>
            <wp:docPr id="14648560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56001" name="Picture 14648560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7254" cy="6417672"/>
                    </a:xfrm>
                    <a:prstGeom prst="rect">
                      <a:avLst/>
                    </a:prstGeom>
                  </pic:spPr>
                </pic:pic>
              </a:graphicData>
            </a:graphic>
          </wp:inline>
        </w:drawing>
      </w:r>
    </w:p>
    <w:p w14:paraId="4295B398" w14:textId="2A694AA7" w:rsidR="00967B45" w:rsidRPr="00967B45" w:rsidRDefault="00967B45" w:rsidP="00DD30BB">
      <w:pPr>
        <w:spacing w:line="240" w:lineRule="auto"/>
        <w:jc w:val="both"/>
        <w:rPr>
          <w:lang w:val="en-US"/>
        </w:rPr>
      </w:pPr>
      <w:r w:rsidRPr="00BB01C6">
        <w:rPr>
          <w:b/>
          <w:bCs/>
          <w:lang w:val="en-US"/>
        </w:rPr>
        <w:t>Fig</w:t>
      </w:r>
      <w:r w:rsidR="00DD30BB">
        <w:rPr>
          <w:b/>
          <w:bCs/>
          <w:lang w:val="en-US"/>
        </w:rPr>
        <w:t>ure</w:t>
      </w:r>
      <w:r w:rsidRPr="00BB01C6">
        <w:rPr>
          <w:b/>
          <w:bCs/>
          <w:lang w:val="en-US"/>
        </w:rPr>
        <w:t xml:space="preserve"> </w:t>
      </w:r>
      <w:r w:rsidR="00DD30BB">
        <w:rPr>
          <w:b/>
          <w:bCs/>
          <w:lang w:val="en-US"/>
        </w:rPr>
        <w:t>S</w:t>
      </w:r>
      <w:r w:rsidRPr="00BB01C6">
        <w:rPr>
          <w:b/>
          <w:bCs/>
          <w:lang w:val="en-US"/>
        </w:rPr>
        <w:t xml:space="preserve">2. </w:t>
      </w:r>
      <w:r w:rsidR="00DD30BB" w:rsidRPr="00DD30BB">
        <w:t xml:space="preserve">Cross-kingdom genus-level composition of </w:t>
      </w:r>
      <w:r w:rsidR="00DD30BB">
        <w:t>bacterial and fungal communities</w:t>
      </w:r>
      <w:r w:rsidR="00DD30BB" w:rsidRPr="00DD30BB">
        <w:t xml:space="preserve"> associated with </w:t>
      </w:r>
      <w:proofErr w:type="spellStart"/>
      <w:r w:rsidR="00DD30BB" w:rsidRPr="00DD30BB">
        <w:rPr>
          <w:i/>
          <w:iCs/>
        </w:rPr>
        <w:t>Peganum</w:t>
      </w:r>
      <w:proofErr w:type="spellEnd"/>
      <w:r w:rsidR="00DD30BB" w:rsidRPr="00DD30BB">
        <w:rPr>
          <w:i/>
          <w:iCs/>
        </w:rPr>
        <w:t xml:space="preserve"> harmala</w:t>
      </w:r>
      <w:r w:rsidR="00DD30BB" w:rsidRPr="00DD30BB">
        <w:t xml:space="preserve"> across three compartments and two growing seasons. Relative abundances of the top 20 dominant taxa across roots, leaf </w:t>
      </w:r>
      <w:proofErr w:type="spellStart"/>
      <w:r w:rsidR="00DD30BB" w:rsidRPr="00DD30BB">
        <w:t>endosphere</w:t>
      </w:r>
      <w:proofErr w:type="spellEnd"/>
      <w:r w:rsidR="00DD30BB" w:rsidRPr="00DD30BB">
        <w:t>, and rhizosphere over two consecutive years, showing (a) bacterial and (b) fungal genera, respectively. The upper panels represent the first year, and the lower panels represent the second year. Bars indicate mean relative abundances, and remaining taxa are grouped as “Others.” Colour coding corresponds to genus-level taxonomy.</w:t>
      </w:r>
    </w:p>
    <w:p w14:paraId="6583D06E" w14:textId="4AF01888" w:rsidR="009C101C" w:rsidRDefault="00542A65" w:rsidP="00DD30BB">
      <w:pPr>
        <w:jc w:val="center"/>
        <w:rPr>
          <w:b/>
          <w:bCs/>
          <w:sz w:val="32"/>
          <w:szCs w:val="32"/>
          <w:lang w:val="fr-MA"/>
        </w:rPr>
      </w:pPr>
      <w:r>
        <w:rPr>
          <w:b/>
          <w:bCs/>
          <w:noProof/>
          <w:sz w:val="32"/>
          <w:szCs w:val="32"/>
          <w:lang w:val="fr-MA"/>
        </w:rPr>
        <w:lastRenderedPageBreak/>
        <w:drawing>
          <wp:inline distT="0" distB="0" distL="0" distR="0" wp14:anchorId="77E9F4AA" wp14:editId="6D0197BC">
            <wp:extent cx="3721027" cy="6204904"/>
            <wp:effectExtent l="0" t="0" r="635" b="5715"/>
            <wp:docPr id="18825649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64921" name="Picture 18825649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8706" cy="6251060"/>
                    </a:xfrm>
                    <a:prstGeom prst="rect">
                      <a:avLst/>
                    </a:prstGeom>
                  </pic:spPr>
                </pic:pic>
              </a:graphicData>
            </a:graphic>
          </wp:inline>
        </w:drawing>
      </w:r>
    </w:p>
    <w:p w14:paraId="00E5B5AC" w14:textId="2EEBC58F" w:rsidR="00967B45" w:rsidRPr="00FF4BA8" w:rsidRDefault="00967B45" w:rsidP="00DD30BB">
      <w:pPr>
        <w:jc w:val="both"/>
        <w:rPr>
          <w:b/>
          <w:bCs/>
          <w:sz w:val="32"/>
          <w:szCs w:val="32"/>
        </w:rPr>
      </w:pPr>
      <w:r w:rsidRPr="00BB01C6">
        <w:rPr>
          <w:b/>
          <w:bCs/>
          <w:lang w:val="en-US"/>
        </w:rPr>
        <w:t>Fig</w:t>
      </w:r>
      <w:r w:rsidR="00DD30BB">
        <w:rPr>
          <w:b/>
          <w:bCs/>
          <w:lang w:val="en-US"/>
        </w:rPr>
        <w:t>ure</w:t>
      </w:r>
      <w:r>
        <w:rPr>
          <w:b/>
          <w:bCs/>
          <w:lang w:val="en-US"/>
        </w:rPr>
        <w:t xml:space="preserve"> </w:t>
      </w:r>
      <w:r w:rsidR="00DD30BB">
        <w:rPr>
          <w:b/>
          <w:bCs/>
          <w:lang w:val="en-US"/>
        </w:rPr>
        <w:t>S</w:t>
      </w:r>
      <w:r w:rsidRPr="00BB01C6">
        <w:rPr>
          <w:b/>
          <w:bCs/>
          <w:lang w:val="en-US"/>
        </w:rPr>
        <w:t>3</w:t>
      </w:r>
      <w:r>
        <w:rPr>
          <w:b/>
          <w:bCs/>
          <w:lang w:val="en-US"/>
        </w:rPr>
        <w:t>.</w:t>
      </w:r>
      <w:r w:rsidRPr="00BB01C6">
        <w:rPr>
          <w:lang w:val="en-US"/>
        </w:rPr>
        <w:t xml:space="preserve"> </w:t>
      </w:r>
      <w:r w:rsidR="00DD30BB" w:rsidRPr="00DD30BB">
        <w:t xml:space="preserve">Genus-level taxonomic profiles illustrating compartmental divergence and core microbiome architecture associated with </w:t>
      </w:r>
      <w:proofErr w:type="spellStart"/>
      <w:r w:rsidR="00DD30BB" w:rsidRPr="00DD30BB">
        <w:rPr>
          <w:i/>
          <w:iCs/>
        </w:rPr>
        <w:t>Peganum</w:t>
      </w:r>
      <w:proofErr w:type="spellEnd"/>
      <w:r w:rsidR="00DD30BB" w:rsidRPr="00DD30BB">
        <w:rPr>
          <w:i/>
          <w:iCs/>
        </w:rPr>
        <w:t xml:space="preserve"> harmala</w:t>
      </w:r>
      <w:r w:rsidR="00DD30BB" w:rsidRPr="00DD30BB">
        <w:t xml:space="preserve">. Compartment-resolved relative abundances of bacterial communities in the first year (a) and second year (b), and fungal communities in the first year (c) and second year (d), across roots, leaf </w:t>
      </w:r>
      <w:proofErr w:type="spellStart"/>
      <w:r w:rsidR="00DD30BB" w:rsidRPr="00DD30BB">
        <w:t>endosphere</w:t>
      </w:r>
      <w:proofErr w:type="spellEnd"/>
      <w:r w:rsidR="00DD30BB" w:rsidRPr="00DD30BB">
        <w:t>, and rhizosphere. Core genera are indicated based on their persistence across compartments</w:t>
      </w:r>
      <w:r w:rsidRPr="00DD0B28">
        <w:t>.</w:t>
      </w:r>
    </w:p>
    <w:p w14:paraId="0898EBF2" w14:textId="6CA00B84" w:rsidR="009C101C" w:rsidRDefault="00AA043C">
      <w:pPr>
        <w:rPr>
          <w:b/>
          <w:bCs/>
          <w:sz w:val="32"/>
          <w:szCs w:val="32"/>
          <w:lang w:val="fr-MA"/>
        </w:rPr>
      </w:pPr>
      <w:r>
        <w:rPr>
          <w:noProof/>
        </w:rPr>
        <w:lastRenderedPageBreak/>
        <w:drawing>
          <wp:inline distT="0" distB="0" distL="0" distR="0" wp14:anchorId="52E6CA60" wp14:editId="7AEEB5A4">
            <wp:extent cx="4867991" cy="2780245"/>
            <wp:effectExtent l="0" t="0" r="0" b="1270"/>
            <wp:docPr id="5983749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74907" name="Picture 59837490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2430" cy="2788492"/>
                    </a:xfrm>
                    <a:prstGeom prst="rect">
                      <a:avLst/>
                    </a:prstGeom>
                  </pic:spPr>
                </pic:pic>
              </a:graphicData>
            </a:graphic>
          </wp:inline>
        </w:drawing>
      </w:r>
    </w:p>
    <w:p w14:paraId="48A4391F" w14:textId="73BB49EC" w:rsidR="009C101C" w:rsidRPr="00AA043C" w:rsidRDefault="000F0331" w:rsidP="00AA043C">
      <w:pPr>
        <w:jc w:val="both"/>
        <w:rPr>
          <w:b/>
          <w:bCs/>
          <w:sz w:val="32"/>
          <w:szCs w:val="32"/>
          <w:lang w:val="en-US"/>
        </w:rPr>
      </w:pPr>
      <w:r w:rsidRPr="00BB01C6">
        <w:rPr>
          <w:b/>
          <w:bCs/>
          <w:lang w:val="en-US"/>
        </w:rPr>
        <w:t>Fig</w:t>
      </w:r>
      <w:r w:rsidR="00AA043C">
        <w:rPr>
          <w:b/>
          <w:bCs/>
          <w:lang w:val="en-US"/>
        </w:rPr>
        <w:t>ure</w:t>
      </w:r>
      <w:r>
        <w:rPr>
          <w:b/>
          <w:bCs/>
          <w:lang w:val="en-US"/>
        </w:rPr>
        <w:t xml:space="preserve"> </w:t>
      </w:r>
      <w:r w:rsidR="00AA043C">
        <w:rPr>
          <w:b/>
          <w:bCs/>
          <w:lang w:val="en-US"/>
        </w:rPr>
        <w:t>S</w:t>
      </w:r>
      <w:r w:rsidR="004C6DBE">
        <w:rPr>
          <w:b/>
          <w:bCs/>
          <w:lang w:val="en-US"/>
        </w:rPr>
        <w:t>4</w:t>
      </w:r>
      <w:r w:rsidRPr="00BB01C6">
        <w:rPr>
          <w:b/>
          <w:bCs/>
          <w:lang w:val="en-US"/>
        </w:rPr>
        <w:t>.</w:t>
      </w:r>
      <w:r w:rsidRPr="00BB01C6">
        <w:rPr>
          <w:lang w:val="en-US"/>
        </w:rPr>
        <w:t xml:space="preserve"> </w:t>
      </w:r>
      <w:r w:rsidR="00AA043C" w:rsidRPr="008F28EC">
        <w:rPr>
          <w:lang w:val="en-US"/>
        </w:rPr>
        <w:t xml:space="preserve">Phylogenetic biomarker landscape of bacterial communities associated with </w:t>
      </w:r>
      <w:proofErr w:type="spellStart"/>
      <w:r w:rsidR="00AA043C" w:rsidRPr="008F28EC">
        <w:rPr>
          <w:i/>
          <w:iCs/>
          <w:lang w:val="en-US"/>
        </w:rPr>
        <w:t>Peganum</w:t>
      </w:r>
      <w:proofErr w:type="spellEnd"/>
      <w:r w:rsidR="00AA043C" w:rsidRPr="008F28EC">
        <w:rPr>
          <w:i/>
          <w:iCs/>
          <w:lang w:val="en-US"/>
        </w:rPr>
        <w:t xml:space="preserve"> harmala</w:t>
      </w:r>
      <w:r w:rsidR="00AA043C" w:rsidRPr="008F28EC">
        <w:rPr>
          <w:lang w:val="en-US"/>
        </w:rPr>
        <w:t xml:space="preserve"> identified using </w:t>
      </w:r>
      <w:proofErr w:type="spellStart"/>
      <w:r w:rsidR="00AA043C" w:rsidRPr="008F28EC">
        <w:rPr>
          <w:lang w:val="en-US"/>
        </w:rPr>
        <w:t>LEfSe</w:t>
      </w:r>
      <w:proofErr w:type="spellEnd"/>
      <w:r w:rsidR="00AA043C" w:rsidRPr="008F28EC">
        <w:rPr>
          <w:lang w:val="en-US"/>
        </w:rPr>
        <w:t xml:space="preserve"> analysis. Cladograms display bacterial community biomarkers for the first year (a) and second year (b). Taxa are organized hierarchically from phylum (inner ring) to genus (outer ring). Nodes are </w:t>
      </w:r>
      <w:proofErr w:type="spellStart"/>
      <w:r w:rsidR="00AA043C" w:rsidRPr="008F28EC">
        <w:rPr>
          <w:lang w:val="en-US"/>
        </w:rPr>
        <w:t>coloured</w:t>
      </w:r>
      <w:proofErr w:type="spellEnd"/>
      <w:r w:rsidR="00AA043C" w:rsidRPr="008F28EC">
        <w:rPr>
          <w:lang w:val="en-US"/>
        </w:rPr>
        <w:t xml:space="preserve"> according to compartment-specific enrichment (blue = roots, green = leaf </w:t>
      </w:r>
      <w:proofErr w:type="spellStart"/>
      <w:r w:rsidR="00AA043C" w:rsidRPr="008F28EC">
        <w:rPr>
          <w:lang w:val="en-US"/>
        </w:rPr>
        <w:t>endosphere</w:t>
      </w:r>
      <w:proofErr w:type="spellEnd"/>
      <w:r w:rsidR="00AA043C" w:rsidRPr="008F28EC">
        <w:rPr>
          <w:lang w:val="en-US"/>
        </w:rPr>
        <w:t>, red = rhizosphere), and node size reflects the magnitude of the LDA score (threshold: LDA &gt; 2.0). Background shading indicates phylum-level taxonomy, while cross-referenced letters identify discriminant taxa.</w:t>
      </w:r>
    </w:p>
    <w:p w14:paraId="0B950435" w14:textId="39333A2D" w:rsidR="009C101C" w:rsidRDefault="00542A65">
      <w:pPr>
        <w:rPr>
          <w:b/>
          <w:bCs/>
          <w:sz w:val="32"/>
          <w:szCs w:val="32"/>
          <w:lang w:val="fr-MA"/>
        </w:rPr>
      </w:pPr>
      <w:r>
        <w:rPr>
          <w:b/>
          <w:bCs/>
          <w:noProof/>
          <w:sz w:val="32"/>
          <w:szCs w:val="32"/>
          <w:lang w:val="fr-MA"/>
        </w:rPr>
        <w:drawing>
          <wp:inline distT="0" distB="0" distL="0" distR="0" wp14:anchorId="7D4B9055" wp14:editId="3DC47648">
            <wp:extent cx="5943600" cy="2666365"/>
            <wp:effectExtent l="0" t="0" r="0" b="635"/>
            <wp:docPr id="11526509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50909" name="Picture 115265090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666365"/>
                    </a:xfrm>
                    <a:prstGeom prst="rect">
                      <a:avLst/>
                    </a:prstGeom>
                  </pic:spPr>
                </pic:pic>
              </a:graphicData>
            </a:graphic>
          </wp:inline>
        </w:drawing>
      </w:r>
    </w:p>
    <w:p w14:paraId="3065B3A9" w14:textId="298BE527" w:rsidR="004C6DBE" w:rsidRPr="000B26FE" w:rsidRDefault="004C6DBE" w:rsidP="00AA043C">
      <w:pPr>
        <w:spacing w:line="240" w:lineRule="auto"/>
        <w:jc w:val="both"/>
      </w:pPr>
      <w:r w:rsidRPr="00BB01C6">
        <w:rPr>
          <w:b/>
          <w:bCs/>
          <w:lang w:val="en-US"/>
        </w:rPr>
        <w:t>Fig</w:t>
      </w:r>
      <w:r w:rsidR="00AA043C">
        <w:rPr>
          <w:b/>
          <w:bCs/>
          <w:lang w:val="en-US"/>
        </w:rPr>
        <w:t>ure S</w:t>
      </w:r>
      <w:r>
        <w:rPr>
          <w:b/>
          <w:bCs/>
          <w:lang w:val="en-US"/>
        </w:rPr>
        <w:t>5</w:t>
      </w:r>
      <w:r w:rsidRPr="00BB01C6">
        <w:rPr>
          <w:b/>
          <w:bCs/>
          <w:lang w:val="en-US"/>
        </w:rPr>
        <w:t>.</w:t>
      </w:r>
      <w:r w:rsidRPr="00BB01C6">
        <w:rPr>
          <w:lang w:val="en-US"/>
        </w:rPr>
        <w:t xml:space="preserve"> </w:t>
      </w:r>
      <w:r w:rsidR="00AA043C" w:rsidRPr="00AA043C">
        <w:t xml:space="preserve">Compartment-specific indicator genera of fungal communities associated with </w:t>
      </w:r>
      <w:proofErr w:type="spellStart"/>
      <w:r w:rsidR="00AA043C" w:rsidRPr="00AA043C">
        <w:rPr>
          <w:i/>
          <w:iCs/>
        </w:rPr>
        <w:t>Peganum</w:t>
      </w:r>
      <w:proofErr w:type="spellEnd"/>
      <w:r w:rsidR="00AA043C" w:rsidRPr="00AA043C">
        <w:rPr>
          <w:i/>
          <w:iCs/>
        </w:rPr>
        <w:t xml:space="preserve"> harmala</w:t>
      </w:r>
      <w:r w:rsidR="00AA043C" w:rsidRPr="00AA043C">
        <w:t xml:space="preserve"> across two growing seasons. Indicator species (</w:t>
      </w:r>
      <w:proofErr w:type="spellStart"/>
      <w:r w:rsidR="00AA043C" w:rsidRPr="00AA043C">
        <w:t>IndVal</w:t>
      </w:r>
      <w:proofErr w:type="spellEnd"/>
      <w:r w:rsidR="00AA043C" w:rsidRPr="00AA043C">
        <w:t xml:space="preserve">) analysis of fungal communities for the first year (a) and second year (b). Each point represents a genus-level taxon, positioned by </w:t>
      </w:r>
      <w:proofErr w:type="spellStart"/>
      <w:r w:rsidR="00AA043C" w:rsidRPr="00AA043C">
        <w:t>IndVal</w:t>
      </w:r>
      <w:proofErr w:type="spellEnd"/>
      <w:r w:rsidR="00AA043C" w:rsidRPr="00AA043C">
        <w:t xml:space="preserve"> score (x-axis) and coloured according to its strongest </w:t>
      </w:r>
      <w:r w:rsidR="00AA043C" w:rsidRPr="00AA043C">
        <w:lastRenderedPageBreak/>
        <w:t xml:space="preserve">compartmental association (blue = roots; green = leaf </w:t>
      </w:r>
      <w:proofErr w:type="spellStart"/>
      <w:r w:rsidR="00AA043C" w:rsidRPr="00AA043C">
        <w:t>endosphere</w:t>
      </w:r>
      <w:proofErr w:type="spellEnd"/>
      <w:r w:rsidR="00AA043C" w:rsidRPr="00AA043C">
        <w:t>; red = rhizosphere). Point size reflects −log10(permutation p-value). Only significant indicator taxa (permutation test, p &lt; 0.05) are shown.</w:t>
      </w:r>
    </w:p>
    <w:p w14:paraId="5268EB3A" w14:textId="77777777" w:rsidR="004C6DBE" w:rsidRPr="004C6DBE" w:rsidRDefault="004C6DBE" w:rsidP="0059451C">
      <w:pPr>
        <w:tabs>
          <w:tab w:val="left" w:pos="8640"/>
        </w:tabs>
        <w:spacing w:line="240" w:lineRule="auto"/>
        <w:jc w:val="both"/>
        <w:rPr>
          <w:b/>
          <w:bCs/>
        </w:rPr>
      </w:pPr>
    </w:p>
    <w:p w14:paraId="2364210F" w14:textId="77777777" w:rsidR="004C6DBE" w:rsidRDefault="004C6DBE" w:rsidP="0059451C">
      <w:pPr>
        <w:tabs>
          <w:tab w:val="left" w:pos="8640"/>
        </w:tabs>
        <w:spacing w:line="240" w:lineRule="auto"/>
        <w:jc w:val="both"/>
        <w:rPr>
          <w:b/>
          <w:bCs/>
          <w:lang w:val="en-US"/>
        </w:rPr>
      </w:pPr>
    </w:p>
    <w:p w14:paraId="31A0937A" w14:textId="77777777" w:rsidR="000F0331" w:rsidRPr="007452EC" w:rsidRDefault="000F0331" w:rsidP="0059451C">
      <w:pPr>
        <w:tabs>
          <w:tab w:val="left" w:pos="8640"/>
        </w:tabs>
        <w:spacing w:line="240" w:lineRule="auto"/>
        <w:jc w:val="both"/>
      </w:pPr>
    </w:p>
    <w:p w14:paraId="14A0006F" w14:textId="513695AB" w:rsidR="009C101C" w:rsidRDefault="00542A65">
      <w:pPr>
        <w:rPr>
          <w:b/>
          <w:bCs/>
          <w:sz w:val="32"/>
          <w:szCs w:val="32"/>
          <w:lang w:val="fr-MA"/>
        </w:rPr>
      </w:pPr>
      <w:r>
        <w:rPr>
          <w:b/>
          <w:bCs/>
          <w:noProof/>
          <w:sz w:val="32"/>
          <w:szCs w:val="32"/>
          <w:lang w:val="fr-MA"/>
        </w:rPr>
        <w:drawing>
          <wp:inline distT="0" distB="0" distL="0" distR="0" wp14:anchorId="3618ACB8" wp14:editId="06C48F92">
            <wp:extent cx="4761231" cy="6364586"/>
            <wp:effectExtent l="0" t="0" r="0" b="0"/>
            <wp:docPr id="18840333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33336" name="Picture 18840333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3296" cy="6367346"/>
                    </a:xfrm>
                    <a:prstGeom prst="rect">
                      <a:avLst/>
                    </a:prstGeom>
                  </pic:spPr>
                </pic:pic>
              </a:graphicData>
            </a:graphic>
          </wp:inline>
        </w:drawing>
      </w:r>
    </w:p>
    <w:p w14:paraId="0E40134D" w14:textId="3DDABB37" w:rsidR="004C6DBE" w:rsidRDefault="004C6DBE" w:rsidP="00AA043C">
      <w:pPr>
        <w:tabs>
          <w:tab w:val="left" w:pos="8640"/>
        </w:tabs>
        <w:spacing w:line="240" w:lineRule="auto"/>
        <w:jc w:val="both"/>
      </w:pPr>
      <w:r w:rsidRPr="00BB01C6">
        <w:rPr>
          <w:b/>
          <w:bCs/>
          <w:lang w:val="en-US"/>
        </w:rPr>
        <w:lastRenderedPageBreak/>
        <w:t>Fig</w:t>
      </w:r>
      <w:r w:rsidR="00AA043C">
        <w:rPr>
          <w:b/>
          <w:bCs/>
          <w:lang w:val="en-US"/>
        </w:rPr>
        <w:t>ure</w:t>
      </w:r>
      <w:r>
        <w:rPr>
          <w:b/>
          <w:bCs/>
          <w:lang w:val="en-US"/>
        </w:rPr>
        <w:t xml:space="preserve"> </w:t>
      </w:r>
      <w:r w:rsidR="00AA043C">
        <w:rPr>
          <w:b/>
          <w:bCs/>
          <w:lang w:val="en-US"/>
        </w:rPr>
        <w:t>S</w:t>
      </w:r>
      <w:r>
        <w:rPr>
          <w:b/>
          <w:bCs/>
          <w:lang w:val="en-US"/>
        </w:rPr>
        <w:t>6</w:t>
      </w:r>
      <w:r w:rsidRPr="00BB01C6">
        <w:rPr>
          <w:b/>
          <w:bCs/>
          <w:lang w:val="en-US"/>
        </w:rPr>
        <w:t>.</w:t>
      </w:r>
      <w:r w:rsidRPr="00BB01C6">
        <w:rPr>
          <w:lang w:val="en-US"/>
        </w:rPr>
        <w:t xml:space="preserve"> </w:t>
      </w:r>
      <w:r w:rsidR="00AA043C" w:rsidRPr="00AA043C">
        <w:t xml:space="preserve">Compartment-specific indicator taxa and co-occurrence network architecture of bacterial and fungal communities associated with </w:t>
      </w:r>
      <w:proofErr w:type="spellStart"/>
      <w:r w:rsidR="00AA043C" w:rsidRPr="00AA043C">
        <w:rPr>
          <w:i/>
          <w:iCs/>
        </w:rPr>
        <w:t>Peganum</w:t>
      </w:r>
      <w:proofErr w:type="spellEnd"/>
      <w:r w:rsidR="00AA043C" w:rsidRPr="00AA043C">
        <w:rPr>
          <w:i/>
          <w:iCs/>
        </w:rPr>
        <w:t xml:space="preserve"> harmala</w:t>
      </w:r>
      <w:r w:rsidR="00AA043C" w:rsidRPr="00AA043C">
        <w:t xml:space="preserve"> across two growing seasons. Fungal </w:t>
      </w:r>
      <w:proofErr w:type="spellStart"/>
      <w:r w:rsidR="00AA043C" w:rsidRPr="00AA043C">
        <w:t>IndVal</w:t>
      </w:r>
      <w:proofErr w:type="spellEnd"/>
      <w:r w:rsidR="00AA043C" w:rsidRPr="00AA043C">
        <w:t xml:space="preserve"> analyses (a–b) represent the first and second year, respectively. Each point represents a genus-level taxon, coloured by its compartment of maximum association (blue = roots, green = leaf </w:t>
      </w:r>
      <w:proofErr w:type="spellStart"/>
      <w:r w:rsidR="00AA043C" w:rsidRPr="00AA043C">
        <w:t>endosphere</w:t>
      </w:r>
      <w:proofErr w:type="spellEnd"/>
      <w:r w:rsidR="00AA043C" w:rsidRPr="00AA043C">
        <w:t>, red = rhizosphere), with size proportional to −log10(p-value). In network representations, nodes are classified as connector hubs (squares; Pi &gt; 0.62) or peripheral nodes (circles). Edges represent significant co-occurrences (</w:t>
      </w:r>
      <w:proofErr w:type="spellStart"/>
      <w:r w:rsidR="00AA043C" w:rsidRPr="00AA043C">
        <w:t>SparCC</w:t>
      </w:r>
      <w:proofErr w:type="spellEnd"/>
      <w:r w:rsidR="00AA043C" w:rsidRPr="00AA043C">
        <w:t xml:space="preserve"> |ρ| &gt; 0.6, p &lt; 0.05).</w:t>
      </w:r>
    </w:p>
    <w:p w14:paraId="17DB4A52" w14:textId="77777777" w:rsidR="006D1D34" w:rsidRPr="004C6DBE" w:rsidRDefault="006D1D34" w:rsidP="004C6DBE">
      <w:pPr>
        <w:tabs>
          <w:tab w:val="left" w:pos="8640"/>
        </w:tabs>
        <w:spacing w:line="240" w:lineRule="auto"/>
        <w:jc w:val="both"/>
      </w:pPr>
    </w:p>
    <w:p w14:paraId="77F74A02" w14:textId="11BF8E81" w:rsidR="009C101C" w:rsidRDefault="00542A65">
      <w:pPr>
        <w:rPr>
          <w:b/>
          <w:bCs/>
          <w:sz w:val="32"/>
          <w:szCs w:val="32"/>
          <w:lang w:val="fr-MA"/>
        </w:rPr>
      </w:pPr>
      <w:r>
        <w:rPr>
          <w:b/>
          <w:bCs/>
          <w:noProof/>
          <w:sz w:val="32"/>
          <w:szCs w:val="32"/>
          <w:lang w:val="fr-MA"/>
        </w:rPr>
        <w:drawing>
          <wp:inline distT="0" distB="0" distL="0" distR="0" wp14:anchorId="7CCA9F62" wp14:editId="2D5ED468">
            <wp:extent cx="5486400" cy="6099517"/>
            <wp:effectExtent l="0" t="0" r="0" b="0"/>
            <wp:docPr id="20356343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34394" name="Picture 20356343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9572" cy="6103043"/>
                    </a:xfrm>
                    <a:prstGeom prst="rect">
                      <a:avLst/>
                    </a:prstGeom>
                  </pic:spPr>
                </pic:pic>
              </a:graphicData>
            </a:graphic>
          </wp:inline>
        </w:drawing>
      </w:r>
    </w:p>
    <w:p w14:paraId="2F18E490" w14:textId="684888EF" w:rsidR="009C101C" w:rsidRDefault="004C6DBE" w:rsidP="00AA043C">
      <w:pPr>
        <w:jc w:val="both"/>
      </w:pPr>
      <w:r w:rsidRPr="00BB01C6">
        <w:rPr>
          <w:b/>
          <w:bCs/>
          <w:lang w:val="en-US"/>
        </w:rPr>
        <w:lastRenderedPageBreak/>
        <w:t>Fig</w:t>
      </w:r>
      <w:r w:rsidR="00AA043C">
        <w:rPr>
          <w:b/>
          <w:bCs/>
          <w:lang w:val="en-US"/>
        </w:rPr>
        <w:t>ure</w:t>
      </w:r>
      <w:r>
        <w:rPr>
          <w:b/>
          <w:bCs/>
          <w:lang w:val="en-US"/>
        </w:rPr>
        <w:t xml:space="preserve"> </w:t>
      </w:r>
      <w:r w:rsidR="00AA043C">
        <w:rPr>
          <w:b/>
          <w:bCs/>
          <w:lang w:val="en-US"/>
        </w:rPr>
        <w:t>S</w:t>
      </w:r>
      <w:r w:rsidR="00123E3D">
        <w:rPr>
          <w:b/>
          <w:bCs/>
          <w:lang w:val="en-US"/>
        </w:rPr>
        <w:t>7</w:t>
      </w:r>
      <w:r w:rsidRPr="00BB01C6">
        <w:rPr>
          <w:b/>
          <w:bCs/>
          <w:lang w:val="en-US"/>
        </w:rPr>
        <w:t>.</w:t>
      </w:r>
      <w:r w:rsidRPr="00BB01C6">
        <w:rPr>
          <w:lang w:val="en-US"/>
        </w:rPr>
        <w:t xml:space="preserve"> </w:t>
      </w:r>
      <w:r w:rsidR="00AA043C" w:rsidRPr="00AA043C">
        <w:t xml:space="preserve">Functional potential and trophic guild structure of the bacterial and fungal metacommunity associated with </w:t>
      </w:r>
      <w:proofErr w:type="spellStart"/>
      <w:r w:rsidR="00AA043C" w:rsidRPr="00AA043C">
        <w:rPr>
          <w:i/>
          <w:iCs/>
        </w:rPr>
        <w:t>Peganum</w:t>
      </w:r>
      <w:proofErr w:type="spellEnd"/>
      <w:r w:rsidR="00AA043C" w:rsidRPr="00AA043C">
        <w:rPr>
          <w:i/>
          <w:iCs/>
        </w:rPr>
        <w:t xml:space="preserve"> harmala</w:t>
      </w:r>
      <w:r w:rsidR="00AA043C" w:rsidRPr="00AA043C">
        <w:t xml:space="preserve">. PICRUSt2-predicted bacterial metabolic pathway categories across roots, leaf </w:t>
      </w:r>
      <w:proofErr w:type="spellStart"/>
      <w:r w:rsidR="00AA043C" w:rsidRPr="00AA043C">
        <w:t>endosphere</w:t>
      </w:r>
      <w:proofErr w:type="spellEnd"/>
      <w:r w:rsidR="00AA043C" w:rsidRPr="00AA043C">
        <w:t xml:space="preserve">, and rhizosphere in the first year (a) and second year (b), including central metabolism, anaerobic metabolism, biosynthesis, degradation, nitrogen metabolism, cofactor metabolism, stress tolerance, and other functions. </w:t>
      </w:r>
      <w:proofErr w:type="spellStart"/>
      <w:r w:rsidR="00AA043C" w:rsidRPr="00AA043C">
        <w:t>FUNGuild</w:t>
      </w:r>
      <w:proofErr w:type="spellEnd"/>
      <w:r w:rsidR="00AA043C" w:rsidRPr="00AA043C">
        <w:t xml:space="preserve"> trophic mode distributions are shown for the first year (c) and second year (d). All values are expressed as relative abundance (%).</w:t>
      </w:r>
    </w:p>
    <w:p w14:paraId="47805055" w14:textId="77777777" w:rsidR="00123E3D" w:rsidRDefault="00123E3D" w:rsidP="00123E3D">
      <w:pPr>
        <w:rPr>
          <w:b/>
          <w:bCs/>
          <w:sz w:val="32"/>
          <w:szCs w:val="32"/>
          <w:lang w:val="fr-MA"/>
        </w:rPr>
      </w:pPr>
      <w:r>
        <w:rPr>
          <w:b/>
          <w:bCs/>
          <w:noProof/>
          <w:sz w:val="32"/>
          <w:szCs w:val="32"/>
          <w:lang w:val="fr-MA"/>
        </w:rPr>
        <w:drawing>
          <wp:inline distT="0" distB="0" distL="0" distR="0" wp14:anchorId="50D11822" wp14:editId="0097AD0B">
            <wp:extent cx="5943600" cy="2495550"/>
            <wp:effectExtent l="0" t="0" r="0" b="0"/>
            <wp:docPr id="20507746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74626" name="Picture 205077462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495550"/>
                    </a:xfrm>
                    <a:prstGeom prst="rect">
                      <a:avLst/>
                    </a:prstGeom>
                  </pic:spPr>
                </pic:pic>
              </a:graphicData>
            </a:graphic>
          </wp:inline>
        </w:drawing>
      </w:r>
    </w:p>
    <w:p w14:paraId="2096B601" w14:textId="5D76DC69" w:rsidR="00123E3D" w:rsidRPr="004C6DBE" w:rsidRDefault="00123E3D" w:rsidP="00AA043C">
      <w:pPr>
        <w:jc w:val="both"/>
        <w:rPr>
          <w:b/>
          <w:bCs/>
          <w:sz w:val="32"/>
          <w:szCs w:val="32"/>
        </w:rPr>
      </w:pPr>
      <w:r w:rsidRPr="00BB01C6">
        <w:rPr>
          <w:b/>
          <w:bCs/>
          <w:lang w:val="en-US"/>
        </w:rPr>
        <w:t>Fig</w:t>
      </w:r>
      <w:r w:rsidR="00AA043C">
        <w:rPr>
          <w:b/>
          <w:bCs/>
          <w:lang w:val="en-US"/>
        </w:rPr>
        <w:t>ure</w:t>
      </w:r>
      <w:r>
        <w:rPr>
          <w:b/>
          <w:bCs/>
          <w:lang w:val="en-US"/>
        </w:rPr>
        <w:t xml:space="preserve"> </w:t>
      </w:r>
      <w:r w:rsidR="00AA043C">
        <w:rPr>
          <w:b/>
          <w:bCs/>
          <w:lang w:val="en-US"/>
        </w:rPr>
        <w:t>S</w:t>
      </w:r>
      <w:r>
        <w:rPr>
          <w:b/>
          <w:bCs/>
          <w:lang w:val="en-US"/>
        </w:rPr>
        <w:t>8</w:t>
      </w:r>
      <w:r w:rsidRPr="00BB01C6">
        <w:rPr>
          <w:b/>
          <w:bCs/>
          <w:lang w:val="en-US"/>
        </w:rPr>
        <w:t>.</w:t>
      </w:r>
      <w:r w:rsidRPr="00BB01C6">
        <w:rPr>
          <w:lang w:val="en-US"/>
        </w:rPr>
        <w:t xml:space="preserve"> </w:t>
      </w:r>
      <w:r w:rsidR="00AA043C" w:rsidRPr="00AA043C">
        <w:t xml:space="preserve">Metacommunity source–sink dynamics of fungal communities associated with </w:t>
      </w:r>
      <w:proofErr w:type="spellStart"/>
      <w:r w:rsidR="00AA043C" w:rsidRPr="00AA043C">
        <w:rPr>
          <w:i/>
          <w:iCs/>
        </w:rPr>
        <w:t>Peganum</w:t>
      </w:r>
      <w:proofErr w:type="spellEnd"/>
      <w:r w:rsidR="00AA043C" w:rsidRPr="00AA043C">
        <w:rPr>
          <w:i/>
          <w:iCs/>
        </w:rPr>
        <w:t xml:space="preserve"> harmala</w:t>
      </w:r>
      <w:r w:rsidR="00AA043C" w:rsidRPr="00AA043C">
        <w:t xml:space="preserve"> based on Sankey flow analysis across three compartments and two growing seasons. Alluvial diagrams illustrate fungal community flows for the first year (a) and second year (b), tracking shared genera from the rhizosphere to roots and subsequently to the leaf </w:t>
      </w:r>
      <w:proofErr w:type="spellStart"/>
      <w:r w:rsidR="00AA043C" w:rsidRPr="00AA043C">
        <w:t>endosphere</w:t>
      </w:r>
      <w:proofErr w:type="spellEnd"/>
      <w:r w:rsidR="00AA043C" w:rsidRPr="00AA043C">
        <w:t>. “</w:t>
      </w:r>
      <w:proofErr w:type="spellStart"/>
      <w:r w:rsidR="00AA043C" w:rsidRPr="00AA043C">
        <w:t>Lost_Roots</w:t>
      </w:r>
      <w:proofErr w:type="spellEnd"/>
      <w:r w:rsidR="00AA043C" w:rsidRPr="00AA043C">
        <w:t xml:space="preserve">” denotes </w:t>
      </w:r>
      <w:proofErr w:type="spellStart"/>
      <w:r w:rsidR="00AA043C" w:rsidRPr="00AA043C">
        <w:t>rhizospheric</w:t>
      </w:r>
      <w:proofErr w:type="spellEnd"/>
      <w:r w:rsidR="00AA043C" w:rsidRPr="00AA043C">
        <w:t xml:space="preserve"> genera absent from root </w:t>
      </w:r>
      <w:proofErr w:type="spellStart"/>
      <w:r w:rsidR="00AA043C" w:rsidRPr="00AA043C">
        <w:t>endospheres</w:t>
      </w:r>
      <w:proofErr w:type="spellEnd"/>
      <w:r w:rsidR="00AA043C" w:rsidRPr="00AA043C">
        <w:t>. Ribbon width is proportional to the relative abundance of shared genera.</w:t>
      </w:r>
    </w:p>
    <w:p w14:paraId="6E7CDEE8" w14:textId="77777777" w:rsidR="00123E3D" w:rsidRPr="00123E3D" w:rsidRDefault="00123E3D">
      <w:pPr>
        <w:rPr>
          <w:b/>
          <w:bCs/>
          <w:sz w:val="32"/>
          <w:szCs w:val="32"/>
        </w:rPr>
      </w:pPr>
    </w:p>
    <w:sectPr w:rsidR="00123E3D" w:rsidRPr="00123E3D">
      <w:footerReference w:type="even" r:id="rId17"/>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6B87" w14:textId="77777777" w:rsidR="00DA45F8" w:rsidRDefault="00DA45F8" w:rsidP="00DD30BB">
      <w:pPr>
        <w:spacing w:after="0" w:line="240" w:lineRule="auto"/>
      </w:pPr>
      <w:r>
        <w:separator/>
      </w:r>
    </w:p>
  </w:endnote>
  <w:endnote w:type="continuationSeparator" w:id="0">
    <w:p w14:paraId="568CCE5E" w14:textId="77777777" w:rsidR="00DA45F8" w:rsidRDefault="00DA45F8" w:rsidP="00DD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3613633"/>
      <w:docPartObj>
        <w:docPartGallery w:val="Page Numbers (Bottom of Page)"/>
        <w:docPartUnique/>
      </w:docPartObj>
    </w:sdtPr>
    <w:sdtContent>
      <w:p w14:paraId="6B6B3E85" w14:textId="1C9C0423" w:rsidR="00DD30BB" w:rsidRDefault="00DD30BB" w:rsidP="00DC12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4A9CBA" w14:textId="77777777" w:rsidR="00DD30BB" w:rsidRDefault="00DD30BB" w:rsidP="00DD30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7158128"/>
      <w:docPartObj>
        <w:docPartGallery w:val="Page Numbers (Bottom of Page)"/>
        <w:docPartUnique/>
      </w:docPartObj>
    </w:sdtPr>
    <w:sdtContent>
      <w:p w14:paraId="6F2995D5" w14:textId="4EC4835A" w:rsidR="00DD30BB" w:rsidRDefault="00DD30BB" w:rsidP="00DC12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D186B5" w14:textId="77777777" w:rsidR="00DD30BB" w:rsidRDefault="00DD30BB" w:rsidP="00DD30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373A" w14:textId="77777777" w:rsidR="00DA45F8" w:rsidRDefault="00DA45F8" w:rsidP="00DD30BB">
      <w:pPr>
        <w:spacing w:after="0" w:line="240" w:lineRule="auto"/>
      </w:pPr>
      <w:r>
        <w:separator/>
      </w:r>
    </w:p>
  </w:footnote>
  <w:footnote w:type="continuationSeparator" w:id="0">
    <w:p w14:paraId="1995C28B" w14:textId="77777777" w:rsidR="00DA45F8" w:rsidRDefault="00DA45F8" w:rsidP="00DD30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01C"/>
    <w:rsid w:val="000A15C3"/>
    <w:rsid w:val="000F0331"/>
    <w:rsid w:val="00123E3D"/>
    <w:rsid w:val="00312AAD"/>
    <w:rsid w:val="004C6DBE"/>
    <w:rsid w:val="004E3ADC"/>
    <w:rsid w:val="00542A65"/>
    <w:rsid w:val="0059451C"/>
    <w:rsid w:val="006D1D34"/>
    <w:rsid w:val="007F72B0"/>
    <w:rsid w:val="00967B45"/>
    <w:rsid w:val="009C101C"/>
    <w:rsid w:val="00AA043C"/>
    <w:rsid w:val="00BD2330"/>
    <w:rsid w:val="00D7575D"/>
    <w:rsid w:val="00DA45F8"/>
    <w:rsid w:val="00DD30BB"/>
    <w:rsid w:val="00E30B83"/>
    <w:rsid w:val="00FF4BA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2984"/>
  <w15:chartTrackingRefBased/>
  <w15:docId w15:val="{AB5E723B-EE80-4EFC-8835-F5B7FEA8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1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01C"/>
    <w:rPr>
      <w:rFonts w:eastAsiaTheme="majorEastAsia" w:cstheme="majorBidi"/>
      <w:color w:val="272727" w:themeColor="text1" w:themeTint="D8"/>
    </w:rPr>
  </w:style>
  <w:style w:type="paragraph" w:styleId="Title">
    <w:name w:val="Title"/>
    <w:basedOn w:val="Normal"/>
    <w:next w:val="Normal"/>
    <w:link w:val="TitleChar"/>
    <w:uiPriority w:val="10"/>
    <w:qFormat/>
    <w:rsid w:val="009C1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01C"/>
    <w:pPr>
      <w:spacing w:before="160"/>
      <w:jc w:val="center"/>
    </w:pPr>
    <w:rPr>
      <w:i/>
      <w:iCs/>
      <w:color w:val="404040" w:themeColor="text1" w:themeTint="BF"/>
    </w:rPr>
  </w:style>
  <w:style w:type="character" w:customStyle="1" w:styleId="QuoteChar">
    <w:name w:val="Quote Char"/>
    <w:basedOn w:val="DefaultParagraphFont"/>
    <w:link w:val="Quote"/>
    <w:uiPriority w:val="29"/>
    <w:rsid w:val="009C101C"/>
    <w:rPr>
      <w:i/>
      <w:iCs/>
      <w:color w:val="404040" w:themeColor="text1" w:themeTint="BF"/>
    </w:rPr>
  </w:style>
  <w:style w:type="paragraph" w:styleId="ListParagraph">
    <w:name w:val="List Paragraph"/>
    <w:basedOn w:val="Normal"/>
    <w:uiPriority w:val="34"/>
    <w:qFormat/>
    <w:rsid w:val="009C101C"/>
    <w:pPr>
      <w:ind w:left="720"/>
      <w:contextualSpacing/>
    </w:pPr>
  </w:style>
  <w:style w:type="character" w:styleId="IntenseEmphasis">
    <w:name w:val="Intense Emphasis"/>
    <w:basedOn w:val="DefaultParagraphFont"/>
    <w:uiPriority w:val="21"/>
    <w:qFormat/>
    <w:rsid w:val="009C101C"/>
    <w:rPr>
      <w:i/>
      <w:iCs/>
      <w:color w:val="0F4761" w:themeColor="accent1" w:themeShade="BF"/>
    </w:rPr>
  </w:style>
  <w:style w:type="paragraph" w:styleId="IntenseQuote">
    <w:name w:val="Intense Quote"/>
    <w:basedOn w:val="Normal"/>
    <w:next w:val="Normal"/>
    <w:link w:val="IntenseQuoteChar"/>
    <w:uiPriority w:val="30"/>
    <w:qFormat/>
    <w:rsid w:val="009C1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01C"/>
    <w:rPr>
      <w:i/>
      <w:iCs/>
      <w:color w:val="0F4761" w:themeColor="accent1" w:themeShade="BF"/>
    </w:rPr>
  </w:style>
  <w:style w:type="character" w:styleId="IntenseReference">
    <w:name w:val="Intense Reference"/>
    <w:basedOn w:val="DefaultParagraphFont"/>
    <w:uiPriority w:val="32"/>
    <w:qFormat/>
    <w:rsid w:val="009C101C"/>
    <w:rPr>
      <w:b/>
      <w:bCs/>
      <w:smallCaps/>
      <w:color w:val="0F4761" w:themeColor="accent1" w:themeShade="BF"/>
      <w:spacing w:val="5"/>
    </w:rPr>
  </w:style>
  <w:style w:type="character" w:styleId="Emphasis">
    <w:name w:val="Emphasis"/>
    <w:basedOn w:val="DefaultParagraphFont"/>
    <w:uiPriority w:val="20"/>
    <w:qFormat/>
    <w:rsid w:val="00967B45"/>
    <w:rPr>
      <w:i/>
      <w:iCs/>
    </w:rPr>
  </w:style>
  <w:style w:type="paragraph" w:styleId="Footer">
    <w:name w:val="footer"/>
    <w:basedOn w:val="Normal"/>
    <w:link w:val="FooterChar"/>
    <w:uiPriority w:val="99"/>
    <w:unhideWhenUsed/>
    <w:rsid w:val="00DD30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0BB"/>
  </w:style>
  <w:style w:type="character" w:styleId="PageNumber">
    <w:name w:val="page number"/>
    <w:basedOn w:val="DefaultParagraphFont"/>
    <w:uiPriority w:val="99"/>
    <w:semiHidden/>
    <w:unhideWhenUsed/>
    <w:rsid w:val="00DD3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725349-0103-4876-ab9f-614b341940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33D70B4CD3E44A8A7697A691617C67" ma:contentTypeVersion="19" ma:contentTypeDescription="Create a new document." ma:contentTypeScope="" ma:versionID="99338b929877f9971cd58bb934c0a3ad">
  <xsd:schema xmlns:xsd="http://www.w3.org/2001/XMLSchema" xmlns:xs="http://www.w3.org/2001/XMLSchema" xmlns:p="http://schemas.microsoft.com/office/2006/metadata/properties" xmlns:ns3="92725349-0103-4876-ab9f-614b34194060" xmlns:ns4="25f4372b-c2a2-4abd-8802-abae5b63e070" targetNamespace="http://schemas.microsoft.com/office/2006/metadata/properties" ma:root="true" ma:fieldsID="9bbfc73eccd5163a663853d700a4dee3" ns3:_="" ns4:_="">
    <xsd:import namespace="92725349-0103-4876-ab9f-614b34194060"/>
    <xsd:import namespace="25f4372b-c2a2-4abd-8802-abae5b63e0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25349-0103-4876-ab9f-614b34194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4372b-c2a2-4abd-8802-abae5b63e0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42A40-7516-462E-9C56-0C03161B48CD}">
  <ds:schemaRefs>
    <ds:schemaRef ds:uri="http://schemas.microsoft.com/office/2006/metadata/properties"/>
    <ds:schemaRef ds:uri="http://schemas.microsoft.com/office/infopath/2007/PartnerControls"/>
    <ds:schemaRef ds:uri="92725349-0103-4876-ab9f-614b34194060"/>
  </ds:schemaRefs>
</ds:datastoreItem>
</file>

<file path=customXml/itemProps2.xml><?xml version="1.0" encoding="utf-8"?>
<ds:datastoreItem xmlns:ds="http://schemas.openxmlformats.org/officeDocument/2006/customXml" ds:itemID="{3126298F-A86E-4E56-8727-BFDE9F9F9839}">
  <ds:schemaRefs>
    <ds:schemaRef ds:uri="http://schemas.microsoft.com/sharepoint/v3/contenttype/forms"/>
  </ds:schemaRefs>
</ds:datastoreItem>
</file>

<file path=customXml/itemProps3.xml><?xml version="1.0" encoding="utf-8"?>
<ds:datastoreItem xmlns:ds="http://schemas.openxmlformats.org/officeDocument/2006/customXml" ds:itemID="{DD01013F-3270-4724-A998-62FA37E63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25349-0103-4876-ab9f-614b34194060"/>
    <ds:schemaRef ds:uri="25f4372b-c2a2-4abd-8802-abae5b63e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MOUHIB</dc:creator>
  <cp:keywords/>
  <dc:description/>
  <cp:lastModifiedBy>Mohamed HIJRI</cp:lastModifiedBy>
  <cp:revision>3</cp:revision>
  <dcterms:created xsi:type="dcterms:W3CDTF">2026-05-26T11:24:00Z</dcterms:created>
  <dcterms:modified xsi:type="dcterms:W3CDTF">2026-05-26T11:42:00Z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31d03265-a75d-4bfc-965f-d62a63423ce0</vt:lpwstr>
  </property>
  <property fmtid="{D5CDD505-2E9C-101B-9397-08002B2CF9AE}" pid="3" name="ContentTypeId">
    <vt:lpwstr>0x010100B133D70B4CD3E44A8A7697A691617C67</vt:lpwstr>
  </property>
</Properties>
</file>