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BAD69" w14:textId="77777777" w:rsidR="00280FAC" w:rsidRPr="00245A8B" w:rsidRDefault="00280FAC" w:rsidP="00280FAC">
      <w:pPr>
        <w:pStyle w:val="Heading1"/>
        <w:pageBreakBefore/>
        <w:rPr>
          <w:rFonts w:ascii="Arial" w:hAnsi="Arial" w:cs="Arial"/>
          <w:color w:val="auto"/>
          <w:sz w:val="24"/>
          <w:szCs w:val="24"/>
        </w:rPr>
      </w:pPr>
      <w:r w:rsidRPr="00245A8B">
        <w:rPr>
          <w:rFonts w:ascii="Arial" w:hAnsi="Arial" w:cs="Arial"/>
          <w:color w:val="auto"/>
          <w:sz w:val="24"/>
          <w:szCs w:val="24"/>
        </w:rPr>
        <w:t>Appendix A. Reproducible search strategy</w:t>
      </w:r>
    </w:p>
    <w:tbl>
      <w:tblPr>
        <w:tblStyle w:val="GridTable1Light-Accent1"/>
        <w:tblW w:w="10656" w:type="dxa"/>
        <w:tblLayout w:type="fixed"/>
        <w:tblLook w:val="04A0" w:firstRow="1" w:lastRow="0" w:firstColumn="1" w:lastColumn="0" w:noHBand="0" w:noVBand="1"/>
      </w:tblPr>
      <w:tblGrid>
        <w:gridCol w:w="1271"/>
        <w:gridCol w:w="1276"/>
        <w:gridCol w:w="6804"/>
        <w:gridCol w:w="1305"/>
      </w:tblGrid>
      <w:tr w:rsidR="00280FAC" w14:paraId="288382AB" w14:textId="77777777" w:rsidTr="007A16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79E8737A" w14:textId="77777777" w:rsidR="00280FAC" w:rsidRPr="000354F8" w:rsidRDefault="00280FAC" w:rsidP="007A16CA">
            <w:pPr>
              <w:spacing w:line="276" w:lineRule="auto"/>
              <w:rPr>
                <w:b w:val="0"/>
              </w:rPr>
            </w:pPr>
            <w:r w:rsidRPr="000354F8">
              <w:rPr>
                <w:rFonts w:ascii="Arial" w:hAnsi="Arial"/>
                <w:b w:val="0"/>
                <w:color w:val="000000"/>
              </w:rPr>
              <w:t>Source</w:t>
            </w:r>
          </w:p>
        </w:tc>
        <w:tc>
          <w:tcPr>
            <w:tcW w:w="1276" w:type="dxa"/>
          </w:tcPr>
          <w:p w14:paraId="65A30388" w14:textId="77777777" w:rsidR="00280FAC" w:rsidRPr="00012FF8"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012FF8">
              <w:rPr>
                <w:rFonts w:ascii="Arial" w:hAnsi="Arial"/>
                <w:color w:val="000000"/>
              </w:rPr>
              <w:t>Platform</w:t>
            </w:r>
          </w:p>
        </w:tc>
        <w:tc>
          <w:tcPr>
            <w:tcW w:w="6804" w:type="dxa"/>
          </w:tcPr>
          <w:p w14:paraId="39CB6E1F" w14:textId="77777777" w:rsidR="00280FAC" w:rsidRPr="00012FF8"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012FF8">
              <w:rPr>
                <w:rFonts w:ascii="Arial" w:hAnsi="Arial"/>
                <w:color w:val="000000"/>
              </w:rPr>
              <w:t>Exact strategy and limits</w:t>
            </w:r>
          </w:p>
        </w:tc>
        <w:tc>
          <w:tcPr>
            <w:tcW w:w="1305" w:type="dxa"/>
          </w:tcPr>
          <w:p w14:paraId="4C4C5C73" w14:textId="77777777" w:rsidR="00280FAC" w:rsidRPr="00012FF8"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012FF8">
              <w:rPr>
                <w:rFonts w:ascii="Arial" w:hAnsi="Arial"/>
                <w:color w:val="000000"/>
              </w:rPr>
              <w:t>Records, n</w:t>
            </w:r>
          </w:p>
        </w:tc>
      </w:tr>
      <w:tr w:rsidR="00280FAC" w14:paraId="1F46A4F8" w14:textId="77777777" w:rsidTr="007A16CA">
        <w:tc>
          <w:tcPr>
            <w:cnfStyle w:val="001000000000" w:firstRow="0" w:lastRow="0" w:firstColumn="1" w:lastColumn="0" w:oddVBand="0" w:evenVBand="0" w:oddHBand="0" w:evenHBand="0" w:firstRowFirstColumn="0" w:firstRowLastColumn="0" w:lastRowFirstColumn="0" w:lastRowLastColumn="0"/>
            <w:tcW w:w="1271" w:type="dxa"/>
          </w:tcPr>
          <w:p w14:paraId="58389A42" w14:textId="77777777" w:rsidR="00280FAC" w:rsidRPr="000354F8" w:rsidRDefault="00280FAC" w:rsidP="007A16CA">
            <w:pPr>
              <w:spacing w:line="276" w:lineRule="auto"/>
              <w:rPr>
                <w:b w:val="0"/>
              </w:rPr>
            </w:pPr>
            <w:r w:rsidRPr="000354F8">
              <w:rPr>
                <w:rFonts w:ascii="Arial" w:hAnsi="Arial"/>
                <w:b w:val="0"/>
                <w:color w:val="000000"/>
              </w:rPr>
              <w:t>Scopus</w:t>
            </w:r>
          </w:p>
        </w:tc>
        <w:tc>
          <w:tcPr>
            <w:tcW w:w="1276" w:type="dxa"/>
          </w:tcPr>
          <w:p w14:paraId="0E82C267"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Scopus</w:t>
            </w:r>
          </w:p>
        </w:tc>
        <w:tc>
          <w:tcPr>
            <w:tcW w:w="6804" w:type="dxa"/>
          </w:tcPr>
          <w:p w14:paraId="4968968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TITLE-ABS-KEY (("green campus" OR "sustainable campus" OR "campus sustainability" OR "green university") AND ("higher education" OR universit*) AND (implement* OR govern* OR framework OR strateg* OR assess* OR barrier* OR enabler*)) AND PUBYEAR &gt; 2004 AND PUBYEAR &lt; 2027; English; final update 1 Aug 2026.</w:t>
            </w:r>
          </w:p>
        </w:tc>
        <w:tc>
          <w:tcPr>
            <w:tcW w:w="1305" w:type="dxa"/>
          </w:tcPr>
          <w:p w14:paraId="4C6379DB"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19</w:t>
            </w:r>
          </w:p>
        </w:tc>
      </w:tr>
      <w:tr w:rsidR="00280FAC" w14:paraId="37CB0061" w14:textId="77777777" w:rsidTr="007A16CA">
        <w:tc>
          <w:tcPr>
            <w:cnfStyle w:val="001000000000" w:firstRow="0" w:lastRow="0" w:firstColumn="1" w:lastColumn="0" w:oddVBand="0" w:evenVBand="0" w:oddHBand="0" w:evenHBand="0" w:firstRowFirstColumn="0" w:firstRowLastColumn="0" w:lastRowFirstColumn="0" w:lastRowLastColumn="0"/>
            <w:tcW w:w="1271" w:type="dxa"/>
          </w:tcPr>
          <w:p w14:paraId="743392D6" w14:textId="77777777" w:rsidR="00280FAC" w:rsidRPr="000354F8" w:rsidRDefault="00280FAC" w:rsidP="007A16CA">
            <w:pPr>
              <w:spacing w:line="276" w:lineRule="auto"/>
              <w:rPr>
                <w:b w:val="0"/>
              </w:rPr>
            </w:pPr>
            <w:r w:rsidRPr="000354F8">
              <w:rPr>
                <w:rFonts w:ascii="Arial" w:hAnsi="Arial"/>
                <w:b w:val="0"/>
                <w:color w:val="000000"/>
              </w:rPr>
              <w:t>Web of Science Core Collection</w:t>
            </w:r>
          </w:p>
        </w:tc>
        <w:tc>
          <w:tcPr>
            <w:tcW w:w="1276" w:type="dxa"/>
          </w:tcPr>
          <w:p w14:paraId="79950649"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Clarivate Web of Science</w:t>
            </w:r>
          </w:p>
        </w:tc>
        <w:tc>
          <w:tcPr>
            <w:tcW w:w="6804" w:type="dxa"/>
          </w:tcPr>
          <w:p w14:paraId="651F2A1C"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TS= (("green campus" OR "sustainable campus" OR "campus sustainability" OR "green university") AND ("higher education" OR universit*) AND (implement* OR govern* OR framework OR strateg* OR assess* OR barrier* OR enabler*)); 2005–1 Aug 2026; English.</w:t>
            </w:r>
          </w:p>
        </w:tc>
        <w:tc>
          <w:tcPr>
            <w:tcW w:w="1305" w:type="dxa"/>
          </w:tcPr>
          <w:p w14:paraId="779F5D4B"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18</w:t>
            </w:r>
          </w:p>
        </w:tc>
      </w:tr>
      <w:tr w:rsidR="00280FAC" w14:paraId="5A905D15" w14:textId="77777777" w:rsidTr="007A16CA">
        <w:tc>
          <w:tcPr>
            <w:cnfStyle w:val="001000000000" w:firstRow="0" w:lastRow="0" w:firstColumn="1" w:lastColumn="0" w:oddVBand="0" w:evenVBand="0" w:oddHBand="0" w:evenHBand="0" w:firstRowFirstColumn="0" w:firstRowLastColumn="0" w:lastRowFirstColumn="0" w:lastRowLastColumn="0"/>
            <w:tcW w:w="1271" w:type="dxa"/>
          </w:tcPr>
          <w:p w14:paraId="01DA6614" w14:textId="77777777" w:rsidR="00280FAC" w:rsidRPr="000354F8" w:rsidRDefault="00280FAC" w:rsidP="007A16CA">
            <w:pPr>
              <w:spacing w:line="276" w:lineRule="auto"/>
              <w:rPr>
                <w:b w:val="0"/>
              </w:rPr>
            </w:pPr>
            <w:r w:rsidRPr="000354F8">
              <w:rPr>
                <w:rFonts w:ascii="Arial" w:hAnsi="Arial"/>
                <w:b w:val="0"/>
                <w:color w:val="000000"/>
              </w:rPr>
              <w:t>ScienceDirect</w:t>
            </w:r>
          </w:p>
        </w:tc>
        <w:tc>
          <w:tcPr>
            <w:tcW w:w="1276" w:type="dxa"/>
          </w:tcPr>
          <w:p w14:paraId="328AC2C4"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Elsevier ScienceDirect</w:t>
            </w:r>
          </w:p>
        </w:tc>
        <w:tc>
          <w:tcPr>
            <w:tcW w:w="6804" w:type="dxa"/>
          </w:tcPr>
          <w:p w14:paraId="105EA73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("green campus" OR "sustainable campus" OR "campus sustainability" OR "green university") AND ("higher education" OR university OR universities) AND (implementation OR governance OR framework OR strategy OR assessment OR barrier OR enabler); research articles; 2005–1 Aug 2026; English.</w:t>
            </w:r>
          </w:p>
        </w:tc>
        <w:tc>
          <w:tcPr>
            <w:tcW w:w="1305" w:type="dxa"/>
          </w:tcPr>
          <w:p w14:paraId="1A416A1B"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8</w:t>
            </w:r>
          </w:p>
        </w:tc>
      </w:tr>
      <w:tr w:rsidR="00280FAC" w14:paraId="79AAF7DF" w14:textId="77777777" w:rsidTr="007A16CA">
        <w:tc>
          <w:tcPr>
            <w:cnfStyle w:val="001000000000" w:firstRow="0" w:lastRow="0" w:firstColumn="1" w:lastColumn="0" w:oddVBand="0" w:evenVBand="0" w:oddHBand="0" w:evenHBand="0" w:firstRowFirstColumn="0" w:firstRowLastColumn="0" w:lastRowFirstColumn="0" w:lastRowLastColumn="0"/>
            <w:tcW w:w="1271" w:type="dxa"/>
          </w:tcPr>
          <w:p w14:paraId="6F4FCF35" w14:textId="77777777" w:rsidR="00280FAC" w:rsidRPr="000354F8" w:rsidRDefault="00280FAC" w:rsidP="007A16CA">
            <w:pPr>
              <w:spacing w:line="276" w:lineRule="auto"/>
              <w:rPr>
                <w:b w:val="0"/>
              </w:rPr>
            </w:pPr>
            <w:r w:rsidRPr="000354F8">
              <w:rPr>
                <w:rFonts w:ascii="Arial" w:hAnsi="Arial"/>
                <w:b w:val="0"/>
                <w:color w:val="000000"/>
              </w:rPr>
              <w:t>ERIC</w:t>
            </w:r>
          </w:p>
        </w:tc>
        <w:tc>
          <w:tcPr>
            <w:tcW w:w="1276" w:type="dxa"/>
          </w:tcPr>
          <w:p w14:paraId="63CD29A0"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ERIC</w:t>
            </w:r>
          </w:p>
        </w:tc>
        <w:tc>
          <w:tcPr>
            <w:tcW w:w="6804" w:type="dxa"/>
          </w:tcPr>
          <w:p w14:paraId="50C2C540"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("green campus" OR "sustainable campus" OR "campus sustainability") AND ("higher education" OR university) AND (implementation OR governance OR framework OR assessment); peer reviewed; 2005–1 Aug 2026; English.</w:t>
            </w:r>
          </w:p>
        </w:tc>
        <w:tc>
          <w:tcPr>
            <w:tcW w:w="1305" w:type="dxa"/>
          </w:tcPr>
          <w:p w14:paraId="5B161831"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7</w:t>
            </w:r>
          </w:p>
        </w:tc>
      </w:tr>
      <w:tr w:rsidR="00280FAC" w14:paraId="31885A22" w14:textId="77777777" w:rsidTr="007A16CA">
        <w:tc>
          <w:tcPr>
            <w:cnfStyle w:val="001000000000" w:firstRow="0" w:lastRow="0" w:firstColumn="1" w:lastColumn="0" w:oddVBand="0" w:evenVBand="0" w:oddHBand="0" w:evenHBand="0" w:firstRowFirstColumn="0" w:firstRowLastColumn="0" w:lastRowFirstColumn="0" w:lastRowLastColumn="0"/>
            <w:tcW w:w="1271" w:type="dxa"/>
          </w:tcPr>
          <w:p w14:paraId="2EF431AE" w14:textId="77777777" w:rsidR="00280FAC" w:rsidRPr="000354F8" w:rsidRDefault="00280FAC" w:rsidP="007A16CA">
            <w:pPr>
              <w:spacing w:line="276" w:lineRule="auto"/>
              <w:rPr>
                <w:b w:val="0"/>
              </w:rPr>
            </w:pPr>
            <w:r w:rsidRPr="000354F8">
              <w:rPr>
                <w:rFonts w:ascii="Arial" w:hAnsi="Arial"/>
                <w:b w:val="0"/>
                <w:color w:val="000000"/>
              </w:rPr>
              <w:t>Google Scholar</w:t>
            </w:r>
          </w:p>
        </w:tc>
        <w:tc>
          <w:tcPr>
            <w:tcW w:w="1276" w:type="dxa"/>
          </w:tcPr>
          <w:p w14:paraId="6922A9DD"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Google Scholar</w:t>
            </w:r>
          </w:p>
        </w:tc>
        <w:tc>
          <w:tcPr>
            <w:tcW w:w="6804" w:type="dxa"/>
          </w:tcPr>
          <w:p w14:paraId="71DB7253"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Core concepts plus ("South Africa" OR Africa OR "developing country" OR "Global South"). Supplementary discovery included backward and forward citation chasing of eligible empirical studies and foundational sources; final search 1 Aug 2026.</w:t>
            </w:r>
          </w:p>
        </w:tc>
        <w:tc>
          <w:tcPr>
            <w:tcW w:w="1305" w:type="dxa"/>
          </w:tcPr>
          <w:p w14:paraId="0ABDE1B4"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32</w:t>
            </w:r>
          </w:p>
        </w:tc>
      </w:tr>
      <w:tr w:rsidR="00280FAC" w14:paraId="55661D2D" w14:textId="77777777" w:rsidTr="007A16CA">
        <w:tc>
          <w:tcPr>
            <w:cnfStyle w:val="001000000000" w:firstRow="0" w:lastRow="0" w:firstColumn="1" w:lastColumn="0" w:oddVBand="0" w:evenVBand="0" w:oddHBand="0" w:evenHBand="0" w:firstRowFirstColumn="0" w:firstRowLastColumn="0" w:lastRowFirstColumn="0" w:lastRowLastColumn="0"/>
            <w:tcW w:w="1271" w:type="dxa"/>
          </w:tcPr>
          <w:p w14:paraId="56F6967A" w14:textId="77777777" w:rsidR="00280FAC" w:rsidRPr="000354F8" w:rsidRDefault="00280FAC" w:rsidP="007A16CA">
            <w:pPr>
              <w:spacing w:line="276" w:lineRule="auto"/>
              <w:rPr>
                <w:b w:val="0"/>
              </w:rPr>
            </w:pPr>
            <w:r w:rsidRPr="000354F8">
              <w:rPr>
                <w:rFonts w:ascii="Arial" w:hAnsi="Arial"/>
                <w:b w:val="0"/>
                <w:color w:val="000000"/>
              </w:rPr>
              <w:t>Total</w:t>
            </w:r>
          </w:p>
        </w:tc>
        <w:tc>
          <w:tcPr>
            <w:tcW w:w="1276" w:type="dxa"/>
          </w:tcPr>
          <w:p w14:paraId="4CF7B524"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p>
        </w:tc>
        <w:tc>
          <w:tcPr>
            <w:tcW w:w="6804" w:type="dxa"/>
          </w:tcPr>
          <w:p w14:paraId="55ECF25B"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Source-level records before deduplication; 12 duplicates removed before screening.</w:t>
            </w:r>
          </w:p>
        </w:tc>
        <w:tc>
          <w:tcPr>
            <w:tcW w:w="1305" w:type="dxa"/>
          </w:tcPr>
          <w:p w14:paraId="7E1A6373"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84</w:t>
            </w:r>
          </w:p>
        </w:tc>
      </w:tr>
    </w:tbl>
    <w:p w14:paraId="497A1E7D" w14:textId="77777777" w:rsidR="00280FAC" w:rsidRDefault="00280FAC" w:rsidP="00280FAC">
      <w:pPr>
        <w:spacing w:after="40"/>
      </w:pPr>
    </w:p>
    <w:p w14:paraId="6CF084C3" w14:textId="77777777" w:rsidR="00280FAC" w:rsidRPr="00394F0C" w:rsidRDefault="00280FAC" w:rsidP="00280FAC">
      <w:pPr>
        <w:rPr>
          <w:rFonts w:ascii="Arial" w:hAnsi="Arial" w:cs="Arial"/>
        </w:rPr>
      </w:pPr>
      <w:r w:rsidRPr="00394F0C">
        <w:rPr>
          <w:rFonts w:ascii="Arial" w:hAnsi="Arial" w:cs="Arial"/>
        </w:rPr>
        <w:t>Search limits: English; publication dates January 2005–1 August 2026. Appendix A records the platforms, source-specific syntax and retained yields used in the review.</w:t>
      </w:r>
    </w:p>
    <w:p w14:paraId="6222277F" w14:textId="77777777" w:rsidR="00280FAC" w:rsidRPr="00245A8B" w:rsidRDefault="00280FAC" w:rsidP="00280FAC">
      <w:pPr>
        <w:pStyle w:val="Heading1"/>
        <w:pageBreakBefore/>
        <w:rPr>
          <w:rFonts w:ascii="Arial" w:hAnsi="Arial" w:cs="Arial"/>
          <w:color w:val="auto"/>
          <w:sz w:val="24"/>
          <w:szCs w:val="24"/>
        </w:rPr>
      </w:pPr>
      <w:r w:rsidRPr="00245A8B">
        <w:rPr>
          <w:rFonts w:ascii="Arial" w:hAnsi="Arial" w:cs="Arial"/>
          <w:color w:val="auto"/>
          <w:sz w:val="24"/>
          <w:szCs w:val="24"/>
        </w:rPr>
        <w:lastRenderedPageBreak/>
        <w:t>Appendix B. Minimum indicator set for framework validation</w:t>
      </w:r>
    </w:p>
    <w:tbl>
      <w:tblPr>
        <w:tblStyle w:val="GridTable1Light-Accent1"/>
        <w:tblW w:w="10656" w:type="dxa"/>
        <w:tblLayout w:type="fixed"/>
        <w:tblLook w:val="04A0" w:firstRow="1" w:lastRow="0" w:firstColumn="1" w:lastColumn="0" w:noHBand="0" w:noVBand="1"/>
      </w:tblPr>
      <w:tblGrid>
        <w:gridCol w:w="1656"/>
        <w:gridCol w:w="4293"/>
        <w:gridCol w:w="1755"/>
        <w:gridCol w:w="2952"/>
      </w:tblGrid>
      <w:tr w:rsidR="00280FAC" w14:paraId="519F3C7B" w14:textId="77777777" w:rsidTr="007A16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tcPr>
          <w:p w14:paraId="53521A50" w14:textId="77777777" w:rsidR="00280FAC" w:rsidRPr="00245A8B" w:rsidRDefault="00280FAC" w:rsidP="007A16CA">
            <w:pPr>
              <w:spacing w:line="276" w:lineRule="auto"/>
            </w:pPr>
            <w:r w:rsidRPr="00245A8B">
              <w:rPr>
                <w:rFonts w:ascii="Arial" w:hAnsi="Arial"/>
                <w:color w:val="000000"/>
              </w:rPr>
              <w:t>Domain</w:t>
            </w:r>
          </w:p>
        </w:tc>
        <w:tc>
          <w:tcPr>
            <w:tcW w:w="4293" w:type="dxa"/>
          </w:tcPr>
          <w:p w14:paraId="0FC84D7A" w14:textId="77777777" w:rsidR="00280FAC" w:rsidRPr="00245A8B"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Candidate indicators</w:t>
            </w:r>
          </w:p>
        </w:tc>
        <w:tc>
          <w:tcPr>
            <w:tcW w:w="1755" w:type="dxa"/>
          </w:tcPr>
          <w:p w14:paraId="1250EFB4" w14:textId="77777777" w:rsidR="00280FAC" w:rsidRPr="00245A8B"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CGCAA linkage</w:t>
            </w:r>
          </w:p>
        </w:tc>
        <w:tc>
          <w:tcPr>
            <w:tcW w:w="2952" w:type="dxa"/>
          </w:tcPr>
          <w:p w14:paraId="46089093" w14:textId="77777777" w:rsidR="00280FAC" w:rsidRPr="00245A8B"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Interpretive requirement</w:t>
            </w:r>
          </w:p>
        </w:tc>
      </w:tr>
      <w:tr w:rsidR="00280FAC" w14:paraId="77F5475E" w14:textId="77777777" w:rsidTr="007A16CA">
        <w:tc>
          <w:tcPr>
            <w:cnfStyle w:val="001000000000" w:firstRow="0" w:lastRow="0" w:firstColumn="1" w:lastColumn="0" w:oddVBand="0" w:evenVBand="0" w:oddHBand="0" w:evenHBand="0" w:firstRowFirstColumn="0" w:firstRowLastColumn="0" w:lastRowFirstColumn="0" w:lastRowLastColumn="0"/>
            <w:tcW w:w="1656" w:type="dxa"/>
          </w:tcPr>
          <w:p w14:paraId="64E015CB" w14:textId="77777777" w:rsidR="00280FAC" w:rsidRPr="00245A8B" w:rsidRDefault="00280FAC" w:rsidP="007A16CA">
            <w:pPr>
              <w:spacing w:line="276" w:lineRule="auto"/>
              <w:rPr>
                <w:b w:val="0"/>
              </w:rPr>
            </w:pPr>
            <w:r w:rsidRPr="00245A8B">
              <w:rPr>
                <w:rFonts w:ascii="Arial" w:hAnsi="Arial"/>
                <w:b w:val="0"/>
                <w:color w:val="000000"/>
              </w:rPr>
              <w:t>Governance</w:t>
            </w:r>
          </w:p>
        </w:tc>
        <w:tc>
          <w:tcPr>
            <w:tcW w:w="4293" w:type="dxa"/>
          </w:tcPr>
          <w:p w14:paraId="03B10828"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Approved mandate; accountable owner; funded portfolio; reporting cadence</w:t>
            </w:r>
          </w:p>
        </w:tc>
        <w:tc>
          <w:tcPr>
            <w:tcW w:w="1755" w:type="dxa"/>
          </w:tcPr>
          <w:p w14:paraId="3992A03A"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Governance/Assurance</w:t>
            </w:r>
          </w:p>
        </w:tc>
        <w:tc>
          <w:tcPr>
            <w:tcW w:w="2952" w:type="dxa"/>
          </w:tcPr>
          <w:p w14:paraId="4919A5AA"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Document use in decisions, not policy existence alone</w:t>
            </w:r>
          </w:p>
        </w:tc>
      </w:tr>
      <w:tr w:rsidR="00280FAC" w14:paraId="7CDECE76" w14:textId="77777777" w:rsidTr="007A16CA">
        <w:tc>
          <w:tcPr>
            <w:cnfStyle w:val="001000000000" w:firstRow="0" w:lastRow="0" w:firstColumn="1" w:lastColumn="0" w:oddVBand="0" w:evenVBand="0" w:oddHBand="0" w:evenHBand="0" w:firstRowFirstColumn="0" w:firstRowLastColumn="0" w:lastRowFirstColumn="0" w:lastRowLastColumn="0"/>
            <w:tcW w:w="1656" w:type="dxa"/>
          </w:tcPr>
          <w:p w14:paraId="17BFCE79" w14:textId="77777777" w:rsidR="00280FAC" w:rsidRPr="00245A8B" w:rsidRDefault="00280FAC" w:rsidP="007A16CA">
            <w:pPr>
              <w:spacing w:line="276" w:lineRule="auto"/>
              <w:rPr>
                <w:b w:val="0"/>
              </w:rPr>
            </w:pPr>
            <w:r w:rsidRPr="00245A8B">
              <w:rPr>
                <w:rFonts w:ascii="Arial" w:hAnsi="Arial"/>
                <w:b w:val="0"/>
                <w:color w:val="000000"/>
              </w:rPr>
              <w:t>Capability</w:t>
            </w:r>
          </w:p>
        </w:tc>
        <w:tc>
          <w:tcPr>
            <w:tcW w:w="4293" w:type="dxa"/>
          </w:tcPr>
          <w:p w14:paraId="3460AC09"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Dedicated FTE; staff training; metering coverage; maintenance backlog; delivery rate</w:t>
            </w:r>
          </w:p>
        </w:tc>
        <w:tc>
          <w:tcPr>
            <w:tcW w:w="1755" w:type="dxa"/>
          </w:tcPr>
          <w:p w14:paraId="7BB491F5"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Capability</w:t>
            </w:r>
          </w:p>
        </w:tc>
        <w:tc>
          <w:tcPr>
            <w:tcW w:w="2952" w:type="dxa"/>
          </w:tcPr>
          <w:p w14:paraId="5950692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Disaggregate by campus and operational function</w:t>
            </w:r>
          </w:p>
        </w:tc>
      </w:tr>
      <w:tr w:rsidR="00280FAC" w14:paraId="0560AE87" w14:textId="77777777" w:rsidTr="007A16CA">
        <w:tc>
          <w:tcPr>
            <w:cnfStyle w:val="001000000000" w:firstRow="0" w:lastRow="0" w:firstColumn="1" w:lastColumn="0" w:oddVBand="0" w:evenVBand="0" w:oddHBand="0" w:evenHBand="0" w:firstRowFirstColumn="0" w:firstRowLastColumn="0" w:lastRowFirstColumn="0" w:lastRowLastColumn="0"/>
            <w:tcW w:w="1656" w:type="dxa"/>
          </w:tcPr>
          <w:p w14:paraId="0AA38825" w14:textId="77777777" w:rsidR="00280FAC" w:rsidRPr="00245A8B" w:rsidRDefault="00280FAC" w:rsidP="007A16CA">
            <w:pPr>
              <w:spacing w:line="276" w:lineRule="auto"/>
              <w:rPr>
                <w:b w:val="0"/>
              </w:rPr>
            </w:pPr>
            <w:r w:rsidRPr="00245A8B">
              <w:rPr>
                <w:rFonts w:ascii="Arial" w:hAnsi="Arial"/>
                <w:b w:val="0"/>
                <w:color w:val="000000"/>
              </w:rPr>
              <w:t>Energy and climate</w:t>
            </w:r>
          </w:p>
        </w:tc>
        <w:tc>
          <w:tcPr>
            <w:tcW w:w="4293" w:type="dxa"/>
          </w:tcPr>
          <w:p w14:paraId="3EAAAFE9"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kWh/m²; renewable share; Scope 1–2 emissions; interruption resilience</w:t>
            </w:r>
          </w:p>
        </w:tc>
        <w:tc>
          <w:tcPr>
            <w:tcW w:w="1755" w:type="dxa"/>
          </w:tcPr>
          <w:p w14:paraId="352B478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Context/Action</w:t>
            </w:r>
          </w:p>
        </w:tc>
        <w:tc>
          <w:tcPr>
            <w:tcW w:w="2952" w:type="dxa"/>
          </w:tcPr>
          <w:p w14:paraId="5863BD44"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State boundaries and separate reductions from offsets</w:t>
            </w:r>
          </w:p>
        </w:tc>
      </w:tr>
      <w:tr w:rsidR="00280FAC" w14:paraId="3C72BDF5" w14:textId="77777777" w:rsidTr="007A16CA">
        <w:tc>
          <w:tcPr>
            <w:cnfStyle w:val="001000000000" w:firstRow="0" w:lastRow="0" w:firstColumn="1" w:lastColumn="0" w:oddVBand="0" w:evenVBand="0" w:oddHBand="0" w:evenHBand="0" w:firstRowFirstColumn="0" w:firstRowLastColumn="0" w:lastRowFirstColumn="0" w:lastRowLastColumn="0"/>
            <w:tcW w:w="1656" w:type="dxa"/>
          </w:tcPr>
          <w:p w14:paraId="691415D5" w14:textId="77777777" w:rsidR="00280FAC" w:rsidRPr="00245A8B" w:rsidRDefault="00280FAC" w:rsidP="007A16CA">
            <w:pPr>
              <w:spacing w:line="276" w:lineRule="auto"/>
              <w:rPr>
                <w:b w:val="0"/>
              </w:rPr>
            </w:pPr>
            <w:r w:rsidRPr="00245A8B">
              <w:rPr>
                <w:rFonts w:ascii="Arial" w:hAnsi="Arial"/>
                <w:b w:val="0"/>
                <w:color w:val="000000"/>
              </w:rPr>
              <w:t>Water</w:t>
            </w:r>
          </w:p>
        </w:tc>
        <w:tc>
          <w:tcPr>
            <w:tcW w:w="4293" w:type="dxa"/>
          </w:tcPr>
          <w:p w14:paraId="42966D5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L/person; losses; storage; alternative supply; residence consumption</w:t>
            </w:r>
          </w:p>
        </w:tc>
        <w:tc>
          <w:tcPr>
            <w:tcW w:w="1755" w:type="dxa"/>
          </w:tcPr>
          <w:p w14:paraId="1FED57BB"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Context/Action</w:t>
            </w:r>
          </w:p>
        </w:tc>
        <w:tc>
          <w:tcPr>
            <w:tcW w:w="2952" w:type="dxa"/>
          </w:tcPr>
          <w:p w14:paraId="6F4B7274"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Interpret against drought, occupancy and service reliability</w:t>
            </w:r>
          </w:p>
        </w:tc>
      </w:tr>
      <w:tr w:rsidR="00280FAC" w14:paraId="17726BCF" w14:textId="77777777" w:rsidTr="007A16CA">
        <w:tc>
          <w:tcPr>
            <w:cnfStyle w:val="001000000000" w:firstRow="0" w:lastRow="0" w:firstColumn="1" w:lastColumn="0" w:oddVBand="0" w:evenVBand="0" w:oddHBand="0" w:evenHBand="0" w:firstRowFirstColumn="0" w:firstRowLastColumn="0" w:lastRowFirstColumn="0" w:lastRowLastColumn="0"/>
            <w:tcW w:w="1656" w:type="dxa"/>
          </w:tcPr>
          <w:p w14:paraId="18EE368C" w14:textId="77777777" w:rsidR="00280FAC" w:rsidRPr="00245A8B" w:rsidRDefault="00280FAC" w:rsidP="007A16CA">
            <w:pPr>
              <w:spacing w:line="276" w:lineRule="auto"/>
              <w:rPr>
                <w:b w:val="0"/>
              </w:rPr>
            </w:pPr>
            <w:r w:rsidRPr="00245A8B">
              <w:rPr>
                <w:rFonts w:ascii="Arial" w:hAnsi="Arial"/>
                <w:b w:val="0"/>
                <w:color w:val="000000"/>
              </w:rPr>
              <w:t>Waste and circularity</w:t>
            </w:r>
          </w:p>
        </w:tc>
        <w:tc>
          <w:tcPr>
            <w:tcW w:w="4293" w:type="dxa"/>
          </w:tcPr>
          <w:p w14:paraId="05AF6AD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Waste/person; diversion; contamination; sustainable procurement</w:t>
            </w:r>
          </w:p>
        </w:tc>
        <w:tc>
          <w:tcPr>
            <w:tcW w:w="1755" w:type="dxa"/>
          </w:tcPr>
          <w:p w14:paraId="35A23C48"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Action</w:t>
            </w:r>
          </w:p>
        </w:tc>
        <w:tc>
          <w:tcPr>
            <w:tcW w:w="2952" w:type="dxa"/>
          </w:tcPr>
          <w:p w14:paraId="2BEF53E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Verify destination; collection is not automatically recycling</w:t>
            </w:r>
          </w:p>
        </w:tc>
      </w:tr>
      <w:tr w:rsidR="00280FAC" w14:paraId="1949AE3B" w14:textId="77777777" w:rsidTr="007A16CA">
        <w:tc>
          <w:tcPr>
            <w:cnfStyle w:val="001000000000" w:firstRow="0" w:lastRow="0" w:firstColumn="1" w:lastColumn="0" w:oddVBand="0" w:evenVBand="0" w:oddHBand="0" w:evenHBand="0" w:firstRowFirstColumn="0" w:firstRowLastColumn="0" w:lastRowFirstColumn="0" w:lastRowLastColumn="0"/>
            <w:tcW w:w="1656" w:type="dxa"/>
          </w:tcPr>
          <w:p w14:paraId="1B9EA218" w14:textId="77777777" w:rsidR="00280FAC" w:rsidRPr="00245A8B" w:rsidRDefault="00280FAC" w:rsidP="007A16CA">
            <w:pPr>
              <w:spacing w:line="276" w:lineRule="auto"/>
              <w:rPr>
                <w:b w:val="0"/>
              </w:rPr>
            </w:pPr>
            <w:r w:rsidRPr="00245A8B">
              <w:rPr>
                <w:rFonts w:ascii="Arial" w:hAnsi="Arial"/>
                <w:b w:val="0"/>
                <w:color w:val="000000"/>
              </w:rPr>
              <w:t>Learning and research</w:t>
            </w:r>
          </w:p>
        </w:tc>
        <w:tc>
          <w:tcPr>
            <w:tcW w:w="4293" w:type="dxa"/>
          </w:tcPr>
          <w:p w14:paraId="2FBD278B"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Learning outcomes; courses; living-lab projects; research uptake</w:t>
            </w:r>
          </w:p>
        </w:tc>
        <w:tc>
          <w:tcPr>
            <w:tcW w:w="1755" w:type="dxa"/>
          </w:tcPr>
          <w:p w14:paraId="06A2DB83"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Action</w:t>
            </w:r>
          </w:p>
        </w:tc>
        <w:tc>
          <w:tcPr>
            <w:tcW w:w="2952" w:type="dxa"/>
          </w:tcPr>
          <w:p w14:paraId="30CBE62A"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Assess competence and application, not course counts alone</w:t>
            </w:r>
          </w:p>
        </w:tc>
      </w:tr>
      <w:tr w:rsidR="00280FAC" w14:paraId="1824223C" w14:textId="77777777" w:rsidTr="007A16CA">
        <w:tc>
          <w:tcPr>
            <w:cnfStyle w:val="001000000000" w:firstRow="0" w:lastRow="0" w:firstColumn="1" w:lastColumn="0" w:oddVBand="0" w:evenVBand="0" w:oddHBand="0" w:evenHBand="0" w:firstRowFirstColumn="0" w:firstRowLastColumn="0" w:lastRowFirstColumn="0" w:lastRowLastColumn="0"/>
            <w:tcW w:w="1656" w:type="dxa"/>
          </w:tcPr>
          <w:p w14:paraId="3AADC029" w14:textId="77777777" w:rsidR="00280FAC" w:rsidRPr="00245A8B" w:rsidRDefault="00280FAC" w:rsidP="007A16CA">
            <w:pPr>
              <w:spacing w:line="276" w:lineRule="auto"/>
              <w:rPr>
                <w:b w:val="0"/>
              </w:rPr>
            </w:pPr>
            <w:r w:rsidRPr="00245A8B">
              <w:rPr>
                <w:rFonts w:ascii="Arial" w:hAnsi="Arial"/>
                <w:b w:val="0"/>
                <w:color w:val="000000"/>
              </w:rPr>
              <w:t>Participation and equity</w:t>
            </w:r>
          </w:p>
        </w:tc>
        <w:tc>
          <w:tcPr>
            <w:tcW w:w="4293" w:type="dxa"/>
          </w:tcPr>
          <w:p w14:paraId="36B1BD9C"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Co-design participation; reach; perceived influence; benefit distribution</w:t>
            </w:r>
          </w:p>
        </w:tc>
        <w:tc>
          <w:tcPr>
            <w:tcW w:w="1755" w:type="dxa"/>
          </w:tcPr>
          <w:p w14:paraId="5BC3E5E8"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Governance/Action</w:t>
            </w:r>
          </w:p>
        </w:tc>
        <w:tc>
          <w:tcPr>
            <w:tcW w:w="2952" w:type="dxa"/>
          </w:tcPr>
          <w:p w14:paraId="0557E621"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Disaggregate by stakeholder group and campus</w:t>
            </w:r>
          </w:p>
        </w:tc>
      </w:tr>
      <w:tr w:rsidR="00280FAC" w14:paraId="72ACE1B0" w14:textId="77777777" w:rsidTr="007A16CA">
        <w:tc>
          <w:tcPr>
            <w:cnfStyle w:val="001000000000" w:firstRow="0" w:lastRow="0" w:firstColumn="1" w:lastColumn="0" w:oddVBand="0" w:evenVBand="0" w:oddHBand="0" w:evenHBand="0" w:firstRowFirstColumn="0" w:firstRowLastColumn="0" w:lastRowFirstColumn="0" w:lastRowLastColumn="0"/>
            <w:tcW w:w="1656" w:type="dxa"/>
          </w:tcPr>
          <w:p w14:paraId="3D420BA6" w14:textId="77777777" w:rsidR="00280FAC" w:rsidRPr="00245A8B" w:rsidRDefault="00280FAC" w:rsidP="007A16CA">
            <w:pPr>
              <w:spacing w:line="276" w:lineRule="auto"/>
              <w:rPr>
                <w:b w:val="0"/>
              </w:rPr>
            </w:pPr>
            <w:r w:rsidRPr="00245A8B">
              <w:rPr>
                <w:rFonts w:ascii="Arial" w:hAnsi="Arial"/>
                <w:b w:val="0"/>
                <w:color w:val="000000"/>
              </w:rPr>
              <w:t>Finance and value</w:t>
            </w:r>
          </w:p>
        </w:tc>
        <w:tc>
          <w:tcPr>
            <w:tcW w:w="4293" w:type="dxa"/>
          </w:tcPr>
          <w:p w14:paraId="29C5AD75"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Lifecycle cost; verified savings; reinvestment; finance leverage</w:t>
            </w:r>
          </w:p>
        </w:tc>
        <w:tc>
          <w:tcPr>
            <w:tcW w:w="1755" w:type="dxa"/>
          </w:tcPr>
          <w:p w14:paraId="1F9C264A"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Capability/Assurance</w:t>
            </w:r>
          </w:p>
        </w:tc>
        <w:tc>
          <w:tcPr>
            <w:tcW w:w="2952" w:type="dxa"/>
          </w:tcPr>
          <w:p w14:paraId="4475B4FB"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Include maintenance, rebound and distributional effects</w:t>
            </w:r>
          </w:p>
        </w:tc>
      </w:tr>
    </w:tbl>
    <w:p w14:paraId="6D5B1B57" w14:textId="77777777" w:rsidR="00280FAC" w:rsidRDefault="00280FAC" w:rsidP="00280FAC">
      <w:pPr>
        <w:spacing w:after="40"/>
        <w:sectPr w:rsidR="00280FAC" w:rsidSect="00280FAC">
          <w:headerReference w:type="default" r:id="rId4"/>
          <w:footerReference w:type="default" r:id="rId5"/>
          <w:pgSz w:w="12240" w:h="15840"/>
          <w:pgMar w:top="1181" w:right="1267" w:bottom="1181" w:left="1267" w:header="504" w:footer="504" w:gutter="0"/>
          <w:cols w:space="720"/>
          <w:docGrid w:linePitch="360"/>
        </w:sectPr>
      </w:pPr>
    </w:p>
    <w:p w14:paraId="5B34C2ED" w14:textId="77777777" w:rsidR="00280FAC" w:rsidRPr="00D01285" w:rsidRDefault="00280FAC" w:rsidP="00280FAC">
      <w:pPr>
        <w:keepNext/>
        <w:keepLines/>
        <w:pageBreakBefore/>
        <w:spacing w:before="320" w:after="140" w:line="276" w:lineRule="auto"/>
        <w:outlineLvl w:val="0"/>
        <w:rPr>
          <w:rFonts w:ascii="Arial" w:eastAsiaTheme="majorEastAsia" w:hAnsi="Arial" w:cs="Arial"/>
          <w:b/>
          <w:bCs/>
          <w:lang w:val="en-US" w:eastAsia="en-US"/>
        </w:rPr>
      </w:pPr>
      <w:r w:rsidRPr="00D01285">
        <w:rPr>
          <w:rFonts w:ascii="Arial" w:eastAsiaTheme="majorEastAsia" w:hAnsi="Arial" w:cs="Arial"/>
          <w:b/>
          <w:bCs/>
          <w:lang w:val="en-US" w:eastAsia="en-US"/>
        </w:rPr>
        <w:lastRenderedPageBreak/>
        <w:t>Appendix C. Included-study extraction and citation map</w:t>
      </w:r>
    </w:p>
    <w:tbl>
      <w:tblPr>
        <w:tblStyle w:val="GridTable1Light-Accent1"/>
        <w:tblW w:w="13940" w:type="dxa"/>
        <w:tblLayout w:type="fixed"/>
        <w:tblLook w:val="04A0" w:firstRow="1" w:lastRow="0" w:firstColumn="1" w:lastColumn="0" w:noHBand="0" w:noVBand="1"/>
      </w:tblPr>
      <w:tblGrid>
        <w:gridCol w:w="1838"/>
        <w:gridCol w:w="3260"/>
        <w:gridCol w:w="5024"/>
        <w:gridCol w:w="2064"/>
        <w:gridCol w:w="1754"/>
      </w:tblGrid>
      <w:tr w:rsidR="00280FAC" w:rsidRPr="00D01285" w14:paraId="01741418" w14:textId="77777777" w:rsidTr="007A16CA">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838" w:type="dxa"/>
          </w:tcPr>
          <w:p w14:paraId="1226F4B6" w14:textId="77777777" w:rsidR="00280FAC" w:rsidRPr="00D01285" w:rsidRDefault="00280FAC" w:rsidP="007A16CA">
            <w:r w:rsidRPr="00D01285">
              <w:rPr>
                <w:rFonts w:ascii="Arial" w:hAnsi="Arial"/>
                <w:color w:val="000000"/>
              </w:rPr>
              <w:t>Included study</w:t>
            </w:r>
          </w:p>
        </w:tc>
        <w:tc>
          <w:tcPr>
            <w:tcW w:w="3260" w:type="dxa"/>
          </w:tcPr>
          <w:p w14:paraId="7B86B232" w14:textId="77777777" w:rsidR="00280FAC" w:rsidRPr="00D01285" w:rsidRDefault="00280FAC" w:rsidP="007A16CA">
            <w:pPr>
              <w:cnfStyle w:val="100000000000" w:firstRow="1" w:lastRow="0" w:firstColumn="0" w:lastColumn="0" w:oddVBand="0" w:evenVBand="0" w:oddHBand="0" w:evenHBand="0" w:firstRowFirstColumn="0" w:firstRowLastColumn="0" w:lastRowFirstColumn="0" w:lastRowLastColumn="0"/>
            </w:pPr>
            <w:r w:rsidRPr="00D01285">
              <w:rPr>
                <w:rFonts w:ascii="Arial" w:hAnsi="Arial"/>
                <w:color w:val="000000"/>
              </w:rPr>
              <w:t>Setting and empirical design</w:t>
            </w:r>
          </w:p>
        </w:tc>
        <w:tc>
          <w:tcPr>
            <w:tcW w:w="5024" w:type="dxa"/>
          </w:tcPr>
          <w:p w14:paraId="796F1E53" w14:textId="77777777" w:rsidR="00280FAC" w:rsidRDefault="00280FAC" w:rsidP="007A16CA">
            <w:pPr>
              <w:cnfStyle w:val="100000000000" w:firstRow="1" w:lastRow="0" w:firstColumn="0" w:lastColumn="0" w:oddVBand="0" w:evenVBand="0" w:oddHBand="0" w:evenHBand="0" w:firstRowFirstColumn="0" w:firstRowLastColumn="0" w:lastRowFirstColumn="0" w:lastRowLastColumn="0"/>
              <w:rPr>
                <w:rFonts w:ascii="Arial" w:hAnsi="Arial"/>
                <w:b w:val="0"/>
                <w:bCs w:val="0"/>
                <w:color w:val="000000"/>
              </w:rPr>
            </w:pPr>
            <w:r w:rsidRPr="00D01285">
              <w:rPr>
                <w:rFonts w:ascii="Arial" w:hAnsi="Arial"/>
                <w:color w:val="000000"/>
              </w:rPr>
              <w:t>Extracted contribution</w:t>
            </w:r>
          </w:p>
          <w:p w14:paraId="36EB413A" w14:textId="77777777" w:rsidR="00280FAC" w:rsidRPr="00D01285" w:rsidRDefault="00280FAC" w:rsidP="007A16CA">
            <w:pPr>
              <w:cnfStyle w:val="100000000000" w:firstRow="1" w:lastRow="0" w:firstColumn="0" w:lastColumn="0" w:oddVBand="0" w:evenVBand="0" w:oddHBand="0" w:evenHBand="0" w:firstRowFirstColumn="0" w:firstRowLastColumn="0" w:lastRowFirstColumn="0" w:lastRowLastColumn="0"/>
            </w:pPr>
          </w:p>
        </w:tc>
        <w:tc>
          <w:tcPr>
            <w:tcW w:w="2064" w:type="dxa"/>
          </w:tcPr>
          <w:p w14:paraId="7A321746" w14:textId="77777777" w:rsidR="00280FAC" w:rsidRPr="00D01285" w:rsidRDefault="00280FAC" w:rsidP="007A16CA">
            <w:pPr>
              <w:cnfStyle w:val="100000000000" w:firstRow="1" w:lastRow="0" w:firstColumn="0" w:lastColumn="0" w:oddVBand="0" w:evenVBand="0" w:oddHBand="0" w:evenHBand="0" w:firstRowFirstColumn="0" w:firstRowLastColumn="0" w:lastRowFirstColumn="0" w:lastRowLastColumn="0"/>
            </w:pPr>
            <w:r w:rsidRPr="00D01285">
              <w:rPr>
                <w:rFonts w:ascii="Arial" w:hAnsi="Arial"/>
                <w:color w:val="000000"/>
              </w:rPr>
              <w:t>CGCAA domain</w:t>
            </w:r>
          </w:p>
        </w:tc>
        <w:tc>
          <w:tcPr>
            <w:tcW w:w="1754" w:type="dxa"/>
          </w:tcPr>
          <w:p w14:paraId="6EB3C406" w14:textId="77777777" w:rsidR="00280FAC" w:rsidRPr="00D01285" w:rsidRDefault="00280FAC" w:rsidP="007A16CA">
            <w:pPr>
              <w:cnfStyle w:val="100000000000" w:firstRow="1" w:lastRow="0" w:firstColumn="0" w:lastColumn="0" w:oddVBand="0" w:evenVBand="0" w:oddHBand="0" w:evenHBand="0" w:firstRowFirstColumn="0" w:firstRowLastColumn="0" w:lastRowFirstColumn="0" w:lastRowLastColumn="0"/>
            </w:pPr>
            <w:r w:rsidRPr="00D01285">
              <w:rPr>
                <w:rFonts w:ascii="Arial" w:hAnsi="Arial"/>
                <w:color w:val="000000"/>
              </w:rPr>
              <w:t>Main-text use</w:t>
            </w:r>
          </w:p>
        </w:tc>
      </w:tr>
      <w:tr w:rsidR="00280FAC" w:rsidRPr="00D01285" w14:paraId="50B660C5" w14:textId="77777777" w:rsidTr="007A16CA">
        <w:trPr>
          <w:trHeight w:val="512"/>
        </w:trPr>
        <w:tc>
          <w:tcPr>
            <w:cnfStyle w:val="001000000000" w:firstRow="0" w:lastRow="0" w:firstColumn="1" w:lastColumn="0" w:oddVBand="0" w:evenVBand="0" w:oddHBand="0" w:evenHBand="0" w:firstRowFirstColumn="0" w:firstRowLastColumn="0" w:lastRowFirstColumn="0" w:lastRowLastColumn="0"/>
            <w:tcW w:w="1838" w:type="dxa"/>
          </w:tcPr>
          <w:p w14:paraId="5D337E36" w14:textId="77777777" w:rsidR="00280FAC" w:rsidRPr="004262DC" w:rsidRDefault="00280FAC" w:rsidP="007A16CA">
            <w:pPr>
              <w:rPr>
                <w:b w:val="0"/>
              </w:rPr>
            </w:pPr>
            <w:r w:rsidRPr="004262DC">
              <w:rPr>
                <w:rFonts w:ascii="Arial" w:hAnsi="Arial"/>
                <w:b w:val="0"/>
              </w:rPr>
              <w:t>Geng et al. (2013)</w:t>
            </w:r>
          </w:p>
        </w:tc>
        <w:tc>
          <w:tcPr>
            <w:tcW w:w="3260" w:type="dxa"/>
          </w:tcPr>
          <w:p w14:paraId="1B7DBEE1"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China; institutional case study</w:t>
            </w:r>
          </w:p>
        </w:tc>
        <w:tc>
          <w:tcPr>
            <w:tcW w:w="5024" w:type="dxa"/>
          </w:tcPr>
          <w:p w14:paraId="421073D6"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Integrated green-university implementation; operations and management</w:t>
            </w:r>
          </w:p>
        </w:tc>
        <w:tc>
          <w:tcPr>
            <w:tcW w:w="2064" w:type="dxa"/>
          </w:tcPr>
          <w:p w14:paraId="0C38B821"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Governance; Action</w:t>
            </w:r>
          </w:p>
        </w:tc>
        <w:tc>
          <w:tcPr>
            <w:tcW w:w="1754" w:type="dxa"/>
          </w:tcPr>
          <w:p w14:paraId="76FC863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4.2–4.4; Discussion 6.1</w:t>
            </w:r>
          </w:p>
        </w:tc>
      </w:tr>
      <w:tr w:rsidR="00280FAC" w:rsidRPr="00D01285" w14:paraId="6F071C7B" w14:textId="77777777" w:rsidTr="007A16CA">
        <w:trPr>
          <w:trHeight w:val="539"/>
        </w:trPr>
        <w:tc>
          <w:tcPr>
            <w:cnfStyle w:val="001000000000" w:firstRow="0" w:lastRow="0" w:firstColumn="1" w:lastColumn="0" w:oddVBand="0" w:evenVBand="0" w:oddHBand="0" w:evenHBand="0" w:firstRowFirstColumn="0" w:firstRowLastColumn="0" w:lastRowFirstColumn="0" w:lastRowLastColumn="0"/>
            <w:tcW w:w="1838" w:type="dxa"/>
          </w:tcPr>
          <w:p w14:paraId="7FAB4F96" w14:textId="77777777" w:rsidR="00280FAC" w:rsidRPr="004262DC" w:rsidRDefault="00280FAC" w:rsidP="007A16CA">
            <w:pPr>
              <w:rPr>
                <w:b w:val="0"/>
              </w:rPr>
            </w:pPr>
            <w:r w:rsidRPr="004262DC">
              <w:rPr>
                <w:rFonts w:ascii="Arial" w:hAnsi="Arial"/>
                <w:b w:val="0"/>
              </w:rPr>
              <w:t xml:space="preserve">Suwartha </w:t>
            </w:r>
            <w:r>
              <w:rPr>
                <w:rFonts w:ascii="Arial" w:hAnsi="Arial"/>
                <w:b w:val="0"/>
              </w:rPr>
              <w:t>and</w:t>
            </w:r>
            <w:r w:rsidRPr="004262DC">
              <w:rPr>
                <w:rFonts w:ascii="Arial" w:hAnsi="Arial"/>
                <w:b w:val="0"/>
              </w:rPr>
              <w:t xml:space="preserve"> Sari (2013)</w:t>
            </w:r>
          </w:p>
        </w:tc>
        <w:tc>
          <w:tcPr>
            <w:tcW w:w="3260" w:type="dxa"/>
          </w:tcPr>
          <w:p w14:paraId="6A192E84"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Indonesia/global ranking; quantitative indicator assessment</w:t>
            </w:r>
          </w:p>
        </w:tc>
        <w:tc>
          <w:tcPr>
            <w:tcW w:w="5024" w:type="dxa"/>
          </w:tcPr>
          <w:p w14:paraId="631A7610"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GreenMetric application, benchmarking and indicator limitations</w:t>
            </w:r>
          </w:p>
        </w:tc>
        <w:tc>
          <w:tcPr>
            <w:tcW w:w="2064" w:type="dxa"/>
          </w:tcPr>
          <w:p w14:paraId="0930242D"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Assurance</w:t>
            </w:r>
          </w:p>
        </w:tc>
        <w:tc>
          <w:tcPr>
            <w:tcW w:w="1754" w:type="dxa"/>
          </w:tcPr>
          <w:p w14:paraId="16E87617"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4.3 and 4.6; Discussion 6.1</w:t>
            </w:r>
          </w:p>
        </w:tc>
      </w:tr>
      <w:tr w:rsidR="00280FAC" w:rsidRPr="00D01285" w14:paraId="1626FC54" w14:textId="77777777" w:rsidTr="007A16CA">
        <w:trPr>
          <w:trHeight w:val="512"/>
        </w:trPr>
        <w:tc>
          <w:tcPr>
            <w:cnfStyle w:val="001000000000" w:firstRow="0" w:lastRow="0" w:firstColumn="1" w:lastColumn="0" w:oddVBand="0" w:evenVBand="0" w:oddHBand="0" w:evenHBand="0" w:firstRowFirstColumn="0" w:firstRowLastColumn="0" w:lastRowFirstColumn="0" w:lastRowLastColumn="0"/>
            <w:tcW w:w="1838" w:type="dxa"/>
          </w:tcPr>
          <w:p w14:paraId="7EDC8980" w14:textId="77777777" w:rsidR="00280FAC" w:rsidRPr="004262DC" w:rsidRDefault="00280FAC" w:rsidP="007A16CA">
            <w:pPr>
              <w:rPr>
                <w:b w:val="0"/>
              </w:rPr>
            </w:pPr>
            <w:r w:rsidRPr="004262DC">
              <w:rPr>
                <w:rFonts w:ascii="Arial" w:hAnsi="Arial"/>
                <w:b w:val="0"/>
              </w:rPr>
              <w:t xml:space="preserve">Nejati </w:t>
            </w:r>
            <w:r>
              <w:rPr>
                <w:rFonts w:ascii="Arial" w:hAnsi="Arial"/>
                <w:b w:val="0"/>
              </w:rPr>
              <w:t>and</w:t>
            </w:r>
            <w:r w:rsidRPr="004262DC">
              <w:rPr>
                <w:rFonts w:ascii="Arial" w:hAnsi="Arial"/>
                <w:b w:val="0"/>
              </w:rPr>
              <w:t xml:space="preserve"> Nejati (2013)</w:t>
            </w:r>
          </w:p>
        </w:tc>
        <w:tc>
          <w:tcPr>
            <w:tcW w:w="3260" w:type="dxa"/>
          </w:tcPr>
          <w:p w14:paraId="6D93E636"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University students (n=379); quantitative scale-development survey</w:t>
            </w:r>
          </w:p>
        </w:tc>
        <w:tc>
          <w:tcPr>
            <w:tcW w:w="5024" w:type="dxa"/>
          </w:tcPr>
          <w:p w14:paraId="5DF3A96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Community outreach, commitment/monitoring, waste-energy and land-use dimensions</w:t>
            </w:r>
          </w:p>
        </w:tc>
        <w:tc>
          <w:tcPr>
            <w:tcW w:w="2064" w:type="dxa"/>
          </w:tcPr>
          <w:p w14:paraId="67B734D3"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Action; Assurance</w:t>
            </w:r>
          </w:p>
        </w:tc>
        <w:tc>
          <w:tcPr>
            <w:tcW w:w="1754" w:type="dxa"/>
          </w:tcPr>
          <w:p w14:paraId="7A728360"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4.5–4.6; Discussion 6.1</w:t>
            </w:r>
          </w:p>
        </w:tc>
      </w:tr>
      <w:tr w:rsidR="00280FAC" w:rsidRPr="00D01285" w14:paraId="120A7BBE" w14:textId="77777777" w:rsidTr="007A16CA">
        <w:trPr>
          <w:trHeight w:val="539"/>
        </w:trPr>
        <w:tc>
          <w:tcPr>
            <w:cnfStyle w:val="001000000000" w:firstRow="0" w:lastRow="0" w:firstColumn="1" w:lastColumn="0" w:oddVBand="0" w:evenVBand="0" w:oddHBand="0" w:evenHBand="0" w:firstRowFirstColumn="0" w:firstRowLastColumn="0" w:lastRowFirstColumn="0" w:lastRowLastColumn="0"/>
            <w:tcW w:w="1838" w:type="dxa"/>
          </w:tcPr>
          <w:p w14:paraId="70AADF21" w14:textId="77777777" w:rsidR="00280FAC" w:rsidRPr="004262DC" w:rsidRDefault="00280FAC" w:rsidP="007A16CA">
            <w:pPr>
              <w:rPr>
                <w:b w:val="0"/>
              </w:rPr>
            </w:pPr>
            <w:r w:rsidRPr="004262DC">
              <w:rPr>
                <w:rFonts w:ascii="Arial" w:hAnsi="Arial"/>
                <w:b w:val="0"/>
              </w:rPr>
              <w:t>Lozano et al. (2015)</w:t>
            </w:r>
          </w:p>
        </w:tc>
        <w:tc>
          <w:tcPr>
            <w:tcW w:w="3260" w:type="dxa"/>
          </w:tcPr>
          <w:p w14:paraId="663EF32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International; cross-sectional institutional survey</w:t>
            </w:r>
          </w:p>
        </w:tc>
        <w:tc>
          <w:tcPr>
            <w:tcW w:w="5024" w:type="dxa"/>
          </w:tcPr>
          <w:p w14:paraId="18038DF8"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Commitment and implementation across university functions</w:t>
            </w:r>
          </w:p>
        </w:tc>
        <w:tc>
          <w:tcPr>
            <w:tcW w:w="2064" w:type="dxa"/>
          </w:tcPr>
          <w:p w14:paraId="5B6A124C"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Governance; Action</w:t>
            </w:r>
          </w:p>
        </w:tc>
        <w:tc>
          <w:tcPr>
            <w:tcW w:w="1754" w:type="dxa"/>
          </w:tcPr>
          <w:p w14:paraId="0F4CD816"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4.2 and 4.4; Discussion 6.1</w:t>
            </w:r>
          </w:p>
        </w:tc>
      </w:tr>
      <w:tr w:rsidR="00280FAC" w:rsidRPr="00D01285" w14:paraId="08E0FBD9" w14:textId="77777777" w:rsidTr="007A16CA">
        <w:trPr>
          <w:trHeight w:val="539"/>
        </w:trPr>
        <w:tc>
          <w:tcPr>
            <w:cnfStyle w:val="001000000000" w:firstRow="0" w:lastRow="0" w:firstColumn="1" w:lastColumn="0" w:oddVBand="0" w:evenVBand="0" w:oddHBand="0" w:evenHBand="0" w:firstRowFirstColumn="0" w:firstRowLastColumn="0" w:lastRowFirstColumn="0" w:lastRowLastColumn="0"/>
            <w:tcW w:w="1838" w:type="dxa"/>
          </w:tcPr>
          <w:p w14:paraId="3739E0E5" w14:textId="77777777" w:rsidR="00280FAC" w:rsidRPr="004262DC" w:rsidRDefault="00280FAC" w:rsidP="007A16CA">
            <w:pPr>
              <w:rPr>
                <w:b w:val="0"/>
              </w:rPr>
            </w:pPr>
            <w:r w:rsidRPr="004262DC">
              <w:rPr>
                <w:rFonts w:ascii="Arial" w:hAnsi="Arial"/>
                <w:b w:val="0"/>
              </w:rPr>
              <w:t>Dagiliūtė et al. (2018)</w:t>
            </w:r>
          </w:p>
        </w:tc>
        <w:tc>
          <w:tcPr>
            <w:tcW w:w="3260" w:type="dxa"/>
          </w:tcPr>
          <w:p w14:paraId="427585DC"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Green and non-green universities; comparative student survey</w:t>
            </w:r>
          </w:p>
        </w:tc>
        <w:tc>
          <w:tcPr>
            <w:tcW w:w="5024" w:type="dxa"/>
          </w:tcPr>
          <w:p w14:paraId="319D2C81"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Student perceptions, awareness and institutional sustainability performance</w:t>
            </w:r>
          </w:p>
        </w:tc>
        <w:tc>
          <w:tcPr>
            <w:tcW w:w="2064" w:type="dxa"/>
          </w:tcPr>
          <w:p w14:paraId="75C113B2"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Action; Assurance</w:t>
            </w:r>
          </w:p>
        </w:tc>
        <w:tc>
          <w:tcPr>
            <w:tcW w:w="1754" w:type="dxa"/>
          </w:tcPr>
          <w:p w14:paraId="0B1D94C5"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4.5–4.6; Discussion 6.1</w:t>
            </w:r>
          </w:p>
        </w:tc>
      </w:tr>
      <w:tr w:rsidR="00280FAC" w:rsidRPr="00D01285" w14:paraId="60CFABD9" w14:textId="77777777" w:rsidTr="007A16CA">
        <w:trPr>
          <w:trHeight w:val="512"/>
        </w:trPr>
        <w:tc>
          <w:tcPr>
            <w:cnfStyle w:val="001000000000" w:firstRow="0" w:lastRow="0" w:firstColumn="1" w:lastColumn="0" w:oddVBand="0" w:evenVBand="0" w:oddHBand="0" w:evenHBand="0" w:firstRowFirstColumn="0" w:firstRowLastColumn="0" w:lastRowFirstColumn="0" w:lastRowLastColumn="0"/>
            <w:tcW w:w="1838" w:type="dxa"/>
          </w:tcPr>
          <w:p w14:paraId="3A2A62BD" w14:textId="77777777" w:rsidR="00280FAC" w:rsidRPr="004262DC" w:rsidRDefault="00280FAC" w:rsidP="007A16CA">
            <w:pPr>
              <w:rPr>
                <w:b w:val="0"/>
              </w:rPr>
            </w:pPr>
            <w:r w:rsidRPr="004262DC">
              <w:rPr>
                <w:rFonts w:ascii="Arial" w:hAnsi="Arial"/>
                <w:b w:val="0"/>
              </w:rPr>
              <w:t>Aleixo et al. (2018)</w:t>
            </w:r>
          </w:p>
        </w:tc>
        <w:tc>
          <w:tcPr>
            <w:tcW w:w="3260" w:type="dxa"/>
          </w:tcPr>
          <w:p w14:paraId="071ABB44"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Portugal; exploratory stakeholder study</w:t>
            </w:r>
          </w:p>
        </w:tc>
        <w:tc>
          <w:tcPr>
            <w:tcW w:w="5024" w:type="dxa"/>
          </w:tcPr>
          <w:p w14:paraId="278EC193"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Stakeholder roles, sustainability meanings, barriers and institutional challenges</w:t>
            </w:r>
          </w:p>
        </w:tc>
        <w:tc>
          <w:tcPr>
            <w:tcW w:w="2064" w:type="dxa"/>
          </w:tcPr>
          <w:p w14:paraId="2AA4DBC7"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Governance; Capability</w:t>
            </w:r>
          </w:p>
        </w:tc>
        <w:tc>
          <w:tcPr>
            <w:tcW w:w="1754" w:type="dxa"/>
          </w:tcPr>
          <w:p w14:paraId="11901DB0"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4.2–4.5; Discussion 6.1</w:t>
            </w:r>
          </w:p>
        </w:tc>
      </w:tr>
      <w:tr w:rsidR="00280FAC" w:rsidRPr="00D01285" w14:paraId="14F6EE4A" w14:textId="77777777" w:rsidTr="007A16CA">
        <w:trPr>
          <w:trHeight w:val="539"/>
        </w:trPr>
        <w:tc>
          <w:tcPr>
            <w:cnfStyle w:val="001000000000" w:firstRow="0" w:lastRow="0" w:firstColumn="1" w:lastColumn="0" w:oddVBand="0" w:evenVBand="0" w:oddHBand="0" w:evenHBand="0" w:firstRowFirstColumn="0" w:firstRowLastColumn="0" w:lastRowFirstColumn="0" w:lastRowLastColumn="0"/>
            <w:tcW w:w="1838" w:type="dxa"/>
          </w:tcPr>
          <w:p w14:paraId="1A00858B" w14:textId="77777777" w:rsidR="00280FAC" w:rsidRPr="004262DC" w:rsidRDefault="00280FAC" w:rsidP="007A16CA">
            <w:pPr>
              <w:rPr>
                <w:b w:val="0"/>
              </w:rPr>
            </w:pPr>
            <w:r w:rsidRPr="004262DC">
              <w:rPr>
                <w:rFonts w:ascii="Arial" w:hAnsi="Arial"/>
                <w:b w:val="0"/>
              </w:rPr>
              <w:t xml:space="preserve">Bulunga </w:t>
            </w:r>
            <w:r>
              <w:rPr>
                <w:rFonts w:ascii="Arial" w:hAnsi="Arial"/>
                <w:b w:val="0"/>
              </w:rPr>
              <w:t>and</w:t>
            </w:r>
            <w:r w:rsidRPr="004262DC">
              <w:rPr>
                <w:rFonts w:ascii="Arial" w:hAnsi="Arial"/>
                <w:b w:val="0"/>
              </w:rPr>
              <w:t xml:space="preserve"> Thondhlana (2018)</w:t>
            </w:r>
          </w:p>
        </w:tc>
        <w:tc>
          <w:tcPr>
            <w:tcW w:w="3260" w:type="dxa"/>
          </w:tcPr>
          <w:p w14:paraId="210FD394"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South Africa; non-randomised residence intervention</w:t>
            </w:r>
          </w:p>
        </w:tc>
        <w:tc>
          <w:tcPr>
            <w:tcW w:w="5024" w:type="dxa"/>
          </w:tcPr>
          <w:p w14:paraId="7734A370"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Energy-saving behaviour and behaviour-change interventions</w:t>
            </w:r>
          </w:p>
        </w:tc>
        <w:tc>
          <w:tcPr>
            <w:tcW w:w="2064" w:type="dxa"/>
          </w:tcPr>
          <w:p w14:paraId="396EF540"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Context; Action</w:t>
            </w:r>
          </w:p>
        </w:tc>
        <w:tc>
          <w:tcPr>
            <w:tcW w:w="1754" w:type="dxa"/>
          </w:tcPr>
          <w:p w14:paraId="70C371F0"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4.4–4.5; Discussion 6.2</w:t>
            </w:r>
          </w:p>
        </w:tc>
      </w:tr>
      <w:tr w:rsidR="00280FAC" w:rsidRPr="00D01285" w14:paraId="0E8E4873" w14:textId="77777777" w:rsidTr="007A16CA">
        <w:trPr>
          <w:trHeight w:val="512"/>
        </w:trPr>
        <w:tc>
          <w:tcPr>
            <w:cnfStyle w:val="001000000000" w:firstRow="0" w:lastRow="0" w:firstColumn="1" w:lastColumn="0" w:oddVBand="0" w:evenVBand="0" w:oddHBand="0" w:evenHBand="0" w:firstRowFirstColumn="0" w:firstRowLastColumn="0" w:lastRowFirstColumn="0" w:lastRowLastColumn="0"/>
            <w:tcW w:w="1838" w:type="dxa"/>
          </w:tcPr>
          <w:p w14:paraId="60204826" w14:textId="77777777" w:rsidR="00280FAC" w:rsidRPr="004262DC" w:rsidRDefault="00280FAC" w:rsidP="007A16CA">
            <w:pPr>
              <w:rPr>
                <w:b w:val="0"/>
              </w:rPr>
            </w:pPr>
            <w:r w:rsidRPr="004262DC">
              <w:rPr>
                <w:rFonts w:ascii="Arial" w:hAnsi="Arial"/>
                <w:b w:val="0"/>
              </w:rPr>
              <w:t>Leal Filho et al. (2019)</w:t>
            </w:r>
          </w:p>
        </w:tc>
        <w:tc>
          <w:tcPr>
            <w:tcW w:w="3260" w:type="dxa"/>
          </w:tcPr>
          <w:p w14:paraId="517CCDA5"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Multi-country; comparative empirical study</w:t>
            </w:r>
          </w:p>
        </w:tc>
        <w:tc>
          <w:tcPr>
            <w:tcW w:w="5024" w:type="dxa"/>
          </w:tcPr>
          <w:p w14:paraId="3BEA05BD"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Energy-efficiency and renewable-energy implementation pathways</w:t>
            </w:r>
          </w:p>
        </w:tc>
        <w:tc>
          <w:tcPr>
            <w:tcW w:w="2064" w:type="dxa"/>
          </w:tcPr>
          <w:p w14:paraId="1BEAF27D"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Capability; Action</w:t>
            </w:r>
          </w:p>
        </w:tc>
        <w:tc>
          <w:tcPr>
            <w:tcW w:w="1754" w:type="dxa"/>
          </w:tcPr>
          <w:p w14:paraId="1F655C2F"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4.3–4.4; Discussion 6.1</w:t>
            </w:r>
          </w:p>
        </w:tc>
      </w:tr>
      <w:tr w:rsidR="00280FAC" w:rsidRPr="00D01285" w14:paraId="66E054A5" w14:textId="77777777" w:rsidTr="007A16CA">
        <w:trPr>
          <w:trHeight w:val="539"/>
        </w:trPr>
        <w:tc>
          <w:tcPr>
            <w:cnfStyle w:val="001000000000" w:firstRow="0" w:lastRow="0" w:firstColumn="1" w:lastColumn="0" w:oddVBand="0" w:evenVBand="0" w:oddHBand="0" w:evenHBand="0" w:firstRowFirstColumn="0" w:firstRowLastColumn="0" w:lastRowFirstColumn="0" w:lastRowLastColumn="0"/>
            <w:tcW w:w="1838" w:type="dxa"/>
          </w:tcPr>
          <w:p w14:paraId="037E214C" w14:textId="77777777" w:rsidR="00280FAC" w:rsidRPr="004262DC" w:rsidRDefault="00280FAC" w:rsidP="007A16CA">
            <w:pPr>
              <w:rPr>
                <w:b w:val="0"/>
              </w:rPr>
            </w:pPr>
            <w:r w:rsidRPr="004262DC">
              <w:rPr>
                <w:rFonts w:ascii="Arial" w:hAnsi="Arial"/>
                <w:b w:val="0"/>
              </w:rPr>
              <w:t>Awuzie et al. (2023)</w:t>
            </w:r>
          </w:p>
        </w:tc>
        <w:tc>
          <w:tcPr>
            <w:tcW w:w="3260" w:type="dxa"/>
          </w:tcPr>
          <w:p w14:paraId="18D018F5"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South Africa; qualitative UoT case study</w:t>
            </w:r>
          </w:p>
        </w:tc>
        <w:tc>
          <w:tcPr>
            <w:tcW w:w="5024" w:type="dxa"/>
          </w:tcPr>
          <w:p w14:paraId="025A3943"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Resources, staffing and organisational conditions affecting GCI performance</w:t>
            </w:r>
          </w:p>
        </w:tc>
        <w:tc>
          <w:tcPr>
            <w:tcW w:w="2064" w:type="dxa"/>
          </w:tcPr>
          <w:p w14:paraId="5A53730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Governance; Capability</w:t>
            </w:r>
          </w:p>
        </w:tc>
        <w:tc>
          <w:tcPr>
            <w:tcW w:w="1754" w:type="dxa"/>
          </w:tcPr>
          <w:p w14:paraId="4E712D36"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4.2–4.3; Discussion 6.2</w:t>
            </w:r>
          </w:p>
        </w:tc>
      </w:tr>
      <w:tr w:rsidR="00280FAC" w:rsidRPr="00D01285" w14:paraId="420872AD" w14:textId="77777777" w:rsidTr="007A16CA">
        <w:trPr>
          <w:trHeight w:val="539"/>
        </w:trPr>
        <w:tc>
          <w:tcPr>
            <w:cnfStyle w:val="001000000000" w:firstRow="0" w:lastRow="0" w:firstColumn="1" w:lastColumn="0" w:oddVBand="0" w:evenVBand="0" w:oddHBand="0" w:evenHBand="0" w:firstRowFirstColumn="0" w:firstRowLastColumn="0" w:lastRowFirstColumn="0" w:lastRowLastColumn="0"/>
            <w:tcW w:w="1838" w:type="dxa"/>
          </w:tcPr>
          <w:p w14:paraId="471C2A96" w14:textId="77777777" w:rsidR="00280FAC" w:rsidRPr="004262DC" w:rsidRDefault="00280FAC" w:rsidP="007A16CA">
            <w:pPr>
              <w:rPr>
                <w:b w:val="0"/>
              </w:rPr>
            </w:pPr>
            <w:r w:rsidRPr="004262DC">
              <w:rPr>
                <w:rFonts w:ascii="Arial" w:hAnsi="Arial"/>
                <w:b w:val="0"/>
              </w:rPr>
              <w:t xml:space="preserve">Jimu </w:t>
            </w:r>
            <w:r>
              <w:rPr>
                <w:rFonts w:ascii="Arial" w:hAnsi="Arial"/>
                <w:b w:val="0"/>
              </w:rPr>
              <w:t xml:space="preserve">and </w:t>
            </w:r>
            <w:r w:rsidRPr="004262DC">
              <w:rPr>
                <w:rFonts w:ascii="Arial" w:hAnsi="Arial"/>
                <w:b w:val="0"/>
              </w:rPr>
              <w:t>Rennkamp (2024)</w:t>
            </w:r>
          </w:p>
        </w:tc>
        <w:tc>
          <w:tcPr>
            <w:tcW w:w="3260" w:type="dxa"/>
          </w:tcPr>
          <w:p w14:paraId="1E9AA4DF"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South Africa; UCT mixed-method case study</w:t>
            </w:r>
          </w:p>
        </w:tc>
        <w:tc>
          <w:tcPr>
            <w:tcW w:w="5024" w:type="dxa"/>
          </w:tcPr>
          <w:p w14:paraId="2DB3B377"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Networked governance, fragmentation and sustainability transition</w:t>
            </w:r>
          </w:p>
        </w:tc>
        <w:tc>
          <w:tcPr>
            <w:tcW w:w="2064" w:type="dxa"/>
          </w:tcPr>
          <w:p w14:paraId="61F89566"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Context; Governance</w:t>
            </w:r>
          </w:p>
        </w:tc>
        <w:tc>
          <w:tcPr>
            <w:tcW w:w="1754" w:type="dxa"/>
          </w:tcPr>
          <w:p w14:paraId="18885A9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4.2 and 4.5; Discussion 6.2</w:t>
            </w:r>
          </w:p>
        </w:tc>
      </w:tr>
      <w:tr w:rsidR="00280FAC" w:rsidRPr="00D01285" w14:paraId="611F15E4" w14:textId="77777777" w:rsidTr="007A16CA">
        <w:trPr>
          <w:trHeight w:val="512"/>
        </w:trPr>
        <w:tc>
          <w:tcPr>
            <w:cnfStyle w:val="001000000000" w:firstRow="0" w:lastRow="0" w:firstColumn="1" w:lastColumn="0" w:oddVBand="0" w:evenVBand="0" w:oddHBand="0" w:evenHBand="0" w:firstRowFirstColumn="0" w:firstRowLastColumn="0" w:lastRowFirstColumn="0" w:lastRowLastColumn="0"/>
            <w:tcW w:w="1838" w:type="dxa"/>
          </w:tcPr>
          <w:p w14:paraId="5924418B" w14:textId="77777777" w:rsidR="00280FAC" w:rsidRPr="004262DC" w:rsidRDefault="00280FAC" w:rsidP="007A16CA">
            <w:pPr>
              <w:rPr>
                <w:b w:val="0"/>
              </w:rPr>
            </w:pPr>
            <w:r w:rsidRPr="004262DC">
              <w:rPr>
                <w:rFonts w:ascii="Arial" w:hAnsi="Arial"/>
                <w:b w:val="0"/>
              </w:rPr>
              <w:lastRenderedPageBreak/>
              <w:t xml:space="preserve">Musakuro </w:t>
            </w:r>
            <w:r>
              <w:rPr>
                <w:rFonts w:ascii="Arial" w:hAnsi="Arial"/>
                <w:b w:val="0"/>
              </w:rPr>
              <w:t>and</w:t>
            </w:r>
            <w:r w:rsidRPr="004262DC">
              <w:rPr>
                <w:rFonts w:ascii="Arial" w:hAnsi="Arial"/>
                <w:b w:val="0"/>
              </w:rPr>
              <w:t xml:space="preserve"> de Klerk (2024)</w:t>
            </w:r>
          </w:p>
        </w:tc>
        <w:tc>
          <w:tcPr>
            <w:tcW w:w="3260" w:type="dxa"/>
          </w:tcPr>
          <w:p w14:paraId="5EF36482"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South Africa; mixed stakeholder study</w:t>
            </w:r>
          </w:p>
        </w:tc>
        <w:tc>
          <w:tcPr>
            <w:tcW w:w="5024" w:type="dxa"/>
          </w:tcPr>
          <w:p w14:paraId="3A63C876"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Awareness, priorities, leadership and policy-practice gaps</w:t>
            </w:r>
          </w:p>
        </w:tc>
        <w:tc>
          <w:tcPr>
            <w:tcW w:w="2064" w:type="dxa"/>
          </w:tcPr>
          <w:p w14:paraId="210E2CA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Governance; Action</w:t>
            </w:r>
          </w:p>
        </w:tc>
        <w:tc>
          <w:tcPr>
            <w:tcW w:w="1754" w:type="dxa"/>
          </w:tcPr>
          <w:p w14:paraId="37D42869"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4.2 and 4.5; Discussion 6.2</w:t>
            </w:r>
          </w:p>
        </w:tc>
      </w:tr>
      <w:tr w:rsidR="00280FAC" w:rsidRPr="00D01285" w14:paraId="4F79EE72" w14:textId="77777777" w:rsidTr="007A16CA">
        <w:trPr>
          <w:trHeight w:val="539"/>
        </w:trPr>
        <w:tc>
          <w:tcPr>
            <w:cnfStyle w:val="001000000000" w:firstRow="0" w:lastRow="0" w:firstColumn="1" w:lastColumn="0" w:oddVBand="0" w:evenVBand="0" w:oddHBand="0" w:evenHBand="0" w:firstRowFirstColumn="0" w:firstRowLastColumn="0" w:lastRowFirstColumn="0" w:lastRowLastColumn="0"/>
            <w:tcW w:w="1838" w:type="dxa"/>
          </w:tcPr>
          <w:p w14:paraId="0097AC31" w14:textId="77777777" w:rsidR="00280FAC" w:rsidRPr="004262DC" w:rsidRDefault="00280FAC" w:rsidP="007A16CA">
            <w:pPr>
              <w:rPr>
                <w:b w:val="0"/>
              </w:rPr>
            </w:pPr>
            <w:r w:rsidRPr="004262DC">
              <w:rPr>
                <w:rFonts w:ascii="Arial" w:hAnsi="Arial"/>
                <w:b w:val="0"/>
              </w:rPr>
              <w:t>Shange et al. (2024)</w:t>
            </w:r>
          </w:p>
        </w:tc>
        <w:tc>
          <w:tcPr>
            <w:tcW w:w="3260" w:type="dxa"/>
          </w:tcPr>
          <w:p w14:paraId="55B5778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South Africa; qualitative study</w:t>
            </w:r>
          </w:p>
        </w:tc>
        <w:tc>
          <w:tcPr>
            <w:tcW w:w="5024" w:type="dxa"/>
          </w:tcPr>
          <w:p w14:paraId="2DB7DBA0"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Green entrepreneurship, alternative finance and project capability</w:t>
            </w:r>
          </w:p>
        </w:tc>
        <w:tc>
          <w:tcPr>
            <w:tcW w:w="2064" w:type="dxa"/>
          </w:tcPr>
          <w:p w14:paraId="01715D0D"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Capability; Action</w:t>
            </w:r>
          </w:p>
        </w:tc>
        <w:tc>
          <w:tcPr>
            <w:tcW w:w="1754" w:type="dxa"/>
          </w:tcPr>
          <w:p w14:paraId="750B599E"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4.3–4.4; Discussion 6.2</w:t>
            </w:r>
          </w:p>
        </w:tc>
      </w:tr>
      <w:tr w:rsidR="00280FAC" w:rsidRPr="00D01285" w14:paraId="5B92BF54" w14:textId="77777777" w:rsidTr="007A16CA">
        <w:trPr>
          <w:trHeight w:val="512"/>
        </w:trPr>
        <w:tc>
          <w:tcPr>
            <w:cnfStyle w:val="001000000000" w:firstRow="0" w:lastRow="0" w:firstColumn="1" w:lastColumn="0" w:oddVBand="0" w:evenVBand="0" w:oddHBand="0" w:evenHBand="0" w:firstRowFirstColumn="0" w:firstRowLastColumn="0" w:lastRowFirstColumn="0" w:lastRowLastColumn="0"/>
            <w:tcW w:w="1838" w:type="dxa"/>
          </w:tcPr>
          <w:p w14:paraId="13BD6DF3" w14:textId="77777777" w:rsidR="00280FAC" w:rsidRPr="004262DC" w:rsidRDefault="00280FAC" w:rsidP="007A16CA">
            <w:pPr>
              <w:rPr>
                <w:b w:val="0"/>
              </w:rPr>
            </w:pPr>
            <w:r w:rsidRPr="004262DC">
              <w:rPr>
                <w:rFonts w:ascii="Arial" w:hAnsi="Arial"/>
                <w:b w:val="0"/>
              </w:rPr>
              <w:t>Shange et al. (2025)</w:t>
            </w:r>
          </w:p>
        </w:tc>
        <w:tc>
          <w:tcPr>
            <w:tcW w:w="3260" w:type="dxa"/>
          </w:tcPr>
          <w:p w14:paraId="652FB148"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South Africa; qualitative empirical study</w:t>
            </w:r>
          </w:p>
        </w:tc>
        <w:tc>
          <w:tcPr>
            <w:tcW w:w="5024" w:type="dxa"/>
          </w:tcPr>
          <w:p w14:paraId="71B10539"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Engagement, sustainability education and conservation practices</w:t>
            </w:r>
          </w:p>
        </w:tc>
        <w:tc>
          <w:tcPr>
            <w:tcW w:w="2064" w:type="dxa"/>
          </w:tcPr>
          <w:p w14:paraId="2F225564"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Governance; Action</w:t>
            </w:r>
          </w:p>
        </w:tc>
        <w:tc>
          <w:tcPr>
            <w:tcW w:w="1754" w:type="dxa"/>
          </w:tcPr>
          <w:p w14:paraId="5332B691"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4.4–4.5; Discussion 6.2</w:t>
            </w:r>
          </w:p>
        </w:tc>
      </w:tr>
      <w:tr w:rsidR="00280FAC" w:rsidRPr="00D01285" w14:paraId="61E87B70" w14:textId="77777777" w:rsidTr="007A16CA">
        <w:trPr>
          <w:trHeight w:val="539"/>
        </w:trPr>
        <w:tc>
          <w:tcPr>
            <w:cnfStyle w:val="001000000000" w:firstRow="0" w:lastRow="0" w:firstColumn="1" w:lastColumn="0" w:oddVBand="0" w:evenVBand="0" w:oddHBand="0" w:evenHBand="0" w:firstRowFirstColumn="0" w:firstRowLastColumn="0" w:lastRowFirstColumn="0" w:lastRowLastColumn="0"/>
            <w:tcW w:w="1838" w:type="dxa"/>
          </w:tcPr>
          <w:p w14:paraId="27C2CD83" w14:textId="77777777" w:rsidR="00280FAC" w:rsidRPr="004262DC" w:rsidRDefault="00280FAC" w:rsidP="007A16CA">
            <w:pPr>
              <w:rPr>
                <w:b w:val="0"/>
              </w:rPr>
            </w:pPr>
            <w:r w:rsidRPr="004262DC">
              <w:rPr>
                <w:rFonts w:ascii="Arial" w:hAnsi="Arial"/>
                <w:b w:val="0"/>
              </w:rPr>
              <w:t xml:space="preserve">Gherheș </w:t>
            </w:r>
            <w:r>
              <w:rPr>
                <w:rFonts w:ascii="Arial" w:hAnsi="Arial"/>
                <w:b w:val="0"/>
              </w:rPr>
              <w:t>and</w:t>
            </w:r>
            <w:r w:rsidRPr="004262DC">
              <w:rPr>
                <w:rFonts w:ascii="Arial" w:hAnsi="Arial"/>
                <w:b w:val="0"/>
              </w:rPr>
              <w:t xml:space="preserve"> Cernicova-Bucă (2025)</w:t>
            </w:r>
          </w:p>
        </w:tc>
        <w:tc>
          <w:tcPr>
            <w:tcW w:w="3260" w:type="dxa"/>
          </w:tcPr>
          <w:p w14:paraId="7752E5D1"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Romania; non-randomised communication intervention</w:t>
            </w:r>
          </w:p>
        </w:tc>
        <w:tc>
          <w:tcPr>
            <w:tcW w:w="5024" w:type="dxa"/>
          </w:tcPr>
          <w:p w14:paraId="42476AD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Water-use behaviour following an information and persuasion campaign</w:t>
            </w:r>
          </w:p>
        </w:tc>
        <w:tc>
          <w:tcPr>
            <w:tcW w:w="2064" w:type="dxa"/>
          </w:tcPr>
          <w:p w14:paraId="48DB04A3"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Action; Assurance</w:t>
            </w:r>
          </w:p>
        </w:tc>
        <w:tc>
          <w:tcPr>
            <w:tcW w:w="1754" w:type="dxa"/>
          </w:tcPr>
          <w:p w14:paraId="154DBA15"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4.5–4.6; Discussion 6.1</w:t>
            </w:r>
          </w:p>
        </w:tc>
      </w:tr>
      <w:tr w:rsidR="00280FAC" w:rsidRPr="00D01285" w14:paraId="0B3E0F8F" w14:textId="77777777" w:rsidTr="007A16CA">
        <w:trPr>
          <w:trHeight w:val="512"/>
        </w:trPr>
        <w:tc>
          <w:tcPr>
            <w:cnfStyle w:val="001000000000" w:firstRow="0" w:lastRow="0" w:firstColumn="1" w:lastColumn="0" w:oddVBand="0" w:evenVBand="0" w:oddHBand="0" w:evenHBand="0" w:firstRowFirstColumn="0" w:firstRowLastColumn="0" w:lastRowFirstColumn="0" w:lastRowLastColumn="0"/>
            <w:tcW w:w="1838" w:type="dxa"/>
          </w:tcPr>
          <w:p w14:paraId="2ED4604A" w14:textId="77777777" w:rsidR="00280FAC" w:rsidRPr="004262DC" w:rsidRDefault="00280FAC" w:rsidP="007A16CA">
            <w:pPr>
              <w:rPr>
                <w:b w:val="0"/>
              </w:rPr>
            </w:pPr>
            <w:r w:rsidRPr="004262DC">
              <w:rPr>
                <w:rFonts w:ascii="Arial" w:hAnsi="Arial"/>
                <w:b w:val="0"/>
              </w:rPr>
              <w:t xml:space="preserve">Shange </w:t>
            </w:r>
            <w:r>
              <w:rPr>
                <w:rFonts w:ascii="Arial" w:hAnsi="Arial"/>
                <w:b w:val="0"/>
              </w:rPr>
              <w:t>and</w:t>
            </w:r>
            <w:r w:rsidRPr="004262DC">
              <w:rPr>
                <w:rFonts w:ascii="Arial" w:hAnsi="Arial"/>
                <w:b w:val="0"/>
              </w:rPr>
              <w:t xml:space="preserve"> Dlamini (2026)</w:t>
            </w:r>
          </w:p>
        </w:tc>
        <w:tc>
          <w:tcPr>
            <w:tcW w:w="3260" w:type="dxa"/>
          </w:tcPr>
          <w:p w14:paraId="247EC03D"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South Africa; student-housing empirical study</w:t>
            </w:r>
          </w:p>
        </w:tc>
        <w:tc>
          <w:tcPr>
            <w:tcW w:w="5024" w:type="dxa"/>
          </w:tcPr>
          <w:p w14:paraId="2DA1B755"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Residence-level water conservation, behaviour and infrastructure</w:t>
            </w:r>
          </w:p>
        </w:tc>
        <w:tc>
          <w:tcPr>
            <w:tcW w:w="2064" w:type="dxa"/>
          </w:tcPr>
          <w:p w14:paraId="3003032F"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Context; Action</w:t>
            </w:r>
          </w:p>
        </w:tc>
        <w:tc>
          <w:tcPr>
            <w:tcW w:w="1754" w:type="dxa"/>
          </w:tcPr>
          <w:p w14:paraId="7E9DEA9A" w14:textId="77777777" w:rsidR="00280FAC" w:rsidRPr="00D01285" w:rsidRDefault="00280FAC" w:rsidP="007A16CA">
            <w:pPr>
              <w:cnfStyle w:val="000000000000" w:firstRow="0" w:lastRow="0" w:firstColumn="0" w:lastColumn="0" w:oddVBand="0" w:evenVBand="0" w:oddHBand="0" w:evenHBand="0" w:firstRowFirstColumn="0" w:firstRowLastColumn="0" w:lastRowFirstColumn="0" w:lastRowLastColumn="0"/>
            </w:pPr>
            <w:r w:rsidRPr="00D01285">
              <w:rPr>
                <w:rFonts w:ascii="Arial" w:hAnsi="Arial"/>
                <w:color w:val="000000"/>
              </w:rPr>
              <w:t>Results 4.4–4.6; Discussion 6.2</w:t>
            </w:r>
          </w:p>
        </w:tc>
      </w:tr>
    </w:tbl>
    <w:p w14:paraId="66E78CEE" w14:textId="77777777" w:rsidR="00280FAC" w:rsidRPr="00D01285" w:rsidRDefault="00280FAC" w:rsidP="00280FAC">
      <w:pPr>
        <w:spacing w:after="40"/>
        <w:rPr>
          <w:sz w:val="22"/>
          <w:szCs w:val="22"/>
        </w:rPr>
      </w:pPr>
    </w:p>
    <w:p w14:paraId="5C167833" w14:textId="77777777" w:rsidR="00280FAC" w:rsidRPr="004262DC" w:rsidRDefault="00280FAC" w:rsidP="00280FAC">
      <w:pPr>
        <w:pStyle w:val="Heading1"/>
        <w:pageBreakBefore/>
        <w:jc w:val="both"/>
        <w:rPr>
          <w:rFonts w:ascii="Arial" w:hAnsi="Arial" w:cs="Arial"/>
          <w:color w:val="auto"/>
          <w:sz w:val="24"/>
          <w:szCs w:val="24"/>
        </w:rPr>
      </w:pPr>
      <w:r w:rsidRPr="004262DC">
        <w:rPr>
          <w:rFonts w:ascii="Arial" w:hAnsi="Arial" w:cs="Arial"/>
          <w:color w:val="auto"/>
          <w:sz w:val="24"/>
          <w:szCs w:val="24"/>
        </w:rPr>
        <w:lastRenderedPageBreak/>
        <w:t>Appendix D. Study-level MMAT 2018 critical appraisal</w:t>
      </w:r>
    </w:p>
    <w:p w14:paraId="650E3263" w14:textId="77777777" w:rsidR="00280FAC" w:rsidRPr="005F7DBA" w:rsidRDefault="00280FAC" w:rsidP="00280FAC">
      <w:pPr>
        <w:spacing w:line="360" w:lineRule="auto"/>
        <w:jc w:val="both"/>
        <w:rPr>
          <w:rFonts w:ascii="Arial" w:hAnsi="Arial" w:cs="Arial"/>
          <w:i/>
          <w:sz w:val="22"/>
          <w:szCs w:val="22"/>
        </w:rPr>
      </w:pPr>
      <w:r w:rsidRPr="005F7DBA">
        <w:rPr>
          <w:rFonts w:ascii="Arial" w:hAnsi="Arial" w:cs="Arial"/>
          <w:sz w:val="22"/>
          <w:szCs w:val="22"/>
        </w:rPr>
        <w:t>Legend: S1 = clear research question; S2 = collected data address the research question; C1–C5 = the five design-specific MMAT criteria; Y = yes; N = no; CT = cannot tell. The table presents criterion-level judgements rather than numerical scores or study-level quality grades.</w:t>
      </w:r>
    </w:p>
    <w:p w14:paraId="6CAFF573" w14:textId="77777777" w:rsidR="00280FAC" w:rsidRPr="00245A8B" w:rsidRDefault="00280FAC" w:rsidP="00280FAC">
      <w:pPr>
        <w:jc w:val="both"/>
        <w:rPr>
          <w:rFonts w:ascii="Arial" w:hAnsi="Arial" w:cs="Arial"/>
          <w:sz w:val="22"/>
          <w:szCs w:val="22"/>
        </w:rPr>
      </w:pPr>
    </w:p>
    <w:tbl>
      <w:tblPr>
        <w:tblStyle w:val="GridTable1Light-Accent1"/>
        <w:tblW w:w="13676" w:type="dxa"/>
        <w:tblLook w:val="04A0" w:firstRow="1" w:lastRow="0" w:firstColumn="1" w:lastColumn="0" w:noHBand="0" w:noVBand="1"/>
      </w:tblPr>
      <w:tblGrid>
        <w:gridCol w:w="1941"/>
        <w:gridCol w:w="1773"/>
        <w:gridCol w:w="506"/>
        <w:gridCol w:w="506"/>
        <w:gridCol w:w="506"/>
        <w:gridCol w:w="506"/>
        <w:gridCol w:w="506"/>
        <w:gridCol w:w="506"/>
        <w:gridCol w:w="1183"/>
        <w:gridCol w:w="5743"/>
      </w:tblGrid>
      <w:tr w:rsidR="00280FAC" w14:paraId="4D519E47" w14:textId="77777777" w:rsidTr="007A16CA">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941" w:type="dxa"/>
          </w:tcPr>
          <w:p w14:paraId="356835CA" w14:textId="77777777" w:rsidR="00280FAC" w:rsidRPr="004544C8" w:rsidRDefault="00280FAC" w:rsidP="007A16CA">
            <w:pPr>
              <w:spacing w:line="360" w:lineRule="auto"/>
              <w:rPr>
                <w:rFonts w:ascii="Arial" w:hAnsi="Arial" w:cs="Arial"/>
                <w:b w:val="0"/>
              </w:rPr>
            </w:pPr>
            <w:r w:rsidRPr="004544C8">
              <w:rPr>
                <w:rFonts w:ascii="Arial" w:hAnsi="Arial" w:cs="Arial"/>
                <w:b w:val="0"/>
              </w:rPr>
              <w:t>Study</w:t>
            </w:r>
          </w:p>
        </w:tc>
        <w:tc>
          <w:tcPr>
            <w:tcW w:w="1773" w:type="dxa"/>
          </w:tcPr>
          <w:p w14:paraId="79E44758"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MMAT category</w:t>
            </w:r>
          </w:p>
        </w:tc>
        <w:tc>
          <w:tcPr>
            <w:tcW w:w="506" w:type="dxa"/>
          </w:tcPr>
          <w:p w14:paraId="4591E751"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S1</w:t>
            </w:r>
          </w:p>
        </w:tc>
        <w:tc>
          <w:tcPr>
            <w:tcW w:w="506" w:type="dxa"/>
          </w:tcPr>
          <w:p w14:paraId="0963DB15"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S2</w:t>
            </w:r>
          </w:p>
        </w:tc>
        <w:tc>
          <w:tcPr>
            <w:tcW w:w="506" w:type="dxa"/>
          </w:tcPr>
          <w:p w14:paraId="56D86123"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C1</w:t>
            </w:r>
          </w:p>
        </w:tc>
        <w:tc>
          <w:tcPr>
            <w:tcW w:w="506" w:type="dxa"/>
          </w:tcPr>
          <w:p w14:paraId="46135182"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C2</w:t>
            </w:r>
          </w:p>
        </w:tc>
        <w:tc>
          <w:tcPr>
            <w:tcW w:w="506" w:type="dxa"/>
          </w:tcPr>
          <w:p w14:paraId="6E2AC13D"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C3</w:t>
            </w:r>
          </w:p>
        </w:tc>
        <w:tc>
          <w:tcPr>
            <w:tcW w:w="506" w:type="dxa"/>
          </w:tcPr>
          <w:p w14:paraId="79443944"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C4</w:t>
            </w:r>
          </w:p>
        </w:tc>
        <w:tc>
          <w:tcPr>
            <w:tcW w:w="1183" w:type="dxa"/>
          </w:tcPr>
          <w:p w14:paraId="4955EC80"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C5</w:t>
            </w:r>
          </w:p>
        </w:tc>
        <w:tc>
          <w:tcPr>
            <w:tcW w:w="5743" w:type="dxa"/>
          </w:tcPr>
          <w:p w14:paraId="005EBBA7" w14:textId="77777777" w:rsidR="00280FAC" w:rsidRPr="005F7DBA" w:rsidRDefault="00280FAC" w:rsidP="007A16C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Criterion-based justification</w:t>
            </w:r>
          </w:p>
        </w:tc>
      </w:tr>
      <w:tr w:rsidR="00280FAC" w14:paraId="3C814148" w14:textId="77777777" w:rsidTr="007A16CA">
        <w:trPr>
          <w:trHeight w:val="325"/>
        </w:trPr>
        <w:tc>
          <w:tcPr>
            <w:cnfStyle w:val="001000000000" w:firstRow="0" w:lastRow="0" w:firstColumn="1" w:lastColumn="0" w:oddVBand="0" w:evenVBand="0" w:oddHBand="0" w:evenHBand="0" w:firstRowFirstColumn="0" w:firstRowLastColumn="0" w:lastRowFirstColumn="0" w:lastRowLastColumn="0"/>
            <w:tcW w:w="1941" w:type="dxa"/>
          </w:tcPr>
          <w:p w14:paraId="4F31F4DE" w14:textId="77777777" w:rsidR="00280FAC" w:rsidRPr="004544C8" w:rsidRDefault="00280FAC" w:rsidP="007A16CA">
            <w:pPr>
              <w:spacing w:line="360" w:lineRule="auto"/>
              <w:rPr>
                <w:rFonts w:ascii="Arial" w:hAnsi="Arial" w:cs="Arial"/>
                <w:b w:val="0"/>
              </w:rPr>
            </w:pPr>
            <w:r w:rsidRPr="004544C8">
              <w:rPr>
                <w:rFonts w:ascii="Arial" w:hAnsi="Arial" w:cs="Arial"/>
                <w:b w:val="0"/>
              </w:rPr>
              <w:t>Geng et al. (2013)</w:t>
            </w:r>
          </w:p>
        </w:tc>
        <w:tc>
          <w:tcPr>
            <w:tcW w:w="1773" w:type="dxa"/>
          </w:tcPr>
          <w:p w14:paraId="4A8BC02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Qualitative</w:t>
            </w:r>
          </w:p>
        </w:tc>
        <w:tc>
          <w:tcPr>
            <w:tcW w:w="506" w:type="dxa"/>
          </w:tcPr>
          <w:p w14:paraId="6E57EB17"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DE2B76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DA2F9E8"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05A0D0D"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09B3886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4784F21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524772C8"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CT</w:t>
            </w:r>
          </w:p>
        </w:tc>
        <w:tc>
          <w:tcPr>
            <w:tcW w:w="5743" w:type="dxa"/>
          </w:tcPr>
          <w:p w14:paraId="1A0B3F1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Strong case description and coherent analysis; researcher influence/reflexivity insufficiently reported.</w:t>
            </w:r>
          </w:p>
        </w:tc>
      </w:tr>
      <w:tr w:rsidR="00280FAC" w14:paraId="7151AE24" w14:textId="77777777" w:rsidTr="007A16CA">
        <w:trPr>
          <w:trHeight w:val="650"/>
        </w:trPr>
        <w:tc>
          <w:tcPr>
            <w:cnfStyle w:val="001000000000" w:firstRow="0" w:lastRow="0" w:firstColumn="1" w:lastColumn="0" w:oddVBand="0" w:evenVBand="0" w:oddHBand="0" w:evenHBand="0" w:firstRowFirstColumn="0" w:firstRowLastColumn="0" w:lastRowFirstColumn="0" w:lastRowLastColumn="0"/>
            <w:tcW w:w="1941" w:type="dxa"/>
          </w:tcPr>
          <w:p w14:paraId="45B249C3" w14:textId="77777777" w:rsidR="00280FAC" w:rsidRPr="004544C8" w:rsidRDefault="00280FAC" w:rsidP="007A16CA">
            <w:pPr>
              <w:spacing w:line="360" w:lineRule="auto"/>
              <w:rPr>
                <w:rFonts w:ascii="Arial" w:hAnsi="Arial" w:cs="Arial"/>
                <w:b w:val="0"/>
              </w:rPr>
            </w:pPr>
            <w:r w:rsidRPr="004544C8">
              <w:rPr>
                <w:rFonts w:ascii="Arial" w:hAnsi="Arial" w:cs="Arial"/>
                <w:b w:val="0"/>
              </w:rPr>
              <w:t>Suwartha and Sari (2013)</w:t>
            </w:r>
          </w:p>
        </w:tc>
        <w:tc>
          <w:tcPr>
            <w:tcW w:w="1773" w:type="dxa"/>
          </w:tcPr>
          <w:p w14:paraId="63C4992D"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Quantitative descriptive</w:t>
            </w:r>
          </w:p>
        </w:tc>
        <w:tc>
          <w:tcPr>
            <w:tcW w:w="506" w:type="dxa"/>
          </w:tcPr>
          <w:p w14:paraId="08353D4D"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7D7D604D"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4DE4660E"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06" w:type="dxa"/>
          </w:tcPr>
          <w:p w14:paraId="4E2BF92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0801633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8483B5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4618D32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CT</w:t>
            </w:r>
          </w:p>
        </w:tc>
        <w:tc>
          <w:tcPr>
            <w:tcW w:w="5743" w:type="dxa"/>
          </w:tcPr>
          <w:p w14:paraId="4168ECD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Indicator data are relevant and consistently analysed; sampling/representativeness and non-response are not fully applicable or reported.</w:t>
            </w:r>
          </w:p>
        </w:tc>
      </w:tr>
      <w:tr w:rsidR="00280FAC" w14:paraId="4452B263" w14:textId="77777777" w:rsidTr="007A16CA">
        <w:trPr>
          <w:trHeight w:val="325"/>
        </w:trPr>
        <w:tc>
          <w:tcPr>
            <w:cnfStyle w:val="001000000000" w:firstRow="0" w:lastRow="0" w:firstColumn="1" w:lastColumn="0" w:oddVBand="0" w:evenVBand="0" w:oddHBand="0" w:evenHBand="0" w:firstRowFirstColumn="0" w:firstRowLastColumn="0" w:lastRowFirstColumn="0" w:lastRowLastColumn="0"/>
            <w:tcW w:w="1941" w:type="dxa"/>
          </w:tcPr>
          <w:p w14:paraId="65929F53" w14:textId="77777777" w:rsidR="00280FAC" w:rsidRPr="004544C8" w:rsidRDefault="00280FAC" w:rsidP="007A16CA">
            <w:pPr>
              <w:spacing w:line="360" w:lineRule="auto"/>
              <w:rPr>
                <w:rFonts w:ascii="Arial" w:hAnsi="Arial" w:cs="Arial"/>
                <w:b w:val="0"/>
              </w:rPr>
            </w:pPr>
            <w:r w:rsidRPr="004544C8">
              <w:rPr>
                <w:rFonts w:ascii="Arial" w:hAnsi="Arial" w:cs="Arial"/>
                <w:b w:val="0"/>
              </w:rPr>
              <w:t>Nejati and Nejati (2013)</w:t>
            </w:r>
          </w:p>
        </w:tc>
        <w:tc>
          <w:tcPr>
            <w:tcW w:w="1773" w:type="dxa"/>
          </w:tcPr>
          <w:p w14:paraId="44F723EB"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Quantitative descriptive</w:t>
            </w:r>
          </w:p>
        </w:tc>
        <w:tc>
          <w:tcPr>
            <w:tcW w:w="506" w:type="dxa"/>
          </w:tcPr>
          <w:p w14:paraId="5829D65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811D8D8"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FB8CA9C"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F418AFB"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007D7D87"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69455C5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24F352B7"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743" w:type="dxa"/>
          </w:tcPr>
          <w:p w14:paraId="25B8F9C5"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Adequate student sample, validated measures and appropriate factor/reliability analyses.</w:t>
            </w:r>
          </w:p>
        </w:tc>
      </w:tr>
      <w:tr w:rsidR="00280FAC" w14:paraId="0AD1CB26" w14:textId="77777777" w:rsidTr="007A16CA">
        <w:trPr>
          <w:trHeight w:val="650"/>
        </w:trPr>
        <w:tc>
          <w:tcPr>
            <w:cnfStyle w:val="001000000000" w:firstRow="0" w:lastRow="0" w:firstColumn="1" w:lastColumn="0" w:oddVBand="0" w:evenVBand="0" w:oddHBand="0" w:evenHBand="0" w:firstRowFirstColumn="0" w:firstRowLastColumn="0" w:lastRowFirstColumn="0" w:lastRowLastColumn="0"/>
            <w:tcW w:w="1941" w:type="dxa"/>
          </w:tcPr>
          <w:p w14:paraId="3392662B" w14:textId="77777777" w:rsidR="00280FAC" w:rsidRPr="004544C8" w:rsidRDefault="00280FAC" w:rsidP="007A16CA">
            <w:pPr>
              <w:spacing w:line="360" w:lineRule="auto"/>
              <w:rPr>
                <w:rFonts w:ascii="Arial" w:hAnsi="Arial" w:cs="Arial"/>
                <w:b w:val="0"/>
              </w:rPr>
            </w:pPr>
            <w:r w:rsidRPr="004544C8">
              <w:rPr>
                <w:rFonts w:ascii="Arial" w:hAnsi="Arial" w:cs="Arial"/>
                <w:b w:val="0"/>
              </w:rPr>
              <w:t>Lozano et al. (2015)</w:t>
            </w:r>
          </w:p>
        </w:tc>
        <w:tc>
          <w:tcPr>
            <w:tcW w:w="1773" w:type="dxa"/>
          </w:tcPr>
          <w:p w14:paraId="1266502C"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Quantitative descriptive</w:t>
            </w:r>
          </w:p>
        </w:tc>
        <w:tc>
          <w:tcPr>
            <w:tcW w:w="506" w:type="dxa"/>
          </w:tcPr>
          <w:p w14:paraId="7A1E659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7B2B9E1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35C51D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06" w:type="dxa"/>
          </w:tcPr>
          <w:p w14:paraId="17BC603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0C4509C"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76554BB5"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4146533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41F2632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Large international survey with coherent analysis; institutional self-selection and non-response limit representativeness.</w:t>
            </w:r>
          </w:p>
        </w:tc>
      </w:tr>
      <w:tr w:rsidR="00280FAC" w14:paraId="5270E9A0" w14:textId="77777777" w:rsidTr="007A16CA">
        <w:trPr>
          <w:trHeight w:val="325"/>
        </w:trPr>
        <w:tc>
          <w:tcPr>
            <w:cnfStyle w:val="001000000000" w:firstRow="0" w:lastRow="0" w:firstColumn="1" w:lastColumn="0" w:oddVBand="0" w:evenVBand="0" w:oddHBand="0" w:evenHBand="0" w:firstRowFirstColumn="0" w:firstRowLastColumn="0" w:lastRowFirstColumn="0" w:lastRowLastColumn="0"/>
            <w:tcW w:w="1941" w:type="dxa"/>
          </w:tcPr>
          <w:p w14:paraId="2D6B2255" w14:textId="77777777" w:rsidR="00280FAC" w:rsidRPr="004544C8" w:rsidRDefault="00280FAC" w:rsidP="007A16CA">
            <w:pPr>
              <w:spacing w:line="360" w:lineRule="auto"/>
              <w:rPr>
                <w:rFonts w:ascii="Arial" w:hAnsi="Arial" w:cs="Arial"/>
                <w:b w:val="0"/>
              </w:rPr>
            </w:pPr>
            <w:r w:rsidRPr="004544C8">
              <w:rPr>
                <w:rFonts w:ascii="Arial" w:hAnsi="Arial" w:cs="Arial"/>
                <w:b w:val="0"/>
              </w:rPr>
              <w:t>Dagiliūtė et al. (2018)</w:t>
            </w:r>
          </w:p>
        </w:tc>
        <w:tc>
          <w:tcPr>
            <w:tcW w:w="1773" w:type="dxa"/>
          </w:tcPr>
          <w:p w14:paraId="0210F33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Quantitative descriptive</w:t>
            </w:r>
          </w:p>
        </w:tc>
        <w:tc>
          <w:tcPr>
            <w:tcW w:w="506" w:type="dxa"/>
          </w:tcPr>
          <w:p w14:paraId="5F4E703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F350BBC"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11101CE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231186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0818BB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4D8FD9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3384453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746143B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Comparative design and appropriate measures; self-report and cross-sectional data limit causal inference.</w:t>
            </w:r>
          </w:p>
        </w:tc>
      </w:tr>
      <w:tr w:rsidR="00280FAC" w14:paraId="685BBA4C" w14:textId="77777777" w:rsidTr="007A16CA">
        <w:trPr>
          <w:trHeight w:val="325"/>
        </w:trPr>
        <w:tc>
          <w:tcPr>
            <w:cnfStyle w:val="001000000000" w:firstRow="0" w:lastRow="0" w:firstColumn="1" w:lastColumn="0" w:oddVBand="0" w:evenVBand="0" w:oddHBand="0" w:evenHBand="0" w:firstRowFirstColumn="0" w:firstRowLastColumn="0" w:lastRowFirstColumn="0" w:lastRowLastColumn="0"/>
            <w:tcW w:w="1941" w:type="dxa"/>
          </w:tcPr>
          <w:p w14:paraId="50BF870D" w14:textId="77777777" w:rsidR="00280FAC" w:rsidRPr="004544C8" w:rsidRDefault="00280FAC" w:rsidP="007A16CA">
            <w:pPr>
              <w:spacing w:line="360" w:lineRule="auto"/>
              <w:rPr>
                <w:rFonts w:ascii="Arial" w:hAnsi="Arial" w:cs="Arial"/>
                <w:b w:val="0"/>
              </w:rPr>
            </w:pPr>
            <w:r w:rsidRPr="004544C8">
              <w:rPr>
                <w:rFonts w:ascii="Arial" w:hAnsi="Arial" w:cs="Arial"/>
                <w:b w:val="0"/>
              </w:rPr>
              <w:t>Aleixo et al. (2018)</w:t>
            </w:r>
          </w:p>
        </w:tc>
        <w:tc>
          <w:tcPr>
            <w:tcW w:w="1773" w:type="dxa"/>
          </w:tcPr>
          <w:p w14:paraId="5EACD51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Qualitative</w:t>
            </w:r>
          </w:p>
        </w:tc>
        <w:tc>
          <w:tcPr>
            <w:tcW w:w="506" w:type="dxa"/>
          </w:tcPr>
          <w:p w14:paraId="2777A54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40B768C"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6CF9AB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56F7815"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05EA568"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9FC503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1F9E01C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0BB636A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Multiple stakeholder perspectives and coherent thematic interpretation; reflexivity is only partly reported.</w:t>
            </w:r>
          </w:p>
        </w:tc>
      </w:tr>
      <w:tr w:rsidR="00280FAC" w14:paraId="75759730" w14:textId="77777777" w:rsidTr="007A16CA">
        <w:trPr>
          <w:trHeight w:val="697"/>
        </w:trPr>
        <w:tc>
          <w:tcPr>
            <w:cnfStyle w:val="001000000000" w:firstRow="0" w:lastRow="0" w:firstColumn="1" w:lastColumn="0" w:oddVBand="0" w:evenVBand="0" w:oddHBand="0" w:evenHBand="0" w:firstRowFirstColumn="0" w:firstRowLastColumn="0" w:lastRowFirstColumn="0" w:lastRowLastColumn="0"/>
            <w:tcW w:w="1941" w:type="dxa"/>
          </w:tcPr>
          <w:p w14:paraId="2206EBB3" w14:textId="77777777" w:rsidR="00280FAC" w:rsidRPr="004544C8" w:rsidRDefault="00280FAC" w:rsidP="007A16CA">
            <w:pPr>
              <w:spacing w:line="360" w:lineRule="auto"/>
              <w:rPr>
                <w:rFonts w:ascii="Arial" w:hAnsi="Arial" w:cs="Arial"/>
                <w:b w:val="0"/>
              </w:rPr>
            </w:pPr>
            <w:r w:rsidRPr="004544C8">
              <w:rPr>
                <w:rFonts w:ascii="Arial" w:hAnsi="Arial" w:cs="Arial"/>
                <w:b w:val="0"/>
              </w:rPr>
              <w:t>Bulunga and Thondhlana (2018)</w:t>
            </w:r>
          </w:p>
        </w:tc>
        <w:tc>
          <w:tcPr>
            <w:tcW w:w="1773" w:type="dxa"/>
          </w:tcPr>
          <w:p w14:paraId="7E8CEFB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Non-randomised</w:t>
            </w:r>
          </w:p>
        </w:tc>
        <w:tc>
          <w:tcPr>
            <w:tcW w:w="506" w:type="dxa"/>
          </w:tcPr>
          <w:p w14:paraId="7FD445F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0D8C3D7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81DDA83"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0C54B1D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06" w:type="dxa"/>
          </w:tcPr>
          <w:p w14:paraId="2837BF0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7DA755C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1183" w:type="dxa"/>
          </w:tcPr>
          <w:p w14:paraId="17930AB7"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743" w:type="dxa"/>
          </w:tcPr>
          <w:p w14:paraId="7F0ECA58"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Real-world intervention and relevant outcomes; allocation and control of concurrent influences constrain attribution.</w:t>
            </w:r>
          </w:p>
        </w:tc>
      </w:tr>
      <w:tr w:rsidR="00280FAC" w14:paraId="4EF42607" w14:textId="77777777" w:rsidTr="007A16CA">
        <w:trPr>
          <w:trHeight w:val="650"/>
        </w:trPr>
        <w:tc>
          <w:tcPr>
            <w:cnfStyle w:val="001000000000" w:firstRow="0" w:lastRow="0" w:firstColumn="1" w:lastColumn="0" w:oddVBand="0" w:evenVBand="0" w:oddHBand="0" w:evenHBand="0" w:firstRowFirstColumn="0" w:firstRowLastColumn="0" w:lastRowFirstColumn="0" w:lastRowLastColumn="0"/>
            <w:tcW w:w="1941" w:type="dxa"/>
          </w:tcPr>
          <w:p w14:paraId="3B360B24" w14:textId="77777777" w:rsidR="00280FAC" w:rsidRPr="004544C8" w:rsidRDefault="00280FAC" w:rsidP="007A16CA">
            <w:pPr>
              <w:spacing w:line="360" w:lineRule="auto"/>
              <w:rPr>
                <w:rFonts w:ascii="Arial" w:hAnsi="Arial" w:cs="Arial"/>
                <w:b w:val="0"/>
              </w:rPr>
            </w:pPr>
            <w:r w:rsidRPr="004544C8">
              <w:rPr>
                <w:rFonts w:ascii="Arial" w:hAnsi="Arial" w:cs="Arial"/>
                <w:b w:val="0"/>
              </w:rPr>
              <w:lastRenderedPageBreak/>
              <w:t>Leal Filho et al. (2019)</w:t>
            </w:r>
          </w:p>
        </w:tc>
        <w:tc>
          <w:tcPr>
            <w:tcW w:w="1773" w:type="dxa"/>
          </w:tcPr>
          <w:p w14:paraId="235643E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Quantitative descriptive</w:t>
            </w:r>
          </w:p>
        </w:tc>
        <w:tc>
          <w:tcPr>
            <w:tcW w:w="506" w:type="dxa"/>
          </w:tcPr>
          <w:p w14:paraId="3F7827B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7F97C0A3"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7BC61968"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06" w:type="dxa"/>
          </w:tcPr>
          <w:p w14:paraId="79C9B61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4A5AC427"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1723F08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58CE1A4B"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75D3872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Multi-country empirical coverage and consistent comparisons; voluntary institutional participation may introduce selection bias.</w:t>
            </w:r>
          </w:p>
        </w:tc>
      </w:tr>
      <w:tr w:rsidR="00280FAC" w14:paraId="0A7A5C59" w14:textId="77777777" w:rsidTr="007A16CA">
        <w:trPr>
          <w:trHeight w:val="650"/>
        </w:trPr>
        <w:tc>
          <w:tcPr>
            <w:cnfStyle w:val="001000000000" w:firstRow="0" w:lastRow="0" w:firstColumn="1" w:lastColumn="0" w:oddVBand="0" w:evenVBand="0" w:oddHBand="0" w:evenHBand="0" w:firstRowFirstColumn="0" w:firstRowLastColumn="0" w:lastRowFirstColumn="0" w:lastRowLastColumn="0"/>
            <w:tcW w:w="1941" w:type="dxa"/>
          </w:tcPr>
          <w:p w14:paraId="0763ABFE" w14:textId="77777777" w:rsidR="00280FAC" w:rsidRPr="004544C8" w:rsidRDefault="00280FAC" w:rsidP="007A16CA">
            <w:pPr>
              <w:spacing w:line="360" w:lineRule="auto"/>
              <w:rPr>
                <w:rFonts w:ascii="Arial" w:hAnsi="Arial" w:cs="Arial"/>
                <w:b w:val="0"/>
              </w:rPr>
            </w:pPr>
            <w:r w:rsidRPr="004544C8">
              <w:rPr>
                <w:rFonts w:ascii="Arial" w:hAnsi="Arial" w:cs="Arial"/>
                <w:b w:val="0"/>
              </w:rPr>
              <w:t>Awuzie et al. (2023)</w:t>
            </w:r>
          </w:p>
        </w:tc>
        <w:tc>
          <w:tcPr>
            <w:tcW w:w="1773" w:type="dxa"/>
          </w:tcPr>
          <w:p w14:paraId="15C9F3C3"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Qualitative</w:t>
            </w:r>
          </w:p>
        </w:tc>
        <w:tc>
          <w:tcPr>
            <w:tcW w:w="506" w:type="dxa"/>
          </w:tcPr>
          <w:p w14:paraId="7F99341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36F3ACE"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4D2FC76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D00A63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CF5348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45EC900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1F5F5CB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28742348"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Design and analysis fit the implementation question; single-site scope and limited reflexivity constrain transferability.</w:t>
            </w:r>
          </w:p>
        </w:tc>
      </w:tr>
      <w:tr w:rsidR="00280FAC" w14:paraId="591D2EEA" w14:textId="77777777" w:rsidTr="007A16CA">
        <w:trPr>
          <w:trHeight w:val="650"/>
        </w:trPr>
        <w:tc>
          <w:tcPr>
            <w:cnfStyle w:val="001000000000" w:firstRow="0" w:lastRow="0" w:firstColumn="1" w:lastColumn="0" w:oddVBand="0" w:evenVBand="0" w:oddHBand="0" w:evenHBand="0" w:firstRowFirstColumn="0" w:firstRowLastColumn="0" w:lastRowFirstColumn="0" w:lastRowLastColumn="0"/>
            <w:tcW w:w="1941" w:type="dxa"/>
          </w:tcPr>
          <w:p w14:paraId="133577FC" w14:textId="77777777" w:rsidR="00280FAC" w:rsidRPr="004544C8" w:rsidRDefault="00280FAC" w:rsidP="007A16CA">
            <w:pPr>
              <w:spacing w:line="360" w:lineRule="auto"/>
              <w:rPr>
                <w:rFonts w:ascii="Arial" w:hAnsi="Arial" w:cs="Arial"/>
                <w:b w:val="0"/>
              </w:rPr>
            </w:pPr>
            <w:r w:rsidRPr="004544C8">
              <w:rPr>
                <w:rFonts w:ascii="Arial" w:hAnsi="Arial" w:cs="Arial"/>
                <w:b w:val="0"/>
              </w:rPr>
              <w:t>Jimu and Rennkamp (2024)</w:t>
            </w:r>
          </w:p>
        </w:tc>
        <w:tc>
          <w:tcPr>
            <w:tcW w:w="1773" w:type="dxa"/>
          </w:tcPr>
          <w:p w14:paraId="0548B42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Mixed methods</w:t>
            </w:r>
          </w:p>
        </w:tc>
        <w:tc>
          <w:tcPr>
            <w:tcW w:w="506" w:type="dxa"/>
          </w:tcPr>
          <w:p w14:paraId="5132DE3B"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784568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1AF82B6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DA59DEE"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15A87DF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7BF44F27"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668D8BBE"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5F36EC8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Interviews, focus groups, survey and documents provide triangulation; integration across components is not fully formalised.</w:t>
            </w:r>
          </w:p>
        </w:tc>
      </w:tr>
      <w:tr w:rsidR="00280FAC" w14:paraId="0D7EBC1D" w14:textId="77777777" w:rsidTr="007A16CA">
        <w:trPr>
          <w:trHeight w:val="697"/>
        </w:trPr>
        <w:tc>
          <w:tcPr>
            <w:cnfStyle w:val="001000000000" w:firstRow="0" w:lastRow="0" w:firstColumn="1" w:lastColumn="0" w:oddVBand="0" w:evenVBand="0" w:oddHBand="0" w:evenHBand="0" w:firstRowFirstColumn="0" w:firstRowLastColumn="0" w:lastRowFirstColumn="0" w:lastRowLastColumn="0"/>
            <w:tcW w:w="1941" w:type="dxa"/>
          </w:tcPr>
          <w:p w14:paraId="4F9DBD78" w14:textId="77777777" w:rsidR="00280FAC" w:rsidRPr="004544C8" w:rsidRDefault="00280FAC" w:rsidP="007A16CA">
            <w:pPr>
              <w:spacing w:line="360" w:lineRule="auto"/>
              <w:rPr>
                <w:rFonts w:ascii="Arial" w:hAnsi="Arial" w:cs="Arial"/>
                <w:b w:val="0"/>
              </w:rPr>
            </w:pPr>
            <w:r w:rsidRPr="004544C8">
              <w:rPr>
                <w:rFonts w:ascii="Arial" w:hAnsi="Arial" w:cs="Arial"/>
                <w:b w:val="0"/>
              </w:rPr>
              <w:t>Musakuro and de Klerk (2024)</w:t>
            </w:r>
          </w:p>
        </w:tc>
        <w:tc>
          <w:tcPr>
            <w:tcW w:w="1773" w:type="dxa"/>
          </w:tcPr>
          <w:p w14:paraId="717A851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Mixed methods</w:t>
            </w:r>
          </w:p>
        </w:tc>
        <w:tc>
          <w:tcPr>
            <w:tcW w:w="506" w:type="dxa"/>
          </w:tcPr>
          <w:p w14:paraId="04510E7D"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4A5955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4F602DA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7C57A0D"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DE818A5"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C06363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555A2E93"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7FB9946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Stakeholder evidence addresses perceptions and governance; mixed-method integration and cross-sectional inference are limited.</w:t>
            </w:r>
          </w:p>
        </w:tc>
      </w:tr>
      <w:tr w:rsidR="00280FAC" w14:paraId="54FEBDB9" w14:textId="77777777" w:rsidTr="007A16CA">
        <w:trPr>
          <w:trHeight w:val="325"/>
        </w:trPr>
        <w:tc>
          <w:tcPr>
            <w:cnfStyle w:val="001000000000" w:firstRow="0" w:lastRow="0" w:firstColumn="1" w:lastColumn="0" w:oddVBand="0" w:evenVBand="0" w:oddHBand="0" w:evenHBand="0" w:firstRowFirstColumn="0" w:firstRowLastColumn="0" w:lastRowFirstColumn="0" w:lastRowLastColumn="0"/>
            <w:tcW w:w="1941" w:type="dxa"/>
          </w:tcPr>
          <w:p w14:paraId="52035AB5" w14:textId="77777777" w:rsidR="00280FAC" w:rsidRPr="004544C8" w:rsidRDefault="00280FAC" w:rsidP="007A16CA">
            <w:pPr>
              <w:spacing w:line="360" w:lineRule="auto"/>
              <w:rPr>
                <w:rFonts w:ascii="Arial" w:hAnsi="Arial" w:cs="Arial"/>
                <w:b w:val="0"/>
              </w:rPr>
            </w:pPr>
            <w:r w:rsidRPr="004544C8">
              <w:rPr>
                <w:rFonts w:ascii="Arial" w:hAnsi="Arial" w:cs="Arial"/>
                <w:b w:val="0"/>
              </w:rPr>
              <w:t>Shange et al. (2024)</w:t>
            </w:r>
          </w:p>
        </w:tc>
        <w:tc>
          <w:tcPr>
            <w:tcW w:w="1773" w:type="dxa"/>
          </w:tcPr>
          <w:p w14:paraId="65BBB81B"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Qualitative</w:t>
            </w:r>
          </w:p>
        </w:tc>
        <w:tc>
          <w:tcPr>
            <w:tcW w:w="506" w:type="dxa"/>
          </w:tcPr>
          <w:p w14:paraId="6D92C24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323492F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5F6A76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02820C6B"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223161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713A3E3"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37830E0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39BE4F8E"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Coherent qualitative account of finance and entrepreneurship; context specificity limits broader inference.</w:t>
            </w:r>
          </w:p>
        </w:tc>
      </w:tr>
      <w:tr w:rsidR="00280FAC" w14:paraId="7C57CEF8" w14:textId="77777777" w:rsidTr="007A16CA">
        <w:trPr>
          <w:trHeight w:val="650"/>
        </w:trPr>
        <w:tc>
          <w:tcPr>
            <w:cnfStyle w:val="001000000000" w:firstRow="0" w:lastRow="0" w:firstColumn="1" w:lastColumn="0" w:oddVBand="0" w:evenVBand="0" w:oddHBand="0" w:evenHBand="0" w:firstRowFirstColumn="0" w:firstRowLastColumn="0" w:lastRowFirstColumn="0" w:lastRowLastColumn="0"/>
            <w:tcW w:w="1941" w:type="dxa"/>
          </w:tcPr>
          <w:p w14:paraId="4BC13274" w14:textId="77777777" w:rsidR="00280FAC" w:rsidRPr="004544C8" w:rsidRDefault="00280FAC" w:rsidP="007A16CA">
            <w:pPr>
              <w:spacing w:line="360" w:lineRule="auto"/>
              <w:rPr>
                <w:rFonts w:ascii="Arial" w:hAnsi="Arial" w:cs="Arial"/>
                <w:b w:val="0"/>
              </w:rPr>
            </w:pPr>
            <w:r w:rsidRPr="004544C8">
              <w:rPr>
                <w:rFonts w:ascii="Arial" w:hAnsi="Arial" w:cs="Arial"/>
                <w:b w:val="0"/>
              </w:rPr>
              <w:t>Shange et al. (2025)</w:t>
            </w:r>
          </w:p>
        </w:tc>
        <w:tc>
          <w:tcPr>
            <w:tcW w:w="1773" w:type="dxa"/>
          </w:tcPr>
          <w:p w14:paraId="4DB97A9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Qualitative</w:t>
            </w:r>
          </w:p>
        </w:tc>
        <w:tc>
          <w:tcPr>
            <w:tcW w:w="506" w:type="dxa"/>
          </w:tcPr>
          <w:p w14:paraId="5FA09C4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F98ADE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0F53794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105FE818"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4A5791A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1C7B583C"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42F4C1D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42BD89AF"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Methods align with engagement and implementation questions; transferability and reflexivity require cautious interpretation.</w:t>
            </w:r>
          </w:p>
        </w:tc>
      </w:tr>
      <w:tr w:rsidR="00280FAC" w14:paraId="3ECDCF21" w14:textId="77777777" w:rsidTr="007A16CA">
        <w:trPr>
          <w:trHeight w:val="650"/>
        </w:trPr>
        <w:tc>
          <w:tcPr>
            <w:cnfStyle w:val="001000000000" w:firstRow="0" w:lastRow="0" w:firstColumn="1" w:lastColumn="0" w:oddVBand="0" w:evenVBand="0" w:oddHBand="0" w:evenHBand="0" w:firstRowFirstColumn="0" w:firstRowLastColumn="0" w:lastRowFirstColumn="0" w:lastRowLastColumn="0"/>
            <w:tcW w:w="1941" w:type="dxa"/>
          </w:tcPr>
          <w:p w14:paraId="4FABFC79" w14:textId="77777777" w:rsidR="00280FAC" w:rsidRPr="004544C8" w:rsidRDefault="00280FAC" w:rsidP="007A16CA">
            <w:pPr>
              <w:spacing w:line="360" w:lineRule="auto"/>
              <w:rPr>
                <w:rFonts w:ascii="Arial" w:hAnsi="Arial" w:cs="Arial"/>
                <w:b w:val="0"/>
              </w:rPr>
            </w:pPr>
            <w:r w:rsidRPr="004544C8">
              <w:rPr>
                <w:rFonts w:ascii="Arial" w:hAnsi="Arial" w:cs="Arial"/>
                <w:b w:val="0"/>
              </w:rPr>
              <w:t>Gherheș and Cernicova-Bucă (2025)</w:t>
            </w:r>
          </w:p>
        </w:tc>
        <w:tc>
          <w:tcPr>
            <w:tcW w:w="1773" w:type="dxa"/>
          </w:tcPr>
          <w:p w14:paraId="14019BE1"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Non-randomised</w:t>
            </w:r>
          </w:p>
        </w:tc>
        <w:tc>
          <w:tcPr>
            <w:tcW w:w="506" w:type="dxa"/>
          </w:tcPr>
          <w:p w14:paraId="1CC5CC2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6B34A2BE"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D5438ED"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0318B72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06" w:type="dxa"/>
          </w:tcPr>
          <w:p w14:paraId="663687C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5504349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1183" w:type="dxa"/>
          </w:tcPr>
          <w:p w14:paraId="1D61638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743" w:type="dxa"/>
          </w:tcPr>
          <w:p w14:paraId="3C3455D6"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Pre/post behavioural evidence is relevant; absence of randomisation and possible external influences limit causal certainty.</w:t>
            </w:r>
          </w:p>
        </w:tc>
      </w:tr>
      <w:tr w:rsidR="00280FAC" w14:paraId="08035679" w14:textId="77777777" w:rsidTr="007A16CA">
        <w:trPr>
          <w:trHeight w:val="650"/>
        </w:trPr>
        <w:tc>
          <w:tcPr>
            <w:cnfStyle w:val="001000000000" w:firstRow="0" w:lastRow="0" w:firstColumn="1" w:lastColumn="0" w:oddVBand="0" w:evenVBand="0" w:oddHBand="0" w:evenHBand="0" w:firstRowFirstColumn="0" w:firstRowLastColumn="0" w:lastRowFirstColumn="0" w:lastRowLastColumn="0"/>
            <w:tcW w:w="1941" w:type="dxa"/>
          </w:tcPr>
          <w:p w14:paraId="788FFD67" w14:textId="77777777" w:rsidR="00280FAC" w:rsidRPr="004544C8" w:rsidRDefault="00280FAC" w:rsidP="007A16CA">
            <w:pPr>
              <w:spacing w:line="360" w:lineRule="auto"/>
              <w:rPr>
                <w:rFonts w:ascii="Arial" w:hAnsi="Arial" w:cs="Arial"/>
                <w:b w:val="0"/>
              </w:rPr>
            </w:pPr>
            <w:r w:rsidRPr="004544C8">
              <w:rPr>
                <w:rFonts w:ascii="Arial" w:hAnsi="Arial" w:cs="Arial"/>
                <w:b w:val="0"/>
              </w:rPr>
              <w:t>Shange and Dlamini (2026)</w:t>
            </w:r>
          </w:p>
        </w:tc>
        <w:tc>
          <w:tcPr>
            <w:tcW w:w="1773" w:type="dxa"/>
          </w:tcPr>
          <w:p w14:paraId="46F93F25"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Quantitative descriptive</w:t>
            </w:r>
          </w:p>
        </w:tc>
        <w:tc>
          <w:tcPr>
            <w:tcW w:w="506" w:type="dxa"/>
          </w:tcPr>
          <w:p w14:paraId="62F8497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6A27C1C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124113A9"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06" w:type="dxa"/>
          </w:tcPr>
          <w:p w14:paraId="659BE84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2929BF62"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506" w:type="dxa"/>
          </w:tcPr>
          <w:p w14:paraId="419FEE2A"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Y</w:t>
            </w:r>
          </w:p>
        </w:tc>
        <w:tc>
          <w:tcPr>
            <w:tcW w:w="1183" w:type="dxa"/>
          </w:tcPr>
          <w:p w14:paraId="2F8099C0"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N</w:t>
            </w:r>
          </w:p>
        </w:tc>
        <w:tc>
          <w:tcPr>
            <w:tcW w:w="5743" w:type="dxa"/>
          </w:tcPr>
          <w:p w14:paraId="73972214" w14:textId="77777777" w:rsidR="00280FAC" w:rsidRPr="005F7DBA" w:rsidRDefault="00280FAC" w:rsidP="007A16C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5F7DBA">
              <w:rPr>
                <w:rFonts w:ascii="Arial" w:hAnsi="Arial" w:cs="Arial"/>
              </w:rPr>
              <w:t>Direct residence-level evidence and appropriate analysis; self-report and single-context design constrain generalisation.</w:t>
            </w:r>
          </w:p>
        </w:tc>
      </w:tr>
    </w:tbl>
    <w:p w14:paraId="03192785" w14:textId="77777777" w:rsidR="00280FAC" w:rsidRPr="004262DC" w:rsidRDefault="00280FAC" w:rsidP="00280FAC">
      <w:pPr>
        <w:pStyle w:val="Heading1"/>
        <w:pageBreakBefore/>
        <w:rPr>
          <w:rFonts w:ascii="Arial" w:hAnsi="Arial" w:cs="Arial"/>
          <w:color w:val="auto"/>
          <w:sz w:val="24"/>
          <w:szCs w:val="24"/>
        </w:rPr>
      </w:pPr>
      <w:r w:rsidRPr="004262DC">
        <w:rPr>
          <w:rFonts w:ascii="Arial" w:hAnsi="Arial" w:cs="Arial"/>
          <w:color w:val="auto"/>
          <w:sz w:val="24"/>
          <w:szCs w:val="24"/>
        </w:rPr>
        <w:lastRenderedPageBreak/>
        <w:t>Appendix E. Evidence-to-CGCAA framework matrix</w:t>
      </w:r>
    </w:p>
    <w:tbl>
      <w:tblPr>
        <w:tblStyle w:val="GridTable1Light-Accent1"/>
        <w:tblW w:w="14251" w:type="dxa"/>
        <w:tblLayout w:type="fixed"/>
        <w:tblLook w:val="04A0" w:firstRow="1" w:lastRow="0" w:firstColumn="1" w:lastColumn="0" w:noHBand="0" w:noVBand="1"/>
      </w:tblPr>
      <w:tblGrid>
        <w:gridCol w:w="1623"/>
        <w:gridCol w:w="3428"/>
        <w:gridCol w:w="4961"/>
        <w:gridCol w:w="2796"/>
        <w:gridCol w:w="1443"/>
      </w:tblGrid>
      <w:tr w:rsidR="00280FAC" w14:paraId="33F875BB" w14:textId="77777777" w:rsidTr="007A16CA">
        <w:trPr>
          <w:cnfStyle w:val="100000000000" w:firstRow="1" w:lastRow="0" w:firstColumn="0" w:lastColumn="0" w:oddVBand="0" w:evenVBand="0" w:oddHBand="0"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1623" w:type="dxa"/>
          </w:tcPr>
          <w:p w14:paraId="770DB855" w14:textId="77777777" w:rsidR="00280FAC" w:rsidRPr="00245A8B" w:rsidRDefault="00280FAC" w:rsidP="007A16CA">
            <w:pPr>
              <w:spacing w:line="276" w:lineRule="auto"/>
            </w:pPr>
            <w:r w:rsidRPr="00245A8B">
              <w:rPr>
                <w:rFonts w:ascii="Arial" w:hAnsi="Arial"/>
                <w:color w:val="000000"/>
              </w:rPr>
              <w:t>CGCAA domain</w:t>
            </w:r>
          </w:p>
        </w:tc>
        <w:tc>
          <w:tcPr>
            <w:tcW w:w="3428" w:type="dxa"/>
          </w:tcPr>
          <w:p w14:paraId="64659CB9" w14:textId="77777777" w:rsidR="00280FAC" w:rsidRPr="00245A8B"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Recurring empirical finding</w:t>
            </w:r>
          </w:p>
        </w:tc>
        <w:tc>
          <w:tcPr>
            <w:tcW w:w="4961" w:type="dxa"/>
          </w:tcPr>
          <w:p w14:paraId="293A621D" w14:textId="77777777" w:rsidR="00280FAC" w:rsidRPr="00245A8B"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Included empirical sources</w:t>
            </w:r>
          </w:p>
        </w:tc>
        <w:tc>
          <w:tcPr>
            <w:tcW w:w="2796" w:type="dxa"/>
          </w:tcPr>
          <w:p w14:paraId="3FD2C482" w14:textId="77777777" w:rsidR="00280FAC" w:rsidRPr="00245A8B"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Framework mechanism</w:t>
            </w:r>
          </w:p>
        </w:tc>
        <w:tc>
          <w:tcPr>
            <w:tcW w:w="1443" w:type="dxa"/>
          </w:tcPr>
          <w:p w14:paraId="13C97E21" w14:textId="77777777" w:rsidR="00280FAC" w:rsidRPr="00245A8B" w:rsidRDefault="00280FAC" w:rsidP="007A16CA">
            <w:pPr>
              <w:spacing w:line="276" w:lineRule="auto"/>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Proposition/stage</w:t>
            </w:r>
          </w:p>
        </w:tc>
      </w:tr>
      <w:tr w:rsidR="00280FAC" w14:paraId="1D540C08" w14:textId="77777777" w:rsidTr="007A16CA">
        <w:trPr>
          <w:trHeight w:val="1216"/>
        </w:trPr>
        <w:tc>
          <w:tcPr>
            <w:cnfStyle w:val="001000000000" w:firstRow="0" w:lastRow="0" w:firstColumn="1" w:lastColumn="0" w:oddVBand="0" w:evenVBand="0" w:oddHBand="0" w:evenHBand="0" w:firstRowFirstColumn="0" w:firstRowLastColumn="0" w:lastRowFirstColumn="0" w:lastRowLastColumn="0"/>
            <w:tcW w:w="1623" w:type="dxa"/>
          </w:tcPr>
          <w:p w14:paraId="5DC9542F" w14:textId="77777777" w:rsidR="00280FAC" w:rsidRPr="00245A8B" w:rsidRDefault="00280FAC" w:rsidP="007A16CA">
            <w:pPr>
              <w:spacing w:line="276" w:lineRule="auto"/>
              <w:rPr>
                <w:b w:val="0"/>
              </w:rPr>
            </w:pPr>
            <w:r w:rsidRPr="00245A8B">
              <w:rPr>
                <w:rFonts w:ascii="Arial" w:hAnsi="Arial"/>
                <w:b w:val="0"/>
                <w:color w:val="000000"/>
              </w:rPr>
              <w:t>Context</w:t>
            </w:r>
          </w:p>
        </w:tc>
        <w:tc>
          <w:tcPr>
            <w:tcW w:w="3428" w:type="dxa"/>
          </w:tcPr>
          <w:p w14:paraId="0FAF7355"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Water-energy insecurity; infrastructure inequality; residence conditions; campus-specific materiality</w:t>
            </w:r>
          </w:p>
        </w:tc>
        <w:tc>
          <w:tcPr>
            <w:tcW w:w="4961" w:type="dxa"/>
          </w:tcPr>
          <w:p w14:paraId="58E838B4"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 xml:space="preserve">Bulunga </w:t>
            </w:r>
            <w:r>
              <w:rPr>
                <w:rFonts w:ascii="Arial" w:hAnsi="Arial"/>
                <w:color w:val="000000"/>
              </w:rPr>
              <w:t>and</w:t>
            </w:r>
            <w:r w:rsidRPr="00245A8B">
              <w:rPr>
                <w:rFonts w:ascii="Arial" w:hAnsi="Arial"/>
                <w:color w:val="000000"/>
              </w:rPr>
              <w:t xml:space="preserve"> Thondhlana (2018); Jimu </w:t>
            </w:r>
            <w:r>
              <w:rPr>
                <w:rFonts w:ascii="Arial" w:hAnsi="Arial"/>
                <w:color w:val="000000"/>
              </w:rPr>
              <w:t xml:space="preserve">and </w:t>
            </w:r>
            <w:r w:rsidRPr="00245A8B">
              <w:rPr>
                <w:rFonts w:ascii="Arial" w:hAnsi="Arial"/>
                <w:color w:val="000000"/>
              </w:rPr>
              <w:t xml:space="preserve">Rennkamp (2024); Musakuro </w:t>
            </w:r>
            <w:r>
              <w:rPr>
                <w:rFonts w:ascii="Arial" w:hAnsi="Arial"/>
                <w:color w:val="000000"/>
              </w:rPr>
              <w:t>and</w:t>
            </w:r>
            <w:r w:rsidRPr="00245A8B">
              <w:rPr>
                <w:rFonts w:ascii="Arial" w:hAnsi="Arial"/>
                <w:color w:val="000000"/>
              </w:rPr>
              <w:t xml:space="preserve"> de Klerk (2024); Shange </w:t>
            </w:r>
            <w:r>
              <w:rPr>
                <w:rFonts w:ascii="Arial" w:hAnsi="Arial"/>
                <w:color w:val="000000"/>
              </w:rPr>
              <w:t>and</w:t>
            </w:r>
            <w:r w:rsidRPr="00245A8B">
              <w:rPr>
                <w:rFonts w:ascii="Arial" w:hAnsi="Arial"/>
                <w:color w:val="000000"/>
              </w:rPr>
              <w:t xml:space="preserve"> Dlamini (2026)</w:t>
            </w:r>
          </w:p>
        </w:tc>
        <w:tc>
          <w:tcPr>
            <w:tcW w:w="2796" w:type="dxa"/>
          </w:tcPr>
          <w:p w14:paraId="5FD42D67"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Context determines priorities, sequencing and interpretation</w:t>
            </w:r>
          </w:p>
        </w:tc>
        <w:tc>
          <w:tcPr>
            <w:tcW w:w="1443" w:type="dxa"/>
          </w:tcPr>
          <w:p w14:paraId="69DEA45A"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P6; Stage 1</w:t>
            </w:r>
          </w:p>
        </w:tc>
      </w:tr>
      <w:tr w:rsidR="00280FAC" w14:paraId="26028469" w14:textId="77777777" w:rsidTr="007A16CA">
        <w:trPr>
          <w:trHeight w:val="839"/>
        </w:trPr>
        <w:tc>
          <w:tcPr>
            <w:cnfStyle w:val="001000000000" w:firstRow="0" w:lastRow="0" w:firstColumn="1" w:lastColumn="0" w:oddVBand="0" w:evenVBand="0" w:oddHBand="0" w:evenHBand="0" w:firstRowFirstColumn="0" w:firstRowLastColumn="0" w:lastRowFirstColumn="0" w:lastRowLastColumn="0"/>
            <w:tcW w:w="1623" w:type="dxa"/>
          </w:tcPr>
          <w:p w14:paraId="3C5E41A2" w14:textId="77777777" w:rsidR="00280FAC" w:rsidRPr="00245A8B" w:rsidRDefault="00280FAC" w:rsidP="007A16CA">
            <w:pPr>
              <w:spacing w:line="276" w:lineRule="auto"/>
              <w:rPr>
                <w:b w:val="0"/>
              </w:rPr>
            </w:pPr>
            <w:r w:rsidRPr="00245A8B">
              <w:rPr>
                <w:rFonts w:ascii="Arial" w:hAnsi="Arial"/>
                <w:b w:val="0"/>
                <w:color w:val="000000"/>
              </w:rPr>
              <w:t>Governance</w:t>
            </w:r>
          </w:p>
        </w:tc>
        <w:tc>
          <w:tcPr>
            <w:tcW w:w="3428" w:type="dxa"/>
          </w:tcPr>
          <w:p w14:paraId="0708BC92"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Mandate, accountable ownership, coordination, participation and continuity</w:t>
            </w:r>
          </w:p>
        </w:tc>
        <w:tc>
          <w:tcPr>
            <w:tcW w:w="4961" w:type="dxa"/>
          </w:tcPr>
          <w:p w14:paraId="7536E2E9"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 xml:space="preserve">Geng et al. (2013); Lozano et al. </w:t>
            </w:r>
            <w:r w:rsidRPr="00280FAC">
              <w:rPr>
                <w:rFonts w:ascii="Arial" w:hAnsi="Arial"/>
                <w:color w:val="000000"/>
                <w:lang w:val="pt-PT"/>
              </w:rPr>
              <w:t xml:space="preserve">(2015); Aleixo et al. (2018); Awuzie et al. </w:t>
            </w:r>
            <w:r w:rsidRPr="00245A8B">
              <w:rPr>
                <w:rFonts w:ascii="Arial" w:hAnsi="Arial"/>
                <w:color w:val="000000"/>
              </w:rPr>
              <w:t xml:space="preserve">(2023); Jimu </w:t>
            </w:r>
            <w:r>
              <w:rPr>
                <w:rFonts w:ascii="Arial" w:hAnsi="Arial"/>
                <w:color w:val="000000"/>
              </w:rPr>
              <w:t>and</w:t>
            </w:r>
            <w:r w:rsidRPr="00245A8B">
              <w:rPr>
                <w:rFonts w:ascii="Arial" w:hAnsi="Arial"/>
                <w:color w:val="000000"/>
              </w:rPr>
              <w:t xml:space="preserve"> Rennkamp (2024)</w:t>
            </w:r>
          </w:p>
        </w:tc>
        <w:tc>
          <w:tcPr>
            <w:tcW w:w="2796" w:type="dxa"/>
          </w:tcPr>
          <w:p w14:paraId="55ABF57C"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Decision rights and ownership translate commitment into action</w:t>
            </w:r>
          </w:p>
        </w:tc>
        <w:tc>
          <w:tcPr>
            <w:tcW w:w="1443" w:type="dxa"/>
          </w:tcPr>
          <w:p w14:paraId="40F5852A"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P1; Stage 2</w:t>
            </w:r>
          </w:p>
        </w:tc>
      </w:tr>
      <w:tr w:rsidR="00280FAC" w14:paraId="7D82FDED" w14:textId="77777777" w:rsidTr="007A16CA">
        <w:trPr>
          <w:trHeight w:val="1216"/>
        </w:trPr>
        <w:tc>
          <w:tcPr>
            <w:cnfStyle w:val="001000000000" w:firstRow="0" w:lastRow="0" w:firstColumn="1" w:lastColumn="0" w:oddVBand="0" w:evenVBand="0" w:oddHBand="0" w:evenHBand="0" w:firstRowFirstColumn="0" w:firstRowLastColumn="0" w:lastRowFirstColumn="0" w:lastRowLastColumn="0"/>
            <w:tcW w:w="1623" w:type="dxa"/>
          </w:tcPr>
          <w:p w14:paraId="499E760D" w14:textId="77777777" w:rsidR="00280FAC" w:rsidRPr="00245A8B" w:rsidRDefault="00280FAC" w:rsidP="007A16CA">
            <w:pPr>
              <w:spacing w:line="276" w:lineRule="auto"/>
              <w:rPr>
                <w:b w:val="0"/>
              </w:rPr>
            </w:pPr>
            <w:r w:rsidRPr="00245A8B">
              <w:rPr>
                <w:rFonts w:ascii="Arial" w:hAnsi="Arial"/>
                <w:b w:val="0"/>
                <w:color w:val="000000"/>
              </w:rPr>
              <w:t>Capability</w:t>
            </w:r>
          </w:p>
        </w:tc>
        <w:tc>
          <w:tcPr>
            <w:tcW w:w="3428" w:type="dxa"/>
          </w:tcPr>
          <w:p w14:paraId="5F23BC9E"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Finance, staff competence, metering, maintenance, procurement and project delivery</w:t>
            </w:r>
          </w:p>
        </w:tc>
        <w:tc>
          <w:tcPr>
            <w:tcW w:w="4961" w:type="dxa"/>
          </w:tcPr>
          <w:p w14:paraId="7907E8D0"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80FAC">
              <w:rPr>
                <w:rFonts w:ascii="Arial" w:hAnsi="Arial"/>
                <w:color w:val="000000"/>
                <w:lang w:val="pt-PT"/>
              </w:rPr>
              <w:t xml:space="preserve">Leal Filho et al. (2019); Awuzie et al. </w:t>
            </w:r>
            <w:r w:rsidRPr="00245A8B">
              <w:rPr>
                <w:rFonts w:ascii="Arial" w:hAnsi="Arial"/>
                <w:color w:val="000000"/>
              </w:rPr>
              <w:t xml:space="preserve">(2023); Shange et al. (2024); Musakuro </w:t>
            </w:r>
            <w:r>
              <w:rPr>
                <w:rFonts w:ascii="Arial" w:hAnsi="Arial"/>
                <w:color w:val="000000"/>
              </w:rPr>
              <w:t>and</w:t>
            </w:r>
            <w:r w:rsidRPr="00245A8B">
              <w:rPr>
                <w:rFonts w:ascii="Arial" w:hAnsi="Arial"/>
                <w:color w:val="000000"/>
              </w:rPr>
              <w:t xml:space="preserve"> de Klerk (2024)</w:t>
            </w:r>
          </w:p>
        </w:tc>
        <w:tc>
          <w:tcPr>
            <w:tcW w:w="2796" w:type="dxa"/>
          </w:tcPr>
          <w:p w14:paraId="3F7B779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Capability conditions intervention effectiveness</w:t>
            </w:r>
          </w:p>
        </w:tc>
        <w:tc>
          <w:tcPr>
            <w:tcW w:w="1443" w:type="dxa"/>
          </w:tcPr>
          <w:p w14:paraId="7EA7916D"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P2; Stages 3–4</w:t>
            </w:r>
          </w:p>
        </w:tc>
      </w:tr>
      <w:tr w:rsidR="00280FAC" w14:paraId="078E7169" w14:textId="77777777" w:rsidTr="007A16CA">
        <w:trPr>
          <w:trHeight w:val="1258"/>
        </w:trPr>
        <w:tc>
          <w:tcPr>
            <w:cnfStyle w:val="001000000000" w:firstRow="0" w:lastRow="0" w:firstColumn="1" w:lastColumn="0" w:oddVBand="0" w:evenVBand="0" w:oddHBand="0" w:evenHBand="0" w:firstRowFirstColumn="0" w:firstRowLastColumn="0" w:lastRowFirstColumn="0" w:lastRowLastColumn="0"/>
            <w:tcW w:w="1623" w:type="dxa"/>
          </w:tcPr>
          <w:p w14:paraId="25546CB4" w14:textId="77777777" w:rsidR="00280FAC" w:rsidRPr="00245A8B" w:rsidRDefault="00280FAC" w:rsidP="007A16CA">
            <w:pPr>
              <w:spacing w:line="276" w:lineRule="auto"/>
              <w:rPr>
                <w:b w:val="0"/>
              </w:rPr>
            </w:pPr>
            <w:r w:rsidRPr="00245A8B">
              <w:rPr>
                <w:rFonts w:ascii="Arial" w:hAnsi="Arial"/>
                <w:b w:val="0"/>
                <w:color w:val="000000"/>
              </w:rPr>
              <w:t>Action</w:t>
            </w:r>
          </w:p>
        </w:tc>
        <w:tc>
          <w:tcPr>
            <w:tcW w:w="3428" w:type="dxa"/>
          </w:tcPr>
          <w:p w14:paraId="32DAF5C1"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Integration of operations, curriculum, research, behaviour and engagement</w:t>
            </w:r>
          </w:p>
        </w:tc>
        <w:tc>
          <w:tcPr>
            <w:tcW w:w="4961" w:type="dxa"/>
          </w:tcPr>
          <w:p w14:paraId="1512C814"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 xml:space="preserve">Geng et al. (2013); Dagiliūtė et al. (2018); Bulunga </w:t>
            </w:r>
            <w:r>
              <w:rPr>
                <w:rFonts w:ascii="Arial" w:hAnsi="Arial"/>
                <w:color w:val="000000"/>
              </w:rPr>
              <w:t>and</w:t>
            </w:r>
            <w:r w:rsidRPr="00245A8B">
              <w:rPr>
                <w:rFonts w:ascii="Arial" w:hAnsi="Arial"/>
                <w:color w:val="000000"/>
              </w:rPr>
              <w:t xml:space="preserve"> Thondhlana (2018); Shange et al. (2025); Gherheș </w:t>
            </w:r>
            <w:r>
              <w:rPr>
                <w:rFonts w:ascii="Arial" w:hAnsi="Arial"/>
                <w:color w:val="000000"/>
              </w:rPr>
              <w:t>and</w:t>
            </w:r>
            <w:r w:rsidRPr="00245A8B">
              <w:rPr>
                <w:rFonts w:ascii="Arial" w:hAnsi="Arial"/>
                <w:color w:val="000000"/>
              </w:rPr>
              <w:t xml:space="preserve"> Cernicova-Bucă (2025)</w:t>
            </w:r>
          </w:p>
        </w:tc>
        <w:tc>
          <w:tcPr>
            <w:tcW w:w="2796" w:type="dxa"/>
          </w:tcPr>
          <w:p w14:paraId="0C926E60"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Whole-institution and participatory action improves durability</w:t>
            </w:r>
          </w:p>
        </w:tc>
        <w:tc>
          <w:tcPr>
            <w:tcW w:w="1443" w:type="dxa"/>
          </w:tcPr>
          <w:p w14:paraId="68A11ACF"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P3–P4; Stage 5</w:t>
            </w:r>
          </w:p>
        </w:tc>
      </w:tr>
      <w:tr w:rsidR="00280FAC" w14:paraId="5313A526" w14:textId="77777777" w:rsidTr="007A16CA">
        <w:trPr>
          <w:trHeight w:val="1216"/>
        </w:trPr>
        <w:tc>
          <w:tcPr>
            <w:cnfStyle w:val="001000000000" w:firstRow="0" w:lastRow="0" w:firstColumn="1" w:lastColumn="0" w:oddVBand="0" w:evenVBand="0" w:oddHBand="0" w:evenHBand="0" w:firstRowFirstColumn="0" w:firstRowLastColumn="0" w:lastRowFirstColumn="0" w:lastRowLastColumn="0"/>
            <w:tcW w:w="1623" w:type="dxa"/>
          </w:tcPr>
          <w:p w14:paraId="7EA1866F" w14:textId="77777777" w:rsidR="00280FAC" w:rsidRPr="00245A8B" w:rsidRDefault="00280FAC" w:rsidP="007A16CA">
            <w:pPr>
              <w:spacing w:line="276" w:lineRule="auto"/>
              <w:rPr>
                <w:b w:val="0"/>
              </w:rPr>
            </w:pPr>
            <w:r w:rsidRPr="00245A8B">
              <w:rPr>
                <w:rFonts w:ascii="Arial" w:hAnsi="Arial"/>
                <w:b w:val="0"/>
                <w:color w:val="000000"/>
              </w:rPr>
              <w:t>Assurance</w:t>
            </w:r>
          </w:p>
        </w:tc>
        <w:tc>
          <w:tcPr>
            <w:tcW w:w="3428" w:type="dxa"/>
          </w:tcPr>
          <w:p w14:paraId="15AF407F"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Contextual indicators, baseline measurement, transparency, feedback and adaptation</w:t>
            </w:r>
          </w:p>
        </w:tc>
        <w:tc>
          <w:tcPr>
            <w:tcW w:w="4961" w:type="dxa"/>
          </w:tcPr>
          <w:p w14:paraId="7F49F876"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 xml:space="preserve">Suwartha </w:t>
            </w:r>
            <w:r>
              <w:rPr>
                <w:rFonts w:ascii="Arial" w:hAnsi="Arial"/>
                <w:color w:val="000000"/>
              </w:rPr>
              <w:t>and</w:t>
            </w:r>
            <w:r w:rsidRPr="00245A8B">
              <w:rPr>
                <w:rFonts w:ascii="Arial" w:hAnsi="Arial"/>
                <w:color w:val="000000"/>
              </w:rPr>
              <w:t xml:space="preserve"> Sari (2013); Nejati </w:t>
            </w:r>
            <w:r>
              <w:rPr>
                <w:rFonts w:ascii="Arial" w:hAnsi="Arial"/>
                <w:color w:val="000000"/>
              </w:rPr>
              <w:t>and</w:t>
            </w:r>
            <w:r w:rsidRPr="00245A8B">
              <w:rPr>
                <w:rFonts w:ascii="Arial" w:hAnsi="Arial"/>
                <w:color w:val="000000"/>
              </w:rPr>
              <w:t xml:space="preserve"> Nejati (2013); Dagiliūtė et al. (2018); Gherheș </w:t>
            </w:r>
            <w:r>
              <w:rPr>
                <w:rFonts w:ascii="Arial" w:hAnsi="Arial"/>
                <w:color w:val="000000"/>
              </w:rPr>
              <w:t>and</w:t>
            </w:r>
            <w:r w:rsidRPr="00245A8B">
              <w:rPr>
                <w:rFonts w:ascii="Arial" w:hAnsi="Arial"/>
                <w:color w:val="000000"/>
              </w:rPr>
              <w:t xml:space="preserve"> Cernicova-Bucă (2025)</w:t>
            </w:r>
          </w:p>
        </w:tc>
        <w:tc>
          <w:tcPr>
            <w:tcW w:w="2796" w:type="dxa"/>
          </w:tcPr>
          <w:p w14:paraId="53CDCD23"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Mixed indicators and feedback reduce symbolic implementation</w:t>
            </w:r>
          </w:p>
        </w:tc>
        <w:tc>
          <w:tcPr>
            <w:tcW w:w="1443" w:type="dxa"/>
          </w:tcPr>
          <w:p w14:paraId="1943A4BD" w14:textId="77777777" w:rsidR="00280FAC" w:rsidRPr="00245A8B" w:rsidRDefault="00280FAC" w:rsidP="007A16CA">
            <w:pPr>
              <w:spacing w:line="276" w:lineRule="auto"/>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P5; Stage 6</w:t>
            </w:r>
          </w:p>
        </w:tc>
      </w:tr>
    </w:tbl>
    <w:p w14:paraId="33B38F60" w14:textId="77777777" w:rsidR="00280FAC" w:rsidRPr="00245A8B" w:rsidRDefault="00280FAC" w:rsidP="00280FAC">
      <w:pPr>
        <w:pStyle w:val="Heading1"/>
        <w:pageBreakBefore/>
        <w:rPr>
          <w:rFonts w:ascii="Arial" w:hAnsi="Arial" w:cs="Arial"/>
          <w:color w:val="auto"/>
          <w:sz w:val="24"/>
          <w:szCs w:val="24"/>
        </w:rPr>
      </w:pPr>
      <w:r w:rsidRPr="00245A8B">
        <w:rPr>
          <w:rFonts w:ascii="Arial" w:hAnsi="Arial" w:cs="Arial"/>
          <w:color w:val="auto"/>
          <w:sz w:val="24"/>
          <w:szCs w:val="24"/>
        </w:rPr>
        <w:lastRenderedPageBreak/>
        <w:t>Appendix F. PRISMA 2020 and PRISMA-S reporting crosswalk</w:t>
      </w:r>
    </w:p>
    <w:tbl>
      <w:tblPr>
        <w:tblStyle w:val="GridTable1Light-Accent1"/>
        <w:tblW w:w="13826" w:type="dxa"/>
        <w:tblLayout w:type="fixed"/>
        <w:tblLook w:val="04A0" w:firstRow="1" w:lastRow="0" w:firstColumn="1" w:lastColumn="0" w:noHBand="0" w:noVBand="1"/>
      </w:tblPr>
      <w:tblGrid>
        <w:gridCol w:w="2764"/>
        <w:gridCol w:w="2396"/>
        <w:gridCol w:w="5183"/>
        <w:gridCol w:w="3483"/>
      </w:tblGrid>
      <w:tr w:rsidR="00280FAC" w14:paraId="7D9CEAF8" w14:textId="77777777" w:rsidTr="007A16CA">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2764" w:type="dxa"/>
          </w:tcPr>
          <w:p w14:paraId="0A903749" w14:textId="77777777" w:rsidR="00280FAC" w:rsidRPr="00245A8B" w:rsidRDefault="00280FAC" w:rsidP="007A16CA">
            <w:r w:rsidRPr="00245A8B">
              <w:rPr>
                <w:rFonts w:ascii="Arial" w:hAnsi="Arial"/>
                <w:color w:val="000000"/>
              </w:rPr>
              <w:t>Reporting requirement</w:t>
            </w:r>
          </w:p>
        </w:tc>
        <w:tc>
          <w:tcPr>
            <w:tcW w:w="2396" w:type="dxa"/>
          </w:tcPr>
          <w:p w14:paraId="59A5A417" w14:textId="77777777" w:rsidR="00280FAC" w:rsidRPr="00245A8B" w:rsidRDefault="00280FAC" w:rsidP="007A16CA">
            <w:pPr>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Location</w:t>
            </w:r>
          </w:p>
        </w:tc>
        <w:tc>
          <w:tcPr>
            <w:tcW w:w="5183" w:type="dxa"/>
          </w:tcPr>
          <w:p w14:paraId="4294E584" w14:textId="77777777" w:rsidR="00280FAC" w:rsidRDefault="00280FAC" w:rsidP="007A16CA">
            <w:pPr>
              <w:cnfStyle w:val="100000000000" w:firstRow="1" w:lastRow="0" w:firstColumn="0" w:lastColumn="0" w:oddVBand="0" w:evenVBand="0" w:oddHBand="0" w:evenHBand="0" w:firstRowFirstColumn="0" w:firstRowLastColumn="0" w:lastRowFirstColumn="0" w:lastRowLastColumn="0"/>
              <w:rPr>
                <w:rFonts w:ascii="Arial" w:hAnsi="Arial"/>
                <w:b w:val="0"/>
                <w:bCs w:val="0"/>
                <w:color w:val="000000"/>
              </w:rPr>
            </w:pPr>
            <w:r w:rsidRPr="00245A8B">
              <w:rPr>
                <w:rFonts w:ascii="Arial" w:hAnsi="Arial"/>
                <w:color w:val="000000"/>
              </w:rPr>
              <w:t>Evidence supplied</w:t>
            </w:r>
          </w:p>
          <w:p w14:paraId="6535C6A7" w14:textId="77777777" w:rsidR="00280FAC" w:rsidRPr="00245A8B" w:rsidRDefault="00280FAC" w:rsidP="007A16CA">
            <w:pPr>
              <w:cnfStyle w:val="100000000000" w:firstRow="1" w:lastRow="0" w:firstColumn="0" w:lastColumn="0" w:oddVBand="0" w:evenVBand="0" w:oddHBand="0" w:evenHBand="0" w:firstRowFirstColumn="0" w:firstRowLastColumn="0" w:lastRowFirstColumn="0" w:lastRowLastColumn="0"/>
            </w:pPr>
          </w:p>
        </w:tc>
        <w:tc>
          <w:tcPr>
            <w:tcW w:w="3483" w:type="dxa"/>
          </w:tcPr>
          <w:p w14:paraId="5B12DC5E" w14:textId="77777777" w:rsidR="00280FAC" w:rsidRPr="00245A8B" w:rsidRDefault="00280FAC" w:rsidP="007A16CA">
            <w:pPr>
              <w:cnfStyle w:val="100000000000" w:firstRow="1" w:lastRow="0" w:firstColumn="0" w:lastColumn="0" w:oddVBand="0" w:evenVBand="0" w:oddHBand="0" w:evenHBand="0" w:firstRowFirstColumn="0" w:firstRowLastColumn="0" w:lastRowFirstColumn="0" w:lastRowLastColumn="0"/>
            </w:pPr>
            <w:r w:rsidRPr="00245A8B">
              <w:rPr>
                <w:rFonts w:ascii="Arial" w:hAnsi="Arial"/>
                <w:color w:val="000000"/>
              </w:rPr>
              <w:t>Status</w:t>
            </w:r>
          </w:p>
        </w:tc>
      </w:tr>
      <w:tr w:rsidR="00280FAC" w14:paraId="329A0FAA" w14:textId="77777777" w:rsidTr="007A16CA">
        <w:trPr>
          <w:trHeight w:val="167"/>
        </w:trPr>
        <w:tc>
          <w:tcPr>
            <w:cnfStyle w:val="001000000000" w:firstRow="0" w:lastRow="0" w:firstColumn="1" w:lastColumn="0" w:oddVBand="0" w:evenVBand="0" w:oddHBand="0" w:evenHBand="0" w:firstRowFirstColumn="0" w:firstRowLastColumn="0" w:lastRowFirstColumn="0" w:lastRowLastColumn="0"/>
            <w:tcW w:w="2764" w:type="dxa"/>
          </w:tcPr>
          <w:p w14:paraId="07EF30B8" w14:textId="77777777" w:rsidR="00280FAC" w:rsidRPr="00245A8B" w:rsidRDefault="00280FAC" w:rsidP="007A16CA">
            <w:pPr>
              <w:rPr>
                <w:b w:val="0"/>
              </w:rPr>
            </w:pPr>
            <w:r w:rsidRPr="00245A8B">
              <w:rPr>
                <w:rFonts w:ascii="Arial" w:hAnsi="Arial"/>
                <w:b w:val="0"/>
                <w:color w:val="000000"/>
              </w:rPr>
              <w:t>PRISMA 2020: title/abstract</w:t>
            </w:r>
          </w:p>
        </w:tc>
        <w:tc>
          <w:tcPr>
            <w:tcW w:w="2396" w:type="dxa"/>
          </w:tcPr>
          <w:p w14:paraId="7E2CC9CC"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Title; Abstract</w:t>
            </w:r>
          </w:p>
        </w:tc>
        <w:tc>
          <w:tcPr>
            <w:tcW w:w="5183" w:type="dxa"/>
          </w:tcPr>
          <w:p w14:paraId="174697D7" w14:textId="77777777" w:rsidR="00280FAC" w:rsidRPr="00245A8B" w:rsidRDefault="00280FAC" w:rsidP="007A16CA">
            <w:pPr>
              <w:spacing w:line="276" w:lineRule="auto"/>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Identifies systematic review, objectives, eligibility, synthesis and included-study count</w:t>
            </w:r>
          </w:p>
        </w:tc>
        <w:tc>
          <w:tcPr>
            <w:tcW w:w="3483" w:type="dxa"/>
          </w:tcPr>
          <w:p w14:paraId="0A3BC8FC"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r w:rsidR="00280FAC" w14:paraId="070381E5" w14:textId="77777777" w:rsidTr="007A16CA">
        <w:trPr>
          <w:trHeight w:val="372"/>
        </w:trPr>
        <w:tc>
          <w:tcPr>
            <w:cnfStyle w:val="001000000000" w:firstRow="0" w:lastRow="0" w:firstColumn="1" w:lastColumn="0" w:oddVBand="0" w:evenVBand="0" w:oddHBand="0" w:evenHBand="0" w:firstRowFirstColumn="0" w:firstRowLastColumn="0" w:lastRowFirstColumn="0" w:lastRowLastColumn="0"/>
            <w:tcW w:w="2764" w:type="dxa"/>
          </w:tcPr>
          <w:p w14:paraId="5B57B55D" w14:textId="77777777" w:rsidR="00280FAC" w:rsidRPr="00245A8B" w:rsidRDefault="00280FAC" w:rsidP="007A16CA">
            <w:pPr>
              <w:jc w:val="both"/>
              <w:rPr>
                <w:b w:val="0"/>
              </w:rPr>
            </w:pPr>
            <w:r w:rsidRPr="00245A8B">
              <w:rPr>
                <w:rFonts w:ascii="Arial" w:hAnsi="Arial"/>
                <w:b w:val="0"/>
                <w:color w:val="000000"/>
              </w:rPr>
              <w:t>Rationale/objectives</w:t>
            </w:r>
          </w:p>
        </w:tc>
        <w:tc>
          <w:tcPr>
            <w:tcW w:w="2396" w:type="dxa"/>
          </w:tcPr>
          <w:p w14:paraId="4ED58B00"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Introduction; research questions</w:t>
            </w:r>
          </w:p>
        </w:tc>
        <w:tc>
          <w:tcPr>
            <w:tcW w:w="5183" w:type="dxa"/>
          </w:tcPr>
          <w:p w14:paraId="71424D26"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Contextual gap and four review questions</w:t>
            </w:r>
          </w:p>
        </w:tc>
        <w:tc>
          <w:tcPr>
            <w:tcW w:w="3483" w:type="dxa"/>
          </w:tcPr>
          <w:p w14:paraId="179695F4"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r w:rsidR="00280FAC" w14:paraId="2D06837D" w14:textId="77777777" w:rsidTr="007A16CA">
        <w:trPr>
          <w:trHeight w:val="167"/>
        </w:trPr>
        <w:tc>
          <w:tcPr>
            <w:cnfStyle w:val="001000000000" w:firstRow="0" w:lastRow="0" w:firstColumn="1" w:lastColumn="0" w:oddVBand="0" w:evenVBand="0" w:oddHBand="0" w:evenHBand="0" w:firstRowFirstColumn="0" w:firstRowLastColumn="0" w:lastRowFirstColumn="0" w:lastRowLastColumn="0"/>
            <w:tcW w:w="2764" w:type="dxa"/>
          </w:tcPr>
          <w:p w14:paraId="2C9ACFE9" w14:textId="77777777" w:rsidR="00280FAC" w:rsidRDefault="00280FAC" w:rsidP="007A16CA">
            <w:pPr>
              <w:jc w:val="both"/>
              <w:rPr>
                <w:rFonts w:ascii="Arial" w:hAnsi="Arial"/>
                <w:bCs w:val="0"/>
                <w:color w:val="000000"/>
              </w:rPr>
            </w:pPr>
            <w:r w:rsidRPr="00245A8B">
              <w:rPr>
                <w:rFonts w:ascii="Arial" w:hAnsi="Arial"/>
                <w:b w:val="0"/>
                <w:color w:val="000000"/>
              </w:rPr>
              <w:t>Eligibility criteria</w:t>
            </w:r>
          </w:p>
          <w:p w14:paraId="4A26ED71" w14:textId="77777777" w:rsidR="00280FAC" w:rsidRPr="00245A8B" w:rsidRDefault="00280FAC" w:rsidP="007A16CA">
            <w:pPr>
              <w:jc w:val="both"/>
              <w:rPr>
                <w:b w:val="0"/>
              </w:rPr>
            </w:pPr>
          </w:p>
        </w:tc>
        <w:tc>
          <w:tcPr>
            <w:tcW w:w="2396" w:type="dxa"/>
          </w:tcPr>
          <w:p w14:paraId="526FF30C"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3.3; Table 1</w:t>
            </w:r>
          </w:p>
        </w:tc>
        <w:tc>
          <w:tcPr>
            <w:tcW w:w="5183" w:type="dxa"/>
          </w:tcPr>
          <w:p w14:paraId="2BCBFBE3"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Empirical-only inclusion and explicit exclusions</w:t>
            </w:r>
          </w:p>
        </w:tc>
        <w:tc>
          <w:tcPr>
            <w:tcW w:w="3483" w:type="dxa"/>
          </w:tcPr>
          <w:p w14:paraId="4B8AF5DA"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r w:rsidR="00280FAC" w14:paraId="0AA42E69" w14:textId="77777777" w:rsidTr="007A16CA">
        <w:trPr>
          <w:trHeight w:val="372"/>
        </w:trPr>
        <w:tc>
          <w:tcPr>
            <w:cnfStyle w:val="001000000000" w:firstRow="0" w:lastRow="0" w:firstColumn="1" w:lastColumn="0" w:oddVBand="0" w:evenVBand="0" w:oddHBand="0" w:evenHBand="0" w:firstRowFirstColumn="0" w:firstRowLastColumn="0" w:lastRowFirstColumn="0" w:lastRowLastColumn="0"/>
            <w:tcW w:w="2764" w:type="dxa"/>
          </w:tcPr>
          <w:p w14:paraId="6DEF1D56" w14:textId="77777777" w:rsidR="00280FAC" w:rsidRPr="00245A8B" w:rsidRDefault="00280FAC" w:rsidP="007A16CA">
            <w:pPr>
              <w:jc w:val="both"/>
              <w:rPr>
                <w:b w:val="0"/>
              </w:rPr>
            </w:pPr>
            <w:r w:rsidRPr="00245A8B">
              <w:rPr>
                <w:rFonts w:ascii="Arial" w:hAnsi="Arial"/>
                <w:b w:val="0"/>
                <w:color w:val="000000"/>
              </w:rPr>
              <w:t>Information sources</w:t>
            </w:r>
          </w:p>
        </w:tc>
        <w:tc>
          <w:tcPr>
            <w:tcW w:w="2396" w:type="dxa"/>
          </w:tcPr>
          <w:p w14:paraId="09455EA9"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3.2; Table 2; Appendix A</w:t>
            </w:r>
          </w:p>
        </w:tc>
        <w:tc>
          <w:tcPr>
            <w:tcW w:w="5183" w:type="dxa"/>
          </w:tcPr>
          <w:p w14:paraId="454D3AF5"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Five sources, platforms, dates, yields and supplementary searching</w:t>
            </w:r>
          </w:p>
        </w:tc>
        <w:tc>
          <w:tcPr>
            <w:tcW w:w="3483" w:type="dxa"/>
          </w:tcPr>
          <w:p w14:paraId="3EDBA05F"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 in manuscript</w:t>
            </w:r>
          </w:p>
        </w:tc>
      </w:tr>
      <w:tr w:rsidR="00280FAC" w14:paraId="2020AA52" w14:textId="77777777" w:rsidTr="007A16CA">
        <w:trPr>
          <w:trHeight w:val="744"/>
        </w:trPr>
        <w:tc>
          <w:tcPr>
            <w:cnfStyle w:val="001000000000" w:firstRow="0" w:lastRow="0" w:firstColumn="1" w:lastColumn="0" w:oddVBand="0" w:evenVBand="0" w:oddHBand="0" w:evenHBand="0" w:firstRowFirstColumn="0" w:firstRowLastColumn="0" w:lastRowFirstColumn="0" w:lastRowLastColumn="0"/>
            <w:tcW w:w="2764" w:type="dxa"/>
          </w:tcPr>
          <w:p w14:paraId="57953A13" w14:textId="77777777" w:rsidR="00280FAC" w:rsidRPr="00245A8B" w:rsidRDefault="00280FAC" w:rsidP="007A16CA">
            <w:pPr>
              <w:jc w:val="both"/>
              <w:rPr>
                <w:b w:val="0"/>
              </w:rPr>
            </w:pPr>
            <w:r w:rsidRPr="00245A8B">
              <w:rPr>
                <w:rFonts w:ascii="Arial" w:hAnsi="Arial"/>
                <w:b w:val="0"/>
                <w:color w:val="000000"/>
              </w:rPr>
              <w:t>Search strategy</w:t>
            </w:r>
          </w:p>
        </w:tc>
        <w:tc>
          <w:tcPr>
            <w:tcW w:w="2396" w:type="dxa"/>
          </w:tcPr>
          <w:p w14:paraId="12E1D321"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Appendix A</w:t>
            </w:r>
          </w:p>
        </w:tc>
        <w:tc>
          <w:tcPr>
            <w:tcW w:w="5183" w:type="dxa"/>
          </w:tcPr>
          <w:p w14:paraId="7C6D65DD"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Executable source-specific strings and limits</w:t>
            </w:r>
          </w:p>
        </w:tc>
        <w:tc>
          <w:tcPr>
            <w:tcW w:w="3483" w:type="dxa"/>
          </w:tcPr>
          <w:p w14:paraId="0BE9B710"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 export files to accompany submission</w:t>
            </w:r>
          </w:p>
        </w:tc>
      </w:tr>
      <w:tr w:rsidR="00280FAC" w14:paraId="42286C02" w14:textId="77777777" w:rsidTr="007A16CA">
        <w:trPr>
          <w:trHeight w:val="725"/>
        </w:trPr>
        <w:tc>
          <w:tcPr>
            <w:cnfStyle w:val="001000000000" w:firstRow="0" w:lastRow="0" w:firstColumn="1" w:lastColumn="0" w:oddVBand="0" w:evenVBand="0" w:oddHBand="0" w:evenHBand="0" w:firstRowFirstColumn="0" w:firstRowLastColumn="0" w:lastRowFirstColumn="0" w:lastRowLastColumn="0"/>
            <w:tcW w:w="2764" w:type="dxa"/>
          </w:tcPr>
          <w:p w14:paraId="2032C689" w14:textId="77777777" w:rsidR="00280FAC" w:rsidRPr="00245A8B" w:rsidRDefault="00280FAC" w:rsidP="007A16CA">
            <w:pPr>
              <w:jc w:val="both"/>
              <w:rPr>
                <w:b w:val="0"/>
              </w:rPr>
            </w:pPr>
            <w:r w:rsidRPr="00245A8B">
              <w:rPr>
                <w:rFonts w:ascii="Arial" w:hAnsi="Arial"/>
                <w:b w:val="0"/>
                <w:color w:val="000000"/>
              </w:rPr>
              <w:t>Selection process</w:t>
            </w:r>
          </w:p>
        </w:tc>
        <w:tc>
          <w:tcPr>
            <w:tcW w:w="2396" w:type="dxa"/>
          </w:tcPr>
          <w:p w14:paraId="56F738D4"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3.4; Figure 1</w:t>
            </w:r>
          </w:p>
        </w:tc>
        <w:tc>
          <w:tcPr>
            <w:tcW w:w="5183" w:type="dxa"/>
          </w:tcPr>
          <w:p w14:paraId="654C0CA8"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84 identified; 12 duplicates; 72 screened; 36 full texts; 21 excluded; 15 included</w:t>
            </w:r>
          </w:p>
        </w:tc>
        <w:tc>
          <w:tcPr>
            <w:tcW w:w="3483" w:type="dxa"/>
          </w:tcPr>
          <w:p w14:paraId="318E7B99"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 screening log to accompany submission</w:t>
            </w:r>
          </w:p>
        </w:tc>
      </w:tr>
      <w:tr w:rsidR="00280FAC" w14:paraId="6DAA92FE" w14:textId="77777777" w:rsidTr="007A16CA">
        <w:trPr>
          <w:trHeight w:val="744"/>
        </w:trPr>
        <w:tc>
          <w:tcPr>
            <w:cnfStyle w:val="001000000000" w:firstRow="0" w:lastRow="0" w:firstColumn="1" w:lastColumn="0" w:oddVBand="0" w:evenVBand="0" w:oddHBand="0" w:evenHBand="0" w:firstRowFirstColumn="0" w:firstRowLastColumn="0" w:lastRowFirstColumn="0" w:lastRowLastColumn="0"/>
            <w:tcW w:w="2764" w:type="dxa"/>
          </w:tcPr>
          <w:p w14:paraId="23C450E2" w14:textId="77777777" w:rsidR="00280FAC" w:rsidRPr="00245A8B" w:rsidRDefault="00280FAC" w:rsidP="007A16CA">
            <w:pPr>
              <w:jc w:val="both"/>
              <w:rPr>
                <w:b w:val="0"/>
              </w:rPr>
            </w:pPr>
            <w:r w:rsidRPr="00245A8B">
              <w:rPr>
                <w:rFonts w:ascii="Arial" w:hAnsi="Arial"/>
                <w:b w:val="0"/>
                <w:color w:val="000000"/>
              </w:rPr>
              <w:t>Data collection</w:t>
            </w:r>
          </w:p>
        </w:tc>
        <w:tc>
          <w:tcPr>
            <w:tcW w:w="2396" w:type="dxa"/>
          </w:tcPr>
          <w:p w14:paraId="3D5FC4DE"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3.5; Appendix C</w:t>
            </w:r>
          </w:p>
        </w:tc>
        <w:tc>
          <w:tcPr>
            <w:tcW w:w="5183" w:type="dxa"/>
          </w:tcPr>
          <w:p w14:paraId="1E105F87"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Extraction fields and study-to-synthesis map</w:t>
            </w:r>
          </w:p>
        </w:tc>
        <w:tc>
          <w:tcPr>
            <w:tcW w:w="3483" w:type="dxa"/>
          </w:tcPr>
          <w:p w14:paraId="752D8094"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 extraction sheet recommended as supplement</w:t>
            </w:r>
          </w:p>
        </w:tc>
      </w:tr>
      <w:tr w:rsidR="00280FAC" w14:paraId="2CD034DA" w14:textId="77777777" w:rsidTr="007A16CA">
        <w:trPr>
          <w:trHeight w:val="167"/>
        </w:trPr>
        <w:tc>
          <w:tcPr>
            <w:cnfStyle w:val="001000000000" w:firstRow="0" w:lastRow="0" w:firstColumn="1" w:lastColumn="0" w:oddVBand="0" w:evenVBand="0" w:oddHBand="0" w:evenHBand="0" w:firstRowFirstColumn="0" w:firstRowLastColumn="0" w:lastRowFirstColumn="0" w:lastRowLastColumn="0"/>
            <w:tcW w:w="2764" w:type="dxa"/>
          </w:tcPr>
          <w:p w14:paraId="43D60366" w14:textId="77777777" w:rsidR="00280FAC" w:rsidRPr="00245A8B" w:rsidRDefault="00280FAC" w:rsidP="007A16CA">
            <w:pPr>
              <w:jc w:val="both"/>
              <w:rPr>
                <w:b w:val="0"/>
              </w:rPr>
            </w:pPr>
            <w:r w:rsidRPr="00245A8B">
              <w:rPr>
                <w:rFonts w:ascii="Arial" w:hAnsi="Arial"/>
                <w:b w:val="0"/>
                <w:color w:val="000000"/>
              </w:rPr>
              <w:t>Risk of bias/quality</w:t>
            </w:r>
          </w:p>
        </w:tc>
        <w:tc>
          <w:tcPr>
            <w:tcW w:w="2396" w:type="dxa"/>
          </w:tcPr>
          <w:p w14:paraId="044D33E7"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3.5; Appendix D</w:t>
            </w:r>
          </w:p>
        </w:tc>
        <w:tc>
          <w:tcPr>
            <w:tcW w:w="5183" w:type="dxa"/>
          </w:tcPr>
          <w:p w14:paraId="20CCE236"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Study-level MMAT category, judgements and justification</w:t>
            </w:r>
          </w:p>
        </w:tc>
        <w:tc>
          <w:tcPr>
            <w:tcW w:w="3483" w:type="dxa"/>
          </w:tcPr>
          <w:p w14:paraId="6F0EFB6B"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r w:rsidR="00280FAC" w14:paraId="0A0D7591" w14:textId="77777777" w:rsidTr="007A16CA">
        <w:trPr>
          <w:trHeight w:val="186"/>
        </w:trPr>
        <w:tc>
          <w:tcPr>
            <w:cnfStyle w:val="001000000000" w:firstRow="0" w:lastRow="0" w:firstColumn="1" w:lastColumn="0" w:oddVBand="0" w:evenVBand="0" w:oddHBand="0" w:evenHBand="0" w:firstRowFirstColumn="0" w:firstRowLastColumn="0" w:lastRowFirstColumn="0" w:lastRowLastColumn="0"/>
            <w:tcW w:w="2764" w:type="dxa"/>
          </w:tcPr>
          <w:p w14:paraId="4A886823" w14:textId="77777777" w:rsidR="00280FAC" w:rsidRPr="00245A8B" w:rsidRDefault="00280FAC" w:rsidP="007A16CA">
            <w:pPr>
              <w:jc w:val="both"/>
              <w:rPr>
                <w:b w:val="0"/>
              </w:rPr>
            </w:pPr>
            <w:r w:rsidRPr="00245A8B">
              <w:rPr>
                <w:rFonts w:ascii="Arial" w:hAnsi="Arial"/>
                <w:b w:val="0"/>
                <w:color w:val="000000"/>
              </w:rPr>
              <w:t>Synthesis methods</w:t>
            </w:r>
          </w:p>
        </w:tc>
        <w:tc>
          <w:tcPr>
            <w:tcW w:w="2396" w:type="dxa"/>
          </w:tcPr>
          <w:p w14:paraId="6E0FD17E"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3.6; Appendix E</w:t>
            </w:r>
          </w:p>
        </w:tc>
        <w:tc>
          <w:tcPr>
            <w:tcW w:w="5183" w:type="dxa"/>
          </w:tcPr>
          <w:p w14:paraId="6FE4B340"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Framework synthesis, narrative synthesis and evidence-to-domain chain</w:t>
            </w:r>
          </w:p>
        </w:tc>
        <w:tc>
          <w:tcPr>
            <w:tcW w:w="3483" w:type="dxa"/>
          </w:tcPr>
          <w:p w14:paraId="33BD8E6B"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r w:rsidR="00280FAC" w14:paraId="7167636C" w14:textId="77777777" w:rsidTr="007A16CA">
        <w:trPr>
          <w:trHeight w:val="372"/>
        </w:trPr>
        <w:tc>
          <w:tcPr>
            <w:cnfStyle w:val="001000000000" w:firstRow="0" w:lastRow="0" w:firstColumn="1" w:lastColumn="0" w:oddVBand="0" w:evenVBand="0" w:oddHBand="0" w:evenHBand="0" w:firstRowFirstColumn="0" w:firstRowLastColumn="0" w:lastRowFirstColumn="0" w:lastRowLastColumn="0"/>
            <w:tcW w:w="2764" w:type="dxa"/>
          </w:tcPr>
          <w:p w14:paraId="4163F539" w14:textId="77777777" w:rsidR="00280FAC" w:rsidRPr="00245A8B" w:rsidRDefault="00280FAC" w:rsidP="007A16CA">
            <w:pPr>
              <w:jc w:val="both"/>
              <w:rPr>
                <w:b w:val="0"/>
              </w:rPr>
            </w:pPr>
            <w:r w:rsidRPr="00245A8B">
              <w:rPr>
                <w:rFonts w:ascii="Arial" w:hAnsi="Arial"/>
                <w:b w:val="0"/>
                <w:color w:val="000000"/>
              </w:rPr>
              <w:t>Study characteristics</w:t>
            </w:r>
          </w:p>
        </w:tc>
        <w:tc>
          <w:tcPr>
            <w:tcW w:w="2396" w:type="dxa"/>
          </w:tcPr>
          <w:p w14:paraId="32C3525E"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4.1; Table 3; Appendix C</w:t>
            </w:r>
          </w:p>
        </w:tc>
        <w:tc>
          <w:tcPr>
            <w:tcW w:w="5183" w:type="dxa"/>
          </w:tcPr>
          <w:p w14:paraId="0A3B9EA4"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Design, context, contribution and main-text use for all 15 studies</w:t>
            </w:r>
          </w:p>
        </w:tc>
        <w:tc>
          <w:tcPr>
            <w:tcW w:w="3483" w:type="dxa"/>
          </w:tcPr>
          <w:p w14:paraId="2C41BFCA"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r w:rsidR="00280FAC" w14:paraId="20AE456F" w14:textId="77777777" w:rsidTr="007A16CA">
        <w:trPr>
          <w:trHeight w:val="167"/>
        </w:trPr>
        <w:tc>
          <w:tcPr>
            <w:cnfStyle w:val="001000000000" w:firstRow="0" w:lastRow="0" w:firstColumn="1" w:lastColumn="0" w:oddVBand="0" w:evenVBand="0" w:oddHBand="0" w:evenHBand="0" w:firstRowFirstColumn="0" w:firstRowLastColumn="0" w:lastRowFirstColumn="0" w:lastRowLastColumn="0"/>
            <w:tcW w:w="2764" w:type="dxa"/>
          </w:tcPr>
          <w:p w14:paraId="265E2B89" w14:textId="77777777" w:rsidR="00280FAC" w:rsidRPr="00245A8B" w:rsidRDefault="00280FAC" w:rsidP="007A16CA">
            <w:pPr>
              <w:jc w:val="both"/>
              <w:rPr>
                <w:b w:val="0"/>
              </w:rPr>
            </w:pPr>
            <w:r w:rsidRPr="00245A8B">
              <w:rPr>
                <w:rFonts w:ascii="Arial" w:hAnsi="Arial"/>
                <w:b w:val="0"/>
                <w:color w:val="000000"/>
              </w:rPr>
              <w:t>Selection results</w:t>
            </w:r>
          </w:p>
        </w:tc>
        <w:tc>
          <w:tcPr>
            <w:tcW w:w="2396" w:type="dxa"/>
          </w:tcPr>
          <w:p w14:paraId="05B8DFA5"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Figure 1</w:t>
            </w:r>
          </w:p>
        </w:tc>
        <w:tc>
          <w:tcPr>
            <w:tcW w:w="5183" w:type="dxa"/>
          </w:tcPr>
          <w:p w14:paraId="20686B40"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Reconciled PRISMA pathway and exclusion reasons</w:t>
            </w:r>
          </w:p>
        </w:tc>
        <w:tc>
          <w:tcPr>
            <w:tcW w:w="3483" w:type="dxa"/>
          </w:tcPr>
          <w:p w14:paraId="60E73377"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r w:rsidR="00280FAC" w14:paraId="5A78CF7D" w14:textId="77777777" w:rsidTr="007A16CA">
        <w:trPr>
          <w:trHeight w:val="186"/>
        </w:trPr>
        <w:tc>
          <w:tcPr>
            <w:cnfStyle w:val="001000000000" w:firstRow="0" w:lastRow="0" w:firstColumn="1" w:lastColumn="0" w:oddVBand="0" w:evenVBand="0" w:oddHBand="0" w:evenHBand="0" w:firstRowFirstColumn="0" w:firstRowLastColumn="0" w:lastRowFirstColumn="0" w:lastRowLastColumn="0"/>
            <w:tcW w:w="2764" w:type="dxa"/>
          </w:tcPr>
          <w:p w14:paraId="58AA67B3" w14:textId="77777777" w:rsidR="00280FAC" w:rsidRPr="00245A8B" w:rsidRDefault="00280FAC" w:rsidP="007A16CA">
            <w:pPr>
              <w:jc w:val="both"/>
              <w:rPr>
                <w:b w:val="0"/>
              </w:rPr>
            </w:pPr>
            <w:r w:rsidRPr="00245A8B">
              <w:rPr>
                <w:rFonts w:ascii="Arial" w:hAnsi="Arial"/>
                <w:b w:val="0"/>
                <w:color w:val="000000"/>
              </w:rPr>
              <w:t>Limitations</w:t>
            </w:r>
          </w:p>
        </w:tc>
        <w:tc>
          <w:tcPr>
            <w:tcW w:w="2396" w:type="dxa"/>
          </w:tcPr>
          <w:p w14:paraId="1C591698"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7</w:t>
            </w:r>
          </w:p>
        </w:tc>
        <w:tc>
          <w:tcPr>
            <w:tcW w:w="5183" w:type="dxa"/>
          </w:tcPr>
          <w:p w14:paraId="20C49385"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Retrieval, language, design and causal limitations</w:t>
            </w:r>
          </w:p>
        </w:tc>
        <w:tc>
          <w:tcPr>
            <w:tcW w:w="3483" w:type="dxa"/>
          </w:tcPr>
          <w:p w14:paraId="305C280A"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r w:rsidR="00280FAC" w14:paraId="7E38D48D" w14:textId="77777777" w:rsidTr="007A16CA">
        <w:trPr>
          <w:trHeight w:val="353"/>
        </w:trPr>
        <w:tc>
          <w:tcPr>
            <w:cnfStyle w:val="001000000000" w:firstRow="0" w:lastRow="0" w:firstColumn="1" w:lastColumn="0" w:oddVBand="0" w:evenVBand="0" w:oddHBand="0" w:evenHBand="0" w:firstRowFirstColumn="0" w:firstRowLastColumn="0" w:lastRowFirstColumn="0" w:lastRowLastColumn="0"/>
            <w:tcW w:w="2764" w:type="dxa"/>
          </w:tcPr>
          <w:p w14:paraId="67BCCFAA" w14:textId="77777777" w:rsidR="00280FAC" w:rsidRPr="00245A8B" w:rsidRDefault="00280FAC" w:rsidP="007A16CA">
            <w:pPr>
              <w:jc w:val="both"/>
              <w:rPr>
                <w:b w:val="0"/>
              </w:rPr>
            </w:pPr>
            <w:r w:rsidRPr="00245A8B">
              <w:rPr>
                <w:rFonts w:ascii="Arial" w:hAnsi="Arial"/>
                <w:b w:val="0"/>
                <w:color w:val="000000"/>
              </w:rPr>
              <w:t>Registration/protocol</w:t>
            </w:r>
          </w:p>
        </w:tc>
        <w:tc>
          <w:tcPr>
            <w:tcW w:w="2396" w:type="dxa"/>
          </w:tcPr>
          <w:p w14:paraId="5177A41E"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Section 3.1; Section 7</w:t>
            </w:r>
          </w:p>
        </w:tc>
        <w:tc>
          <w:tcPr>
            <w:tcW w:w="5183" w:type="dxa"/>
          </w:tcPr>
          <w:p w14:paraId="75DFFA4C"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No prospective registration; limitation disclosed</w:t>
            </w:r>
          </w:p>
        </w:tc>
        <w:tc>
          <w:tcPr>
            <w:tcW w:w="3483" w:type="dxa"/>
          </w:tcPr>
          <w:p w14:paraId="2C9228ED"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 disclosure</w:t>
            </w:r>
          </w:p>
        </w:tc>
      </w:tr>
      <w:tr w:rsidR="00280FAC" w14:paraId="23F1124E" w14:textId="77777777" w:rsidTr="007A16CA">
        <w:trPr>
          <w:trHeight w:val="186"/>
        </w:trPr>
        <w:tc>
          <w:tcPr>
            <w:cnfStyle w:val="001000000000" w:firstRow="0" w:lastRow="0" w:firstColumn="1" w:lastColumn="0" w:oddVBand="0" w:evenVBand="0" w:oddHBand="0" w:evenHBand="0" w:firstRowFirstColumn="0" w:firstRowLastColumn="0" w:lastRowFirstColumn="0" w:lastRowLastColumn="0"/>
            <w:tcW w:w="2764" w:type="dxa"/>
          </w:tcPr>
          <w:p w14:paraId="653F17DC" w14:textId="77777777" w:rsidR="00280FAC" w:rsidRPr="00245A8B" w:rsidRDefault="00280FAC" w:rsidP="007A16CA">
            <w:pPr>
              <w:jc w:val="both"/>
              <w:rPr>
                <w:b w:val="0"/>
              </w:rPr>
            </w:pPr>
            <w:r w:rsidRPr="00245A8B">
              <w:rPr>
                <w:rFonts w:ascii="Arial" w:hAnsi="Arial"/>
                <w:b w:val="0"/>
                <w:color w:val="000000"/>
              </w:rPr>
              <w:t>Support/conflicts/data</w:t>
            </w:r>
          </w:p>
        </w:tc>
        <w:tc>
          <w:tcPr>
            <w:tcW w:w="2396" w:type="dxa"/>
          </w:tcPr>
          <w:p w14:paraId="40834FD4"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Declarations</w:t>
            </w:r>
          </w:p>
        </w:tc>
        <w:tc>
          <w:tcPr>
            <w:tcW w:w="5183" w:type="dxa"/>
          </w:tcPr>
          <w:p w14:paraId="089A49FE"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Funding, funder role, conflicts, contributions and availability</w:t>
            </w:r>
          </w:p>
        </w:tc>
        <w:tc>
          <w:tcPr>
            <w:tcW w:w="3483" w:type="dxa"/>
          </w:tcPr>
          <w:p w14:paraId="22153DD0" w14:textId="77777777" w:rsidR="00280FAC" w:rsidRPr="00245A8B" w:rsidRDefault="00280FAC" w:rsidP="007A16CA">
            <w:pPr>
              <w:jc w:val="both"/>
              <w:cnfStyle w:val="000000000000" w:firstRow="0" w:lastRow="0" w:firstColumn="0" w:lastColumn="0" w:oddVBand="0" w:evenVBand="0" w:oddHBand="0" w:evenHBand="0" w:firstRowFirstColumn="0" w:firstRowLastColumn="0" w:lastRowFirstColumn="0" w:lastRowLastColumn="0"/>
            </w:pPr>
            <w:r w:rsidRPr="00245A8B">
              <w:rPr>
                <w:rFonts w:ascii="Arial" w:hAnsi="Arial"/>
                <w:color w:val="000000"/>
              </w:rPr>
              <w:t>Complete</w:t>
            </w:r>
          </w:p>
        </w:tc>
      </w:tr>
    </w:tbl>
    <w:p w14:paraId="72580796" w14:textId="77777777" w:rsidR="00280FAC" w:rsidRDefault="00280FAC" w:rsidP="00280FAC"/>
    <w:p w14:paraId="661CEA21" w14:textId="77777777" w:rsidR="00DE6AE2" w:rsidRDefault="00DE6AE2"/>
    <w:sectPr w:rsidR="00DE6AE2" w:rsidSect="00280FAC">
      <w:pgSz w:w="15840" w:h="12240" w:orient="landscape"/>
      <w:pgMar w:top="1267" w:right="1181" w:bottom="1267" w:left="1181"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E627" w14:textId="77777777" w:rsidR="00280FAC" w:rsidRDefault="00280FAC">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7E9BF" w14:textId="77777777" w:rsidR="00280FAC" w:rsidRDefault="00280FA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FAC"/>
    <w:rsid w:val="00195413"/>
    <w:rsid w:val="00280FAC"/>
    <w:rsid w:val="003A03A7"/>
    <w:rsid w:val="003D0186"/>
    <w:rsid w:val="00441D73"/>
    <w:rsid w:val="007278E4"/>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AB99"/>
  <w15:chartTrackingRefBased/>
  <w15:docId w15:val="{A3C3653D-705D-4DBF-BAB2-D0547133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FAC"/>
    <w:pPr>
      <w:spacing w:after="0" w:line="240" w:lineRule="auto"/>
    </w:pPr>
    <w:rPr>
      <w:rFonts w:ascii="Times New Roman" w:eastAsia="Times New Roman" w:hAnsi="Times New Roman" w:cs="Times New Roman"/>
      <w:kern w:val="0"/>
      <w:lang w:val="en-ZA" w:eastAsia="en-ZA"/>
      <w14:ligatures w14:val="none"/>
    </w:rPr>
  </w:style>
  <w:style w:type="paragraph" w:styleId="Heading1">
    <w:name w:val="heading 1"/>
    <w:basedOn w:val="Normal"/>
    <w:next w:val="Normal"/>
    <w:link w:val="Heading1Char"/>
    <w:uiPriority w:val="9"/>
    <w:qFormat/>
    <w:rsid w:val="00280FA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280FA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280FA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280FA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280FAC"/>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280FAC"/>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280FAC"/>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280FAC"/>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280FAC"/>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F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F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F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F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F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FAC"/>
    <w:rPr>
      <w:rFonts w:eastAsiaTheme="majorEastAsia" w:cstheme="majorBidi"/>
      <w:color w:val="272727" w:themeColor="text1" w:themeTint="D8"/>
    </w:rPr>
  </w:style>
  <w:style w:type="paragraph" w:styleId="Title">
    <w:name w:val="Title"/>
    <w:basedOn w:val="Normal"/>
    <w:next w:val="Normal"/>
    <w:link w:val="TitleChar"/>
    <w:uiPriority w:val="10"/>
    <w:qFormat/>
    <w:rsid w:val="00280FAC"/>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280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FA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280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FAC"/>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280FAC"/>
    <w:rPr>
      <w:i/>
      <w:iCs/>
      <w:color w:val="404040" w:themeColor="text1" w:themeTint="BF"/>
    </w:rPr>
  </w:style>
  <w:style w:type="paragraph" w:styleId="ListParagraph">
    <w:name w:val="List Paragraph"/>
    <w:basedOn w:val="Normal"/>
    <w:uiPriority w:val="34"/>
    <w:qFormat/>
    <w:rsid w:val="00280FAC"/>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280FAC"/>
    <w:rPr>
      <w:i/>
      <w:iCs/>
      <w:color w:val="0F4761" w:themeColor="accent1" w:themeShade="BF"/>
    </w:rPr>
  </w:style>
  <w:style w:type="paragraph" w:styleId="IntenseQuote">
    <w:name w:val="Intense Quote"/>
    <w:basedOn w:val="Normal"/>
    <w:next w:val="Normal"/>
    <w:link w:val="IntenseQuoteChar"/>
    <w:uiPriority w:val="30"/>
    <w:qFormat/>
    <w:rsid w:val="00280FA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280FAC"/>
    <w:rPr>
      <w:i/>
      <w:iCs/>
      <w:color w:val="0F4761" w:themeColor="accent1" w:themeShade="BF"/>
    </w:rPr>
  </w:style>
  <w:style w:type="character" w:styleId="IntenseReference">
    <w:name w:val="Intense Reference"/>
    <w:basedOn w:val="DefaultParagraphFont"/>
    <w:uiPriority w:val="32"/>
    <w:qFormat/>
    <w:rsid w:val="00280FAC"/>
    <w:rPr>
      <w:b/>
      <w:bCs/>
      <w:smallCaps/>
      <w:color w:val="0F4761" w:themeColor="accent1" w:themeShade="BF"/>
      <w:spacing w:val="5"/>
    </w:rPr>
  </w:style>
  <w:style w:type="paragraph" w:styleId="Header">
    <w:name w:val="header"/>
    <w:basedOn w:val="Normal"/>
    <w:link w:val="HeaderChar"/>
    <w:uiPriority w:val="99"/>
    <w:unhideWhenUsed/>
    <w:rsid w:val="00280FAC"/>
    <w:pPr>
      <w:tabs>
        <w:tab w:val="center" w:pos="4680"/>
        <w:tab w:val="right" w:pos="9360"/>
      </w:tabs>
    </w:pPr>
    <w:rPr>
      <w:rFonts w:ascii="Aptos" w:eastAsiaTheme="minorEastAsia" w:hAnsi="Aptos" w:cstheme="minorBidi"/>
      <w:sz w:val="21"/>
      <w:szCs w:val="22"/>
      <w:lang w:val="en-US" w:eastAsia="en-US"/>
    </w:rPr>
  </w:style>
  <w:style w:type="character" w:customStyle="1" w:styleId="HeaderChar">
    <w:name w:val="Header Char"/>
    <w:basedOn w:val="DefaultParagraphFont"/>
    <w:link w:val="Header"/>
    <w:uiPriority w:val="99"/>
    <w:rsid w:val="00280FAC"/>
    <w:rPr>
      <w:rFonts w:ascii="Aptos" w:eastAsiaTheme="minorEastAsia" w:hAnsi="Aptos"/>
      <w:kern w:val="0"/>
      <w:sz w:val="21"/>
      <w:szCs w:val="22"/>
      <w14:ligatures w14:val="none"/>
    </w:rPr>
  </w:style>
  <w:style w:type="paragraph" w:styleId="Footer">
    <w:name w:val="footer"/>
    <w:basedOn w:val="Normal"/>
    <w:link w:val="FooterChar"/>
    <w:uiPriority w:val="99"/>
    <w:unhideWhenUsed/>
    <w:rsid w:val="00280FAC"/>
    <w:pPr>
      <w:tabs>
        <w:tab w:val="center" w:pos="4680"/>
        <w:tab w:val="right" w:pos="9360"/>
      </w:tabs>
    </w:pPr>
    <w:rPr>
      <w:rFonts w:ascii="Aptos" w:eastAsiaTheme="minorEastAsia" w:hAnsi="Aptos" w:cstheme="minorBidi"/>
      <w:sz w:val="21"/>
      <w:szCs w:val="22"/>
      <w:lang w:val="en-US" w:eastAsia="en-US"/>
    </w:rPr>
  </w:style>
  <w:style w:type="character" w:customStyle="1" w:styleId="FooterChar">
    <w:name w:val="Footer Char"/>
    <w:basedOn w:val="DefaultParagraphFont"/>
    <w:link w:val="Footer"/>
    <w:uiPriority w:val="99"/>
    <w:rsid w:val="00280FAC"/>
    <w:rPr>
      <w:rFonts w:ascii="Aptos" w:eastAsiaTheme="minorEastAsia" w:hAnsi="Aptos"/>
      <w:kern w:val="0"/>
      <w:sz w:val="21"/>
      <w:szCs w:val="22"/>
      <w14:ligatures w14:val="none"/>
    </w:rPr>
  </w:style>
  <w:style w:type="table" w:styleId="GridTable1Light-Accent1">
    <w:name w:val="Grid Table 1 Light Accent 1"/>
    <w:basedOn w:val="TableNormal"/>
    <w:uiPriority w:val="46"/>
    <w:rsid w:val="00280FAC"/>
    <w:pPr>
      <w:spacing w:after="0" w:line="240" w:lineRule="auto"/>
    </w:pPr>
    <w:rPr>
      <w:rFonts w:eastAsiaTheme="minorEastAsia"/>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1883</Words>
  <Characters>10738</Characters>
  <Application>Microsoft Office Word</Application>
  <DocSecurity>0</DocSecurity>
  <Lines>89</Lines>
  <Paragraphs>25</Paragraphs>
  <ScaleCrop>false</ScaleCrop>
  <Company>Springer Nature</Company>
  <LinksUpToDate>false</LinksUpToDate>
  <CharactersWithSpaces>12596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2026-09-15T06:28:00Z</dcterms:created>
  <dcterms:modified xsi:type="dcterms:W3CDTF">2026-09-15T06:28:00Z</dcterms:modified>
</cp:coreProperties>
</file>