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0868C">
      <w:pPr>
        <w:jc w:val="center"/>
        <w:rPr>
          <w:rFonts w:hint="default" w:ascii="Times New Roman" w:hAnsi="Times New Roman" w:cs="Times New Roman"/>
          <w:b/>
          <w:bCs/>
          <w:sz w:val="24"/>
          <w:szCs w:val="24"/>
        </w:rPr>
      </w:pPr>
      <w:r>
        <w:rPr>
          <w:rFonts w:hint="default" w:ascii="Times New Roman" w:hAnsi="Times New Roman" w:cs="Times New Roman"/>
          <w:b/>
          <w:bCs/>
          <w:sz w:val="24"/>
          <w:szCs w:val="24"/>
          <w:lang w:eastAsia="zh-Hans"/>
        </w:rPr>
        <w:t>Table</w:t>
      </w:r>
      <w:r>
        <w:rPr>
          <w:rFonts w:hint="default" w:ascii="Times New Roman" w:hAnsi="Times New Roman" w:eastAsia="宋体" w:cs="Times New Roman"/>
          <w:b/>
          <w:sz w:val="24"/>
          <w:szCs w:val="24"/>
        </w:rPr>
        <w:t xml:space="preserve"> </w:t>
      </w:r>
      <w:r>
        <w:rPr>
          <w:rFonts w:hint="eastAsia" w:ascii="Times New Roman" w:hAnsi="Times New Roman" w:eastAsia="宋体" w:cs="Times New Roman"/>
          <w:b/>
          <w:sz w:val="24"/>
          <w:szCs w:val="24"/>
          <w:lang w:val="en-US" w:eastAsia="zh-CN"/>
        </w:rPr>
        <w:t>S1</w:t>
      </w:r>
      <w:r>
        <w:rPr>
          <w:rFonts w:hint="default" w:ascii="Times New Roman" w:hAnsi="Times New Roman" w:cs="Times New Roman"/>
          <w:b/>
          <w:bCs/>
          <w:sz w:val="24"/>
          <w:szCs w:val="24"/>
        </w:rPr>
        <w:t>. The detail definition and classif</w:t>
      </w:r>
      <w:r>
        <w:rPr>
          <w:rFonts w:hint="default" w:ascii="Times New Roman" w:hAnsi="Times New Roman" w:cs="Times New Roman"/>
          <w:b/>
          <w:bCs/>
          <w:spacing w:val="-1"/>
          <w:sz w:val="24"/>
          <w:szCs w:val="24"/>
        </w:rPr>
        <w:t>ication of</w:t>
      </w:r>
      <w:r>
        <w:rPr>
          <w:rFonts w:hint="default" w:ascii="Times New Roman" w:hAnsi="Times New Roman" w:cs="Times New Roman"/>
          <w:b/>
          <w:bCs/>
          <w:spacing w:val="6"/>
          <w:sz w:val="24"/>
          <w:szCs w:val="24"/>
        </w:rPr>
        <w:t xml:space="preserve"> </w:t>
      </w:r>
      <w:r>
        <w:rPr>
          <w:rFonts w:hint="default" w:ascii="Times New Roman" w:hAnsi="Times New Roman" w:cs="Times New Roman"/>
          <w:b/>
          <w:bCs/>
          <w:spacing w:val="-1"/>
          <w:sz w:val="24"/>
          <w:szCs w:val="24"/>
        </w:rPr>
        <w:t>covariates.</w:t>
      </w:r>
    </w:p>
    <w:p w14:paraId="225CC4F3">
      <w:pPr>
        <w:spacing w:line="72" w:lineRule="exact"/>
        <w:jc w:val="center"/>
        <w:rPr>
          <w:rFonts w:hint="default" w:ascii="Times New Roman" w:hAnsi="Times New Roman" w:cs="Times New Roman"/>
          <w:sz w:val="24"/>
          <w:szCs w:val="24"/>
        </w:rPr>
      </w:pPr>
    </w:p>
    <w:tbl>
      <w:tblPr>
        <w:tblStyle w:val="5"/>
        <w:tblpPr w:leftFromText="180" w:rightFromText="180" w:vertAnchor="text" w:horzAnchor="page" w:tblpX="584" w:tblpY="106"/>
        <w:tblOverlap w:val="never"/>
        <w:tblW w:w="1097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510"/>
        <w:gridCol w:w="8460"/>
      </w:tblGrid>
      <w:tr w14:paraId="256BA0C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6" w:hRule="atLeast"/>
        </w:trPr>
        <w:tc>
          <w:tcPr>
            <w:tcW w:w="2510" w:type="dxa"/>
            <w:tcBorders>
              <w:top w:val="single" w:color="auto" w:sz="4" w:space="0"/>
              <w:bottom w:val="single" w:color="auto" w:sz="4" w:space="0"/>
            </w:tcBorders>
            <w:vAlign w:val="top"/>
          </w:tcPr>
          <w:p w14:paraId="1142FE83">
            <w:pPr>
              <w:pStyle w:val="4"/>
              <w:spacing w:before="69" w:line="178" w:lineRule="auto"/>
              <w:ind w:left="649"/>
              <w:jc w:val="center"/>
              <w:rPr>
                <w:rFonts w:hint="default" w:ascii="Times New Roman" w:hAnsi="Times New Roman" w:cs="Times New Roman"/>
                <w:sz w:val="24"/>
                <w:szCs w:val="24"/>
              </w:rPr>
            </w:pPr>
            <w:r>
              <w:rPr>
                <w:rFonts w:hint="default" w:ascii="Times New Roman" w:hAnsi="Times New Roman" w:cs="Times New Roman"/>
                <w:b/>
                <w:bCs/>
                <w:spacing w:val="-1"/>
                <w:sz w:val="24"/>
                <w:szCs w:val="24"/>
              </w:rPr>
              <w:t>Variables</w:t>
            </w:r>
          </w:p>
        </w:tc>
        <w:tc>
          <w:tcPr>
            <w:tcW w:w="8460" w:type="dxa"/>
            <w:tcBorders>
              <w:top w:val="single" w:color="auto" w:sz="4" w:space="0"/>
              <w:bottom w:val="single" w:color="auto" w:sz="4" w:space="0"/>
            </w:tcBorders>
            <w:vAlign w:val="top"/>
          </w:tcPr>
          <w:p w14:paraId="377514C1">
            <w:pPr>
              <w:pStyle w:val="4"/>
              <w:spacing w:before="68" w:line="179" w:lineRule="auto"/>
              <w:ind w:left="3188"/>
              <w:jc w:val="center"/>
              <w:rPr>
                <w:rFonts w:hint="default" w:ascii="Times New Roman" w:hAnsi="Times New Roman" w:cs="Times New Roman"/>
                <w:sz w:val="24"/>
                <w:szCs w:val="24"/>
              </w:rPr>
            </w:pPr>
            <w:r>
              <w:rPr>
                <w:rFonts w:hint="default" w:ascii="Times New Roman" w:hAnsi="Times New Roman" w:cs="Times New Roman"/>
                <w:b/>
                <w:bCs/>
                <w:sz w:val="24"/>
                <w:szCs w:val="24"/>
              </w:rPr>
              <w:t>Definitions or Classi</w:t>
            </w:r>
            <w:r>
              <w:rPr>
                <w:rFonts w:hint="default" w:ascii="Times New Roman" w:hAnsi="Times New Roman" w:cs="Times New Roman"/>
                <w:b/>
                <w:bCs/>
                <w:spacing w:val="-1"/>
                <w:sz w:val="24"/>
                <w:szCs w:val="24"/>
              </w:rPr>
              <w:t>fication</w:t>
            </w:r>
          </w:p>
        </w:tc>
      </w:tr>
      <w:tr w14:paraId="23E524E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85" w:hRule="atLeast"/>
        </w:trPr>
        <w:tc>
          <w:tcPr>
            <w:tcW w:w="2510" w:type="dxa"/>
            <w:tcBorders>
              <w:top w:val="single" w:color="auto" w:sz="4" w:space="0"/>
              <w:bottom w:val="nil"/>
            </w:tcBorders>
            <w:vAlign w:val="top"/>
          </w:tcPr>
          <w:p w14:paraId="271825F8">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Sex</w:t>
            </w:r>
          </w:p>
        </w:tc>
        <w:tc>
          <w:tcPr>
            <w:tcW w:w="8460" w:type="dxa"/>
            <w:tcBorders>
              <w:top w:val="single" w:color="auto" w:sz="4" w:space="0"/>
              <w:bottom w:val="nil"/>
            </w:tcBorders>
            <w:vAlign w:val="top"/>
          </w:tcPr>
          <w:p w14:paraId="0B414A5B">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Male, Female.</w:t>
            </w:r>
          </w:p>
        </w:tc>
      </w:tr>
      <w:tr w14:paraId="6C19D1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4" w:hRule="atLeast"/>
        </w:trPr>
        <w:tc>
          <w:tcPr>
            <w:tcW w:w="2510" w:type="dxa"/>
            <w:tcBorders>
              <w:top w:val="nil"/>
              <w:bottom w:val="nil"/>
            </w:tcBorders>
            <w:vAlign w:val="top"/>
          </w:tcPr>
          <w:p w14:paraId="3D9CE06F">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Race</w:t>
            </w:r>
          </w:p>
        </w:tc>
        <w:tc>
          <w:tcPr>
            <w:tcW w:w="8460" w:type="dxa"/>
            <w:tcBorders>
              <w:top w:val="nil"/>
              <w:bottom w:val="nil"/>
            </w:tcBorders>
            <w:vAlign w:val="top"/>
          </w:tcPr>
          <w:p w14:paraId="4CF6D352">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Non-Hispanic White, Non-Hispanic Black, Mexican American, Other Race.</w:t>
            </w:r>
          </w:p>
        </w:tc>
      </w:tr>
      <w:tr w14:paraId="18BAFE5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7" w:hRule="atLeast"/>
        </w:trPr>
        <w:tc>
          <w:tcPr>
            <w:tcW w:w="2510" w:type="dxa"/>
            <w:tcBorders>
              <w:top w:val="nil"/>
              <w:bottom w:val="nil"/>
            </w:tcBorders>
            <w:vAlign w:val="top"/>
          </w:tcPr>
          <w:p w14:paraId="2A3C10D4">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Education attainment</w:t>
            </w:r>
          </w:p>
        </w:tc>
        <w:tc>
          <w:tcPr>
            <w:tcW w:w="8460" w:type="dxa"/>
            <w:tcBorders>
              <w:top w:val="nil"/>
              <w:bottom w:val="nil"/>
            </w:tcBorders>
            <w:vAlign w:val="top"/>
          </w:tcPr>
          <w:p w14:paraId="34C413C5">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High school or less, More than high school.</w:t>
            </w:r>
          </w:p>
        </w:tc>
      </w:tr>
      <w:tr w14:paraId="61B5112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7" w:hRule="atLeast"/>
        </w:trPr>
        <w:tc>
          <w:tcPr>
            <w:tcW w:w="2510" w:type="dxa"/>
            <w:tcBorders>
              <w:top w:val="nil"/>
              <w:bottom w:val="nil"/>
            </w:tcBorders>
            <w:vAlign w:val="top"/>
          </w:tcPr>
          <w:p w14:paraId="3D8A9EEC">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Marital status</w:t>
            </w:r>
          </w:p>
        </w:tc>
        <w:tc>
          <w:tcPr>
            <w:tcW w:w="8460" w:type="dxa"/>
            <w:tcBorders>
              <w:top w:val="nil"/>
              <w:bottom w:val="nil"/>
            </w:tcBorders>
            <w:vAlign w:val="top"/>
          </w:tcPr>
          <w:p w14:paraId="3A102321">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Married or living with partner, Living alone.</w:t>
            </w:r>
          </w:p>
        </w:tc>
      </w:tr>
      <w:tr w14:paraId="3DF1E7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17" w:hRule="atLeast"/>
        </w:trPr>
        <w:tc>
          <w:tcPr>
            <w:tcW w:w="2510" w:type="dxa"/>
            <w:tcBorders>
              <w:top w:val="nil"/>
              <w:bottom w:val="nil"/>
            </w:tcBorders>
            <w:vAlign w:val="top"/>
          </w:tcPr>
          <w:p w14:paraId="08349DB1">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PIR</w:t>
            </w:r>
          </w:p>
        </w:tc>
        <w:tc>
          <w:tcPr>
            <w:tcW w:w="8460" w:type="dxa"/>
            <w:tcBorders>
              <w:top w:val="nil"/>
              <w:bottom w:val="nil"/>
            </w:tcBorders>
            <w:vAlign w:val="top"/>
          </w:tcPr>
          <w:p w14:paraId="1FB97756">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Low (PIR ≤1), Middle (1&lt; PIR &lt; 4), and High (PIR ≥4).</w:t>
            </w:r>
          </w:p>
        </w:tc>
      </w:tr>
      <w:tr w14:paraId="1CE2A2C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32" w:hRule="atLeast"/>
        </w:trPr>
        <w:tc>
          <w:tcPr>
            <w:tcW w:w="2510" w:type="dxa"/>
            <w:tcBorders>
              <w:top w:val="nil"/>
              <w:bottom w:val="nil"/>
            </w:tcBorders>
            <w:vAlign w:val="top"/>
          </w:tcPr>
          <w:p w14:paraId="02EAC9A4">
            <w:pPr>
              <w:spacing w:line="267" w:lineRule="auto"/>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p>
          <w:p w14:paraId="36E0D8A3">
            <w:pPr>
              <w:pStyle w:val="4"/>
              <w:spacing w:before="67" w:line="184" w:lineRule="auto"/>
              <w:ind w:left="2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Smoking status</w:t>
            </w:r>
          </w:p>
        </w:tc>
        <w:tc>
          <w:tcPr>
            <w:tcW w:w="8460" w:type="dxa"/>
            <w:tcBorders>
              <w:top w:val="nil"/>
              <w:bottom w:val="nil"/>
            </w:tcBorders>
            <w:vAlign w:val="top"/>
          </w:tcPr>
          <w:p w14:paraId="02F2B042">
            <w:pPr>
              <w:pStyle w:val="4"/>
              <w:spacing w:before="66" w:line="184" w:lineRule="auto"/>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Never smoking: &lt;100 cigarettes in lifetime;</w:t>
            </w:r>
          </w:p>
          <w:p w14:paraId="2F7C790B">
            <w:pPr>
              <w:pStyle w:val="4"/>
              <w:spacing w:before="63" w:line="184" w:lineRule="auto"/>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Former smoking: &gt;100 cigarettes in life and smoke not at all now;</w:t>
            </w:r>
          </w:p>
          <w:p w14:paraId="6B492423">
            <w:pPr>
              <w:pStyle w:val="4"/>
              <w:spacing w:before="63" w:line="175" w:lineRule="auto"/>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Now smoking: &gt;100 cigarettes in lifetime.</w:t>
            </w:r>
          </w:p>
        </w:tc>
      </w:tr>
      <w:tr w14:paraId="0429CC4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32" w:hRule="atLeast"/>
        </w:trPr>
        <w:tc>
          <w:tcPr>
            <w:tcW w:w="2510" w:type="dxa"/>
            <w:tcBorders>
              <w:top w:val="nil"/>
              <w:bottom w:val="nil"/>
            </w:tcBorders>
            <w:vAlign w:val="top"/>
          </w:tcPr>
          <w:p w14:paraId="3BBB5904">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Drin</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king</w:t>
            </w: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 xml:space="preserve"> </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status</w:t>
            </w:r>
          </w:p>
        </w:tc>
        <w:tc>
          <w:tcPr>
            <w:tcW w:w="8460" w:type="dxa"/>
            <w:tcBorders>
              <w:top w:val="nil"/>
              <w:bottom w:val="nil"/>
            </w:tcBorders>
            <w:vAlign w:val="top"/>
          </w:tcPr>
          <w:p w14:paraId="17EAF5C5">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Never: consumed fewer than 12 drinks in their lifetime;</w:t>
            </w:r>
          </w:p>
          <w:p w14:paraId="7D61582B">
            <w:pPr>
              <w:pStyle w:val="4"/>
              <w:spacing w:before="66" w:line="176" w:lineRule="auto"/>
              <w:ind w:left="21" w:leftChars="0"/>
              <w:jc w:val="cente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Former: consumed at least 12 drinks in one year but did not drink in the last year or did not drink in the last year but had at least 12 drinks in their lifetime;</w:t>
            </w:r>
          </w:p>
          <w:p w14:paraId="33A89C8A">
            <w:pPr>
              <w:pStyle w:val="4"/>
              <w:spacing w:before="66" w:line="176" w:lineRule="auto"/>
              <w:ind w:left="21" w:leftChars="0"/>
              <w:jc w:val="cente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Heavy: consumed at least 3 drinks per day for females, at least 4 drinks per day for males, or engaged in binge drinking on 5 or more days per month;</w:t>
            </w:r>
          </w:p>
          <w:p w14:paraId="122403B2">
            <w:pPr>
              <w:pStyle w:val="4"/>
              <w:spacing w:before="66" w:line="176" w:lineRule="auto"/>
              <w:ind w:left="21" w:leftChars="0"/>
              <w:jc w:val="cente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Moderate: consumed at least 2 drinks per day for females, at least 3 drinks per day for males, or engaged in binge drinking on at least 2 days per month;</w:t>
            </w:r>
          </w:p>
          <w:p w14:paraId="02459D3C">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Mild : consumed at most 1 drink per day for females, at most 2 drinks per day for males.</w:t>
            </w:r>
          </w:p>
        </w:tc>
      </w:tr>
      <w:tr w14:paraId="4EE9139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95" w:hRule="atLeast"/>
        </w:trPr>
        <w:tc>
          <w:tcPr>
            <w:tcW w:w="2510" w:type="dxa"/>
            <w:tcBorders>
              <w:top w:val="nil"/>
              <w:bottom w:val="nil"/>
            </w:tcBorders>
            <w:vAlign w:val="top"/>
          </w:tcPr>
          <w:p w14:paraId="400CA6F0">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BMI</w:t>
            </w:r>
          </w:p>
        </w:tc>
        <w:tc>
          <w:tcPr>
            <w:tcW w:w="8460" w:type="dxa"/>
            <w:tcBorders>
              <w:top w:val="nil"/>
              <w:bottom w:val="nil"/>
            </w:tcBorders>
            <w:vAlign w:val="top"/>
          </w:tcPr>
          <w:p w14:paraId="35AF459F">
            <w:pPr>
              <w:pStyle w:val="4"/>
              <w:spacing w:before="66" w:line="176" w:lineRule="auto"/>
              <w:ind w:left="21"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weight (kg)/height (m</w:t>
            </w:r>
            <w:r>
              <w:rPr>
                <w:rFonts w:hint="default" w:ascii="Times New Roman" w:hAnsi="Times New Roman" w:eastAsia="宋体" w:cs="Times New Roman"/>
                <w:i w:val="0"/>
                <w:iCs w:val="0"/>
                <w:snapToGrid/>
                <w:color w:val="000000" w:themeColor="text1"/>
                <w:kern w:val="2"/>
                <w:sz w:val="24"/>
                <w:szCs w:val="24"/>
                <w:u w:val="none"/>
                <w:vertAlign w:val="superscript"/>
                <w:lang w:val="en-US" w:eastAsia="zh-CN" w:bidi="ar-SA"/>
                <w14:textFill>
                  <w14:solidFill>
                    <w14:schemeClr w14:val="tx1"/>
                  </w14:solidFill>
                </w14:textFill>
              </w:rPr>
              <w:t>2</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w:t>
            </w: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w:t>
            </w:r>
          </w:p>
        </w:tc>
      </w:tr>
      <w:tr w14:paraId="5EC1799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95" w:hRule="atLeast"/>
        </w:trPr>
        <w:tc>
          <w:tcPr>
            <w:tcW w:w="2510" w:type="dxa"/>
            <w:tcBorders>
              <w:top w:val="nil"/>
              <w:bottom w:val="single" w:color="auto" w:sz="4" w:space="0"/>
            </w:tcBorders>
            <w:vAlign w:val="top"/>
          </w:tcPr>
          <w:p w14:paraId="040FD4AD">
            <w:pPr>
              <w:pStyle w:val="4"/>
              <w:spacing w:before="204" w:line="184" w:lineRule="auto"/>
              <w:ind w:left="18" w:leftChars="0"/>
              <w:jc w:val="cente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Laboratory tests</w:t>
            </w:r>
          </w:p>
        </w:tc>
        <w:tc>
          <w:tcPr>
            <w:tcW w:w="8460" w:type="dxa"/>
            <w:tcBorders>
              <w:top w:val="nil"/>
              <w:bottom w:val="single" w:color="auto" w:sz="4" w:space="0"/>
            </w:tcBorders>
            <w:vAlign w:val="top"/>
          </w:tcPr>
          <w:p w14:paraId="1A907235">
            <w:pPr>
              <w:pStyle w:val="4"/>
              <w:spacing w:before="69" w:line="184" w:lineRule="auto"/>
              <w:ind w:left="322"/>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The Specific method can be found in this webpage</w:t>
            </w:r>
          </w:p>
          <w:p w14:paraId="40FE445E">
            <w:pPr>
              <w:pStyle w:val="4"/>
              <w:spacing w:before="62" w:line="174" w:lineRule="auto"/>
              <w:ind w:left="330" w:leftChars="0"/>
              <w:jc w:val="cente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fldChar w:fldCharType="begin"/>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instrText xml:space="preserve"> HYPERLINK "https://wwwn.cdc.gov/nchs/nhanes/continuousnhanes/labmethods.aspx?BeginYear=2017" </w:instrTex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fldChar w:fldCharType="separate"/>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https://wwwn.cdc.gov/nchs/nhanes/continuousnhanes/labmethods.aspx?BeginYear=</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fldChar w:fldCharType="end"/>
            </w:r>
            <w:r>
              <w:rPr>
                <w:rFonts w:hint="eastAsia"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1999</w:t>
            </w:r>
            <w:r>
              <w:rPr>
                <w:rFonts w:hint="default" w:ascii="Times New Roman" w:hAnsi="Times New Roman" w:eastAsia="宋体" w:cs="Times New Roman"/>
                <w:i w:val="0"/>
                <w:iCs w:val="0"/>
                <w:snapToGrid/>
                <w:color w:val="000000" w:themeColor="text1"/>
                <w:kern w:val="2"/>
                <w:sz w:val="24"/>
                <w:szCs w:val="24"/>
                <w:u w:val="none"/>
                <w:lang w:val="en-US" w:eastAsia="zh-CN" w:bidi="ar-SA"/>
                <w14:textFill>
                  <w14:solidFill>
                    <w14:schemeClr w14:val="tx1"/>
                  </w14:solidFill>
                </w14:textFill>
              </w:rPr>
              <w:t>)</w:t>
            </w:r>
          </w:p>
        </w:tc>
      </w:tr>
    </w:tbl>
    <w:p w14:paraId="5924C3D1">
      <w:pPr>
        <w:tabs>
          <w:tab w:val="left" w:pos="902"/>
        </w:tabs>
        <w:spacing w:line="240" w:lineRule="auto"/>
        <w:jc w:val="center"/>
        <w:rPr>
          <w:rFonts w:hint="default" w:ascii="Times New Roman" w:hAnsi="Times New Roman" w:eastAsia="等线" w:cs="Times New Roman"/>
          <w:sz w:val="24"/>
          <w:szCs w:val="24"/>
          <w:lang w:eastAsia="zh-CN"/>
        </w:rPr>
      </w:pPr>
      <w:r>
        <w:rPr>
          <w:rFonts w:hint="default" w:ascii="Times New Roman" w:hAnsi="Times New Roman" w:eastAsia="等线" w:cs="Times New Roman"/>
          <w:sz w:val="24"/>
          <w:szCs w:val="24"/>
          <w:lang w:bidi="ar"/>
        </w:rPr>
        <w:t>Abbreviations: PIR,</w:t>
      </w:r>
      <w:r>
        <w:rPr>
          <w:rFonts w:hint="eastAsia" w:ascii="Times New Roman" w:hAnsi="Times New Roman" w:eastAsia="等线" w:cs="Times New Roman"/>
          <w:sz w:val="24"/>
          <w:szCs w:val="24"/>
          <w:lang w:val="en-US" w:eastAsia="zh-CN" w:bidi="ar"/>
        </w:rPr>
        <w:t xml:space="preserve"> </w:t>
      </w:r>
      <w:r>
        <w:rPr>
          <w:rFonts w:hint="default" w:ascii="Times New Roman" w:hAnsi="Times New Roman" w:eastAsia="等线" w:cs="Times New Roman"/>
          <w:sz w:val="24"/>
          <w:szCs w:val="24"/>
          <w:lang w:bidi="ar"/>
        </w:rPr>
        <w:t>poverty income ratio;</w:t>
      </w:r>
      <w:r>
        <w:rPr>
          <w:rFonts w:hint="eastAsia" w:ascii="Times New Roman" w:hAnsi="Times New Roman" w:eastAsia="等线" w:cs="Times New Roman"/>
          <w:sz w:val="24"/>
          <w:szCs w:val="24"/>
          <w:lang w:val="en-US" w:eastAsia="zh-CN" w:bidi="ar"/>
        </w:rPr>
        <w:t xml:space="preserve"> </w:t>
      </w:r>
      <w:r>
        <w:rPr>
          <w:rFonts w:hint="default" w:ascii="Times New Roman" w:hAnsi="Times New Roman" w:eastAsia="等线" w:cs="Times New Roman"/>
          <w:color w:val="000000"/>
          <w:kern w:val="0"/>
          <w:sz w:val="24"/>
          <w:szCs w:val="24"/>
          <w:lang w:val="en-US" w:eastAsia="zh-CN" w:bidi="ar"/>
        </w:rPr>
        <w:t>BMI, body mass index</w:t>
      </w:r>
      <w:r>
        <w:rPr>
          <w:rFonts w:hint="default" w:ascii="Times New Roman" w:hAnsi="Times New Roman" w:eastAsia="等线" w:cs="Times New Roman"/>
          <w:sz w:val="24"/>
          <w:szCs w:val="24"/>
          <w:lang w:bidi="ar"/>
        </w:rPr>
        <w:t>.</w:t>
      </w:r>
    </w:p>
    <w:p w14:paraId="538269C9">
      <w:pPr>
        <w:spacing w:line="240" w:lineRule="auto"/>
        <w:jc w:val="both"/>
        <w:rPr>
          <w:rFonts w:hint="default" w:ascii="Times New Roman" w:hAnsi="Times New Roman" w:eastAsia="等线" w:cs="Times New Roman"/>
          <w:sz w:val="24"/>
          <w:szCs w:val="24"/>
          <w:lang w:val="en-US" w:eastAsia="zh-CN" w:bidi="ar"/>
        </w:rPr>
      </w:pPr>
      <w:r>
        <w:rPr>
          <w:rFonts w:hint="default" w:ascii="Times New Roman" w:hAnsi="Times New Roman" w:eastAsia="等线" w:cs="Times New Roman"/>
          <w:sz w:val="24"/>
          <w:szCs w:val="24"/>
          <w:lang w:val="en-US" w:eastAsia="zh-CN" w:bidi="ar"/>
        </w:rPr>
        <w:drawing>
          <wp:inline distT="0" distB="0" distL="114300" distR="114300">
            <wp:extent cx="5261610" cy="5100955"/>
            <wp:effectExtent l="0" t="0" r="10795" b="2540"/>
            <wp:docPr id="2" name="图片 2"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流程图"/>
                    <pic:cNvPicPr>
                      <a:picLocks noChangeAspect="1"/>
                    </pic:cNvPicPr>
                  </pic:nvPicPr>
                  <pic:blipFill>
                    <a:blip r:embed="rId4"/>
                    <a:stretch>
                      <a:fillRect/>
                    </a:stretch>
                  </pic:blipFill>
                  <pic:spPr>
                    <a:xfrm>
                      <a:off x="0" y="0"/>
                      <a:ext cx="5261610" cy="5100955"/>
                    </a:xfrm>
                    <a:prstGeom prst="rect">
                      <a:avLst/>
                    </a:prstGeom>
                  </pic:spPr>
                </pic:pic>
              </a:graphicData>
            </a:graphic>
          </wp:inline>
        </w:drawing>
      </w:r>
    </w:p>
    <w:p w14:paraId="35CDF63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Figure </w:t>
      </w:r>
      <w:r>
        <w:rPr>
          <w:rFonts w:hint="eastAsia" w:ascii="Times New Roman" w:hAnsi="Times New Roman" w:cs="Times New Roman"/>
          <w:b/>
          <w:bCs/>
          <w:sz w:val="24"/>
          <w:szCs w:val="24"/>
          <w:lang w:val="en-US" w:eastAsia="zh-CN"/>
        </w:rPr>
        <w:t>S</w:t>
      </w:r>
      <w:r>
        <w:rPr>
          <w:rFonts w:hint="default" w:ascii="Times New Roman" w:hAnsi="Times New Roman" w:cs="Times New Roman"/>
          <w:b/>
          <w:bCs/>
          <w:sz w:val="24"/>
          <w:szCs w:val="24"/>
        </w:rPr>
        <w:t>1. Flow diagram of study cohort selection.</w:t>
      </w:r>
    </w:p>
    <w:p w14:paraId="4F41E6E1">
      <w:pPr>
        <w:jc w:val="center"/>
        <w:rPr>
          <w:rFonts w:hint="eastAsia" w:eastAsiaTheme="minorEastAsia"/>
          <w:lang w:eastAsia="zh-CN"/>
        </w:rPr>
      </w:pPr>
      <w:r>
        <w:rPr>
          <w:rFonts w:hint="eastAsia" w:eastAsiaTheme="minorEastAsia"/>
          <w:lang w:eastAsia="zh-CN"/>
        </w:rPr>
        <w:drawing>
          <wp:inline distT="0" distB="0" distL="114300" distR="114300">
            <wp:extent cx="5266690" cy="6583680"/>
            <wp:effectExtent l="0" t="0" r="6350" b="0"/>
            <wp:docPr id="5" name="图片 5" descr="Lasso_Combined_Vertical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asso_Combined_Vertical_01(2)"/>
                    <pic:cNvPicPr>
                      <a:picLocks noChangeAspect="1"/>
                    </pic:cNvPicPr>
                  </pic:nvPicPr>
                  <pic:blipFill>
                    <a:blip r:embed="rId5"/>
                    <a:stretch>
                      <a:fillRect/>
                    </a:stretch>
                  </pic:blipFill>
                  <pic:spPr>
                    <a:xfrm>
                      <a:off x="0" y="0"/>
                      <a:ext cx="5266690" cy="6583680"/>
                    </a:xfrm>
                    <a:prstGeom prst="rect">
                      <a:avLst/>
                    </a:prstGeom>
                  </pic:spPr>
                </pic:pic>
              </a:graphicData>
            </a:graphic>
          </wp:inline>
        </w:drawing>
      </w:r>
    </w:p>
    <w:p w14:paraId="354DD8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Figure S2. Identification of all-cause mortality risk</w:t>
      </w:r>
      <w:r>
        <w:rPr>
          <w:rFonts w:hint="default" w:ascii="Times New Roman" w:hAnsi="Times New Roman" w:cs="Times New Roman"/>
          <w:b/>
          <w:bCs/>
          <w:sz w:val="24"/>
          <w:szCs w:val="24"/>
        </w:rPr>
        <w:noBreakHyphen/>
      </w:r>
      <w:r>
        <w:rPr>
          <w:rFonts w:hint="default" w:ascii="Times New Roman" w:hAnsi="Times New Roman" w:cs="Times New Roman"/>
          <w:b/>
          <w:bCs/>
          <w:sz w:val="24"/>
          <w:szCs w:val="24"/>
        </w:rPr>
        <w:t>related factors using LASSO penalized regression. (A) Coefficient paths for each variable across Log Lambda. (B) Cross</w:t>
      </w:r>
      <w:r>
        <w:rPr>
          <w:rFonts w:hint="default" w:ascii="Times New Roman" w:hAnsi="Times New Roman" w:cs="Times New Roman"/>
          <w:b/>
          <w:bCs/>
          <w:sz w:val="24"/>
          <w:szCs w:val="24"/>
        </w:rPr>
        <w:noBreakHyphen/>
      </w:r>
      <w:r>
        <w:rPr>
          <w:rFonts w:hint="default" w:ascii="Times New Roman" w:hAnsi="Times New Roman" w:cs="Times New Roman"/>
          <w:b/>
          <w:bCs/>
          <w:sz w:val="24"/>
          <w:szCs w:val="24"/>
        </w:rPr>
        <w:t>validation error curve versus Log Lambda.</w:t>
      </w:r>
    </w:p>
    <w:p w14:paraId="62AEE793">
      <w:pPr>
        <w:bidi w:val="0"/>
        <w:rPr>
          <w:rFonts w:hint="eastAsia" w:asciiTheme="minorHAnsi" w:hAnsiTheme="minorHAnsi" w:eastAsiaTheme="minorEastAsia" w:cstheme="minorBidi"/>
          <w:kern w:val="2"/>
          <w:sz w:val="21"/>
          <w:szCs w:val="24"/>
          <w:lang w:val="en-US" w:eastAsia="zh-CN" w:bidi="ar-SA"/>
        </w:rPr>
      </w:pPr>
    </w:p>
    <w:p w14:paraId="4429D358">
      <w:pPr>
        <w:bidi w:val="0"/>
        <w:rPr>
          <w:rFonts w:hint="eastAsia"/>
          <w:lang w:val="en-US" w:eastAsia="zh-CN"/>
        </w:rPr>
      </w:pPr>
      <w:r>
        <w:rPr>
          <w:rFonts w:hint="eastAsia"/>
          <w:lang w:val="en-US" w:eastAsia="zh-CN"/>
        </w:rPr>
        <w:drawing>
          <wp:inline distT="0" distB="0" distL="114300" distR="114300">
            <wp:extent cx="5257800" cy="4206240"/>
            <wp:effectExtent l="0" t="0" r="0" b="0"/>
            <wp:docPr id="4" name="图片 4" descr="Boruta筛选结果1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ruta筛选结果1_01(1)"/>
                    <pic:cNvPicPr>
                      <a:picLocks noChangeAspect="1"/>
                    </pic:cNvPicPr>
                  </pic:nvPicPr>
                  <pic:blipFill>
                    <a:blip r:embed="rId6"/>
                    <a:stretch>
                      <a:fillRect/>
                    </a:stretch>
                  </pic:blipFill>
                  <pic:spPr>
                    <a:xfrm>
                      <a:off x="0" y="0"/>
                      <a:ext cx="5257800" cy="4206240"/>
                    </a:xfrm>
                    <a:prstGeom prst="rect">
                      <a:avLst/>
                    </a:prstGeom>
                  </pic:spPr>
                </pic:pic>
              </a:graphicData>
            </a:graphic>
          </wp:inline>
        </w:drawing>
      </w:r>
    </w:p>
    <w:p w14:paraId="6DF75287">
      <w:pPr>
        <w:bidi w:val="0"/>
        <w:jc w:val="center"/>
        <w:rPr>
          <w:rFonts w:hint="default" w:ascii="Times New Roman" w:hAnsi="Times New Roman" w:cs="Times New Roman"/>
          <w:b/>
          <w:bCs/>
          <w:sz w:val="24"/>
          <w:szCs w:val="24"/>
          <w:lang w:val="en-GB" w:eastAsia="zh-CN"/>
        </w:rPr>
      </w:pPr>
      <w:r>
        <w:rPr>
          <w:rFonts w:hint="eastAsia" w:ascii="Times New Roman" w:hAnsi="Times New Roman" w:cs="Times New Roman"/>
          <w:b/>
          <w:bCs/>
          <w:sz w:val="24"/>
          <w:szCs w:val="24"/>
          <w:lang w:val="en-US" w:eastAsia="zh-CN"/>
        </w:rPr>
        <w:t xml:space="preserve">Figure S3. </w:t>
      </w:r>
      <w:r>
        <w:rPr>
          <w:rFonts w:hint="default" w:ascii="Times New Roman" w:hAnsi="Times New Roman" w:cs="Times New Roman"/>
          <w:b/>
          <w:bCs/>
          <w:sz w:val="24"/>
          <w:szCs w:val="24"/>
          <w:lang w:val="en-GB" w:eastAsia="zh-CN"/>
        </w:rPr>
        <w:t>Boruta algorithm–based feature selection for variables associated with all‑cause mortality risk.</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auto"/>
    <w:pitch w:val="default"/>
    <w:sig w:usb0="E0000287" w:usb1="40000013" w:usb2="00000000"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F0BC0"/>
    <w:rsid w:val="53962600"/>
    <w:rsid w:val="560C125E"/>
    <w:rsid w:val="75DF0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autoRedefine/>
    <w:semiHidden/>
    <w:qFormat/>
    <w:uiPriority w:val="0"/>
    <w:rPr>
      <w:rFonts w:ascii="Palatino Linotype" w:hAnsi="Palatino Linotype" w:eastAsia="Palatino Linotype" w:cs="Palatino Linotype"/>
      <w:sz w:val="20"/>
      <w:szCs w:val="20"/>
      <w:lang w:val="en-US" w:eastAsia="en-US" w:bidi="ar-SA"/>
    </w:rPr>
  </w:style>
  <w:style w:type="table" w:customStyle="1" w:styleId="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276</Words>
  <Characters>1518</Characters>
  <Lines>0</Lines>
  <Paragraphs>0</Paragraphs>
  <TotalTime>5</TotalTime>
  <ScaleCrop>false</ScaleCrop>
  <LinksUpToDate>false</LinksUpToDate>
  <CharactersWithSpaces>1762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2025-12-23T09:43:00Z</dcterms:created>
  <dc:creator>1</dc:creator>
  <cp:lastModifiedBy>111</cp:lastModifiedBy>
  <dcterms:modified xsi:type="dcterms:W3CDTF">2026-04-02T18:40:43Z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BE8E4FF1490A4A9FBEA3A05BFF3201C5_11</vt:lpwstr>
  </property>
  <property fmtid="{D5CDD505-2E9C-101B-9397-08002B2CF9AE}" pid="4" name="KSOTemplateDocerSaveRecord">
    <vt:lpwstr>eyJoZGlkIjoiYmMwNjBjMDllYzJmZTk0ODc1NDY3Njc4ZjYxOTFjYmQiLCJ1c2VySWQiOiIxNzkyMjA2ODczIn0=</vt:lpwstr>
  </property>
</Properties>
</file>