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FC6070" w14:textId="75419371" w:rsidR="005C49E8" w:rsidRDefault="005C49E8" w:rsidP="005C49E8">
      <w:pPr>
        <w:pStyle w:val="p1"/>
      </w:pPr>
      <w:r>
        <w:rPr>
          <w:b/>
          <w:bCs/>
        </w:rPr>
        <w:t>Supplementary Video 1 | Superatom dynamics under electron-beam irradiation.</w:t>
      </w:r>
      <w:r>
        <w:br/>
        <w:t xml:space="preserve">Time-series </w:t>
      </w:r>
      <w:r w:rsidR="00FF3680">
        <w:t xml:space="preserve">HAADF-STEM </w:t>
      </w:r>
      <w:r>
        <w:t xml:space="preserve">imaging of a superatomic crystal under electron-beam irradiation, with the imaging probe providing the only external energy input. At a probe current of 60 </w:t>
      </w:r>
      <w:proofErr w:type="spellStart"/>
      <w:r>
        <w:t>pA</w:t>
      </w:r>
      <w:proofErr w:type="spellEnd"/>
      <w:r>
        <w:t>, the crystal remains structurally stable over 180 s, while local rearrangements of individual superatoms occur. Still frames from this video are shown in Fig. 3c–e.</w:t>
      </w:r>
    </w:p>
    <w:p w14:paraId="250C63A8" w14:textId="7FD9DB7C" w:rsidR="005C49E8" w:rsidRDefault="005C49E8" w:rsidP="005C49E8">
      <w:pPr>
        <w:pStyle w:val="p1"/>
      </w:pPr>
      <w:r>
        <w:rPr>
          <w:b/>
          <w:bCs/>
        </w:rPr>
        <w:t>Supplementary Video 2 | Attachment and detachment of superatoms at crystal edges.</w:t>
      </w:r>
      <w:r>
        <w:br/>
        <w:t xml:space="preserve">Time-series </w:t>
      </w:r>
      <w:r w:rsidR="00FF3680">
        <w:t>HAADF-STEM</w:t>
      </w:r>
      <w:r w:rsidR="00FF3680">
        <w:t xml:space="preserve"> </w:t>
      </w:r>
      <w:r>
        <w:t>imaging of a superatomic crystal showing the attachment and detachment of individual superatoms and small superatom clusters at multiple crystal edges (left, right and bottom).</w:t>
      </w:r>
    </w:p>
    <w:p w14:paraId="6757FBFF" w14:textId="50BE3BCD" w:rsidR="005C49E8" w:rsidRDefault="005C49E8" w:rsidP="005C49E8">
      <w:pPr>
        <w:pStyle w:val="p1"/>
      </w:pPr>
      <w:r>
        <w:rPr>
          <w:b/>
          <w:bCs/>
        </w:rPr>
        <w:t>Supplementary Video 3 | Electron-beam-induced recrystallization of a superatomic crystal.</w:t>
      </w:r>
      <w:r>
        <w:br/>
        <w:t xml:space="preserve">Time-series </w:t>
      </w:r>
      <w:r w:rsidR="00FF3680">
        <w:t>HAADF-STEM</w:t>
      </w:r>
      <w:r w:rsidR="00FF3680">
        <w:t xml:space="preserve"> </w:t>
      </w:r>
      <w:r>
        <w:t>imaging showing the elimination of a grain boundary between two superatomic crystallites through collective motion and rearrangement of individual superatoms under electron-beam irradiation</w:t>
      </w:r>
      <w:r w:rsidR="006C1A40">
        <w:t xml:space="preserve"> at 90 </w:t>
      </w:r>
      <w:proofErr w:type="spellStart"/>
      <w:r w:rsidR="006C1A40">
        <w:t>pA</w:t>
      </w:r>
      <w:proofErr w:type="spellEnd"/>
      <w:r w:rsidR="006C1A40">
        <w:t xml:space="preserve"> probe current</w:t>
      </w:r>
      <w:r>
        <w:t>. Features associated with the original boundary persist following recrystallization, including characteristic voids and edge structures. Still frames from this video are shown in Figs. 3</w:t>
      </w:r>
      <w:proofErr w:type="gramStart"/>
      <w:r>
        <w:t>g,h</w:t>
      </w:r>
      <w:proofErr w:type="gramEnd"/>
      <w:r>
        <w:t xml:space="preserve"> and 4</w:t>
      </w:r>
      <w:proofErr w:type="gramStart"/>
      <w:r>
        <w:t>a,b.</w:t>
      </w:r>
      <w:proofErr w:type="gramEnd"/>
    </w:p>
    <w:p w14:paraId="356B48EB" w14:textId="2CC59F96" w:rsidR="005C49E8" w:rsidRDefault="005C49E8" w:rsidP="005C49E8">
      <w:pPr>
        <w:pStyle w:val="p1"/>
      </w:pPr>
      <w:r>
        <w:rPr>
          <w:b/>
          <w:bCs/>
        </w:rPr>
        <w:t>Supplementary Video 4 | Rearrangement and attachment of a small superatom cluster.</w:t>
      </w:r>
      <w:r>
        <w:br/>
        <w:t xml:space="preserve">Time-series </w:t>
      </w:r>
      <w:r w:rsidR="00FF3680">
        <w:t>HAADF-STEM</w:t>
      </w:r>
      <w:r w:rsidR="00FF3680">
        <w:t xml:space="preserve"> </w:t>
      </w:r>
      <w:r>
        <w:t>imaging of a cluster comprising approximately four to five superatoms undergoing repeated rearrangements before attaching to the crystal edge.</w:t>
      </w:r>
    </w:p>
    <w:p w14:paraId="6FD92CB2" w14:textId="614AA833" w:rsidR="005C49E8" w:rsidRDefault="005C49E8" w:rsidP="005C49E8">
      <w:pPr>
        <w:pStyle w:val="p1"/>
      </w:pPr>
      <w:r>
        <w:rPr>
          <w:b/>
          <w:bCs/>
        </w:rPr>
        <w:t>Supplementary Video 5 | Dynamics of monolayer and moiré bilayer regions.</w:t>
      </w:r>
      <w:r>
        <w:br/>
        <w:t xml:space="preserve">Time-series </w:t>
      </w:r>
      <w:r w:rsidR="00FF3680">
        <w:t>HAADF-STEM</w:t>
      </w:r>
      <w:r w:rsidR="00FF3680">
        <w:t xml:space="preserve"> </w:t>
      </w:r>
      <w:r>
        <w:t>imaging of adjacent monolayer and bilayer regions of a superatomic crystal. Vacancies are visible within the monolayer, whereas the brighter bilayer exhibits a moiré pattern arising from rotational misalignment between the two superatomic layers. A bright amorphous feature is observed migrating across the monolayer region.</w:t>
      </w:r>
    </w:p>
    <w:p w14:paraId="799493E2" w14:textId="5878D834" w:rsidR="005C49E8" w:rsidRDefault="005C49E8" w:rsidP="005C49E8">
      <w:pPr>
        <w:pStyle w:val="p1"/>
      </w:pPr>
      <w:r>
        <w:rPr>
          <w:b/>
          <w:bCs/>
        </w:rPr>
        <w:t>Supplementary Video 6 | Stability of a superatomic vacancy under electron-beam irradiation.</w:t>
      </w:r>
      <w:r>
        <w:br/>
        <w:t xml:space="preserve">Time-series </w:t>
      </w:r>
      <w:r w:rsidR="00FF3680">
        <w:t>HAADF-STEM</w:t>
      </w:r>
      <w:r w:rsidR="00FF3680">
        <w:t xml:space="preserve"> </w:t>
      </w:r>
      <w:r>
        <w:t>imaging of a vacancy that remains stationary under electron-beam irradiation, demonstrating the stability of this point defect under the applied imaging conditions. Still frames from this video are shown in Fig. 1a.</w:t>
      </w:r>
    </w:p>
    <w:p w14:paraId="07F191C6" w14:textId="52EBB2A7" w:rsidR="005A6375" w:rsidRPr="005C49E8" w:rsidRDefault="005A6375" w:rsidP="00FF3680">
      <w:pPr>
        <w:ind w:left="0" w:firstLine="0"/>
      </w:pPr>
    </w:p>
    <w:sectPr w:rsidR="005A6375" w:rsidRPr="005C49E8">
      <w:footerReference w:type="even" r:id="rId8"/>
      <w:footerReference w:type="default" r:id="rId9"/>
      <w:footerReference w:type="first" r:id="rId10"/>
      <w:pgSz w:w="11906" w:h="16838"/>
      <w:pgMar w:top="1417" w:right="1417" w:bottom="1373" w:left="1417" w:header="720" w:footer="7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7779D7" w14:textId="77777777" w:rsidR="00CC2941" w:rsidRDefault="00CC2941">
      <w:pPr>
        <w:spacing w:after="0" w:line="240" w:lineRule="auto"/>
      </w:pPr>
      <w:r>
        <w:separator/>
      </w:r>
    </w:p>
  </w:endnote>
  <w:endnote w:type="continuationSeparator" w:id="0">
    <w:p w14:paraId="3550428D" w14:textId="77777777" w:rsidR="00CC2941" w:rsidRDefault="00CC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A19076" w14:textId="77777777" w:rsidR="00AA68F0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77167D" w14:textId="77777777" w:rsidR="00AA68F0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801A86" w14:textId="77777777" w:rsidR="00AA68F0" w:rsidRDefault="00000000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AF65FF" w14:textId="77777777" w:rsidR="00CC2941" w:rsidRDefault="00CC2941">
      <w:pPr>
        <w:spacing w:after="0" w:line="240" w:lineRule="auto"/>
      </w:pPr>
      <w:r>
        <w:separator/>
      </w:r>
    </w:p>
  </w:footnote>
  <w:footnote w:type="continuationSeparator" w:id="0">
    <w:p w14:paraId="53EEC707" w14:textId="77777777" w:rsidR="00CC2941" w:rsidRDefault="00CC2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50E59CF"/>
    <w:multiLevelType w:val="hybridMultilevel"/>
    <w:tmpl w:val="6C323752"/>
    <w:lvl w:ilvl="0" w:tplc="B5AABCAC">
      <w:start w:val="1"/>
      <w:numFmt w:val="decimal"/>
      <w:lvlText w:val="[%1]"/>
      <w:lvlJc w:val="left"/>
      <w:pPr>
        <w:ind w:left="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E23540">
      <w:start w:val="1"/>
      <w:numFmt w:val="lowerLetter"/>
      <w:lvlText w:val="%2"/>
      <w:lvlJc w:val="left"/>
      <w:pPr>
        <w:ind w:left="11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302886">
      <w:start w:val="1"/>
      <w:numFmt w:val="lowerRoman"/>
      <w:lvlText w:val="%3"/>
      <w:lvlJc w:val="left"/>
      <w:pPr>
        <w:ind w:left="18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62238">
      <w:start w:val="1"/>
      <w:numFmt w:val="decimal"/>
      <w:lvlText w:val="%4"/>
      <w:lvlJc w:val="left"/>
      <w:pPr>
        <w:ind w:left="25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CAADFA">
      <w:start w:val="1"/>
      <w:numFmt w:val="lowerLetter"/>
      <w:lvlText w:val="%5"/>
      <w:lvlJc w:val="left"/>
      <w:pPr>
        <w:ind w:left="32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FE65D8">
      <w:start w:val="1"/>
      <w:numFmt w:val="lowerRoman"/>
      <w:lvlText w:val="%6"/>
      <w:lvlJc w:val="left"/>
      <w:pPr>
        <w:ind w:left="39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647F02">
      <w:start w:val="1"/>
      <w:numFmt w:val="decimal"/>
      <w:lvlText w:val="%7"/>
      <w:lvlJc w:val="left"/>
      <w:pPr>
        <w:ind w:left="47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484626">
      <w:start w:val="1"/>
      <w:numFmt w:val="lowerLetter"/>
      <w:lvlText w:val="%8"/>
      <w:lvlJc w:val="left"/>
      <w:pPr>
        <w:ind w:left="54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5894BE">
      <w:start w:val="1"/>
      <w:numFmt w:val="lowerRoman"/>
      <w:lvlText w:val="%9"/>
      <w:lvlJc w:val="left"/>
      <w:pPr>
        <w:ind w:left="61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31232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yStyle&lt;/Style&gt;&lt;LeftDelim&gt;{&lt;/LeftDelim&gt;&lt;RightDelim&gt;}&lt;/RightDelim&gt;&lt;FontName&gt;Cambri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fv0sxtka02wueeazaxvdvvrtadt5tsfx20&quot;&gt;EndNoteLib&lt;record-ids&gt;&lt;item&gt;25&lt;/item&gt;&lt;item&gt;32&lt;/item&gt;&lt;item&gt;33&lt;/item&gt;&lt;item&gt;34&lt;/item&gt;&lt;item&gt;35&lt;/item&gt;&lt;item&gt;37&lt;/item&gt;&lt;item&gt;40&lt;/item&gt;&lt;item&gt;41&lt;/item&gt;&lt;item&gt;42&lt;/item&gt;&lt;item&gt;43&lt;/item&gt;&lt;item&gt;46&lt;/item&gt;&lt;item&gt;47&lt;/item&gt;&lt;item&gt;48&lt;/item&gt;&lt;item&gt;52&lt;/item&gt;&lt;item&gt;53&lt;/item&gt;&lt;item&gt;54&lt;/item&gt;&lt;item&gt;55&lt;/item&gt;&lt;item&gt;57&lt;/item&gt;&lt;item&gt;58&lt;/item&gt;&lt;item&gt;60&lt;/item&gt;&lt;item&gt;61&lt;/item&gt;&lt;item&gt;62&lt;/item&gt;&lt;item&gt;65&lt;/item&gt;&lt;item&gt;66&lt;/item&gt;&lt;item&gt;67&lt;/item&gt;&lt;item&gt;68&lt;/item&gt;&lt;item&gt;69&lt;/item&gt;&lt;item&gt;131&lt;/item&gt;&lt;item&gt;132&lt;/item&gt;&lt;item&gt;139&lt;/item&gt;&lt;item&gt;140&lt;/item&gt;&lt;/record-ids&gt;&lt;/item&gt;&lt;/Libraries&gt;"/>
    <w:docVar w:name="EN.UseJSCitationFormat" w:val="False"/>
  </w:docVars>
  <w:rsids>
    <w:rsidRoot w:val="00AA68F0"/>
    <w:rsid w:val="00065387"/>
    <w:rsid w:val="0009407E"/>
    <w:rsid w:val="000A3974"/>
    <w:rsid w:val="000A4206"/>
    <w:rsid w:val="000B3215"/>
    <w:rsid w:val="000C58BB"/>
    <w:rsid w:val="000C612D"/>
    <w:rsid w:val="000D56C9"/>
    <w:rsid w:val="000E747D"/>
    <w:rsid w:val="00151BB7"/>
    <w:rsid w:val="001840A0"/>
    <w:rsid w:val="00195430"/>
    <w:rsid w:val="001C01DE"/>
    <w:rsid w:val="001D4DD3"/>
    <w:rsid w:val="001D75C3"/>
    <w:rsid w:val="001F1A09"/>
    <w:rsid w:val="00213116"/>
    <w:rsid w:val="00222762"/>
    <w:rsid w:val="00240C35"/>
    <w:rsid w:val="00241557"/>
    <w:rsid w:val="002734DF"/>
    <w:rsid w:val="00282CCA"/>
    <w:rsid w:val="002B7152"/>
    <w:rsid w:val="002E11D0"/>
    <w:rsid w:val="00302C31"/>
    <w:rsid w:val="00303F4B"/>
    <w:rsid w:val="0034337F"/>
    <w:rsid w:val="00354601"/>
    <w:rsid w:val="0036792F"/>
    <w:rsid w:val="003A54FA"/>
    <w:rsid w:val="003B6ACF"/>
    <w:rsid w:val="00432D85"/>
    <w:rsid w:val="005213EA"/>
    <w:rsid w:val="0054663B"/>
    <w:rsid w:val="00547406"/>
    <w:rsid w:val="005753D6"/>
    <w:rsid w:val="005A562A"/>
    <w:rsid w:val="005A6375"/>
    <w:rsid w:val="005B5C3F"/>
    <w:rsid w:val="005C49E8"/>
    <w:rsid w:val="005C510B"/>
    <w:rsid w:val="005D1077"/>
    <w:rsid w:val="00613C95"/>
    <w:rsid w:val="00683615"/>
    <w:rsid w:val="006B0DCF"/>
    <w:rsid w:val="006C1A40"/>
    <w:rsid w:val="006D6019"/>
    <w:rsid w:val="007052BD"/>
    <w:rsid w:val="0072797B"/>
    <w:rsid w:val="00742497"/>
    <w:rsid w:val="0074339A"/>
    <w:rsid w:val="0077355E"/>
    <w:rsid w:val="00824A05"/>
    <w:rsid w:val="00872B0F"/>
    <w:rsid w:val="008870A7"/>
    <w:rsid w:val="008C2C65"/>
    <w:rsid w:val="008E2BA5"/>
    <w:rsid w:val="008F0C20"/>
    <w:rsid w:val="008F7B8E"/>
    <w:rsid w:val="00901185"/>
    <w:rsid w:val="0092755E"/>
    <w:rsid w:val="00932730"/>
    <w:rsid w:val="00947A4D"/>
    <w:rsid w:val="00983123"/>
    <w:rsid w:val="009B6AFA"/>
    <w:rsid w:val="009C4E1D"/>
    <w:rsid w:val="009F195C"/>
    <w:rsid w:val="00A1234B"/>
    <w:rsid w:val="00A23992"/>
    <w:rsid w:val="00A64B98"/>
    <w:rsid w:val="00A919A4"/>
    <w:rsid w:val="00AA68F0"/>
    <w:rsid w:val="00B05986"/>
    <w:rsid w:val="00B25637"/>
    <w:rsid w:val="00B35BB4"/>
    <w:rsid w:val="00B36358"/>
    <w:rsid w:val="00B519AA"/>
    <w:rsid w:val="00B53536"/>
    <w:rsid w:val="00B5722E"/>
    <w:rsid w:val="00B7358A"/>
    <w:rsid w:val="00BA3C83"/>
    <w:rsid w:val="00C033CD"/>
    <w:rsid w:val="00C0656E"/>
    <w:rsid w:val="00C30E2F"/>
    <w:rsid w:val="00C473A0"/>
    <w:rsid w:val="00C6051E"/>
    <w:rsid w:val="00C65FFA"/>
    <w:rsid w:val="00C73C35"/>
    <w:rsid w:val="00CC2941"/>
    <w:rsid w:val="00CC3F27"/>
    <w:rsid w:val="00CF0C76"/>
    <w:rsid w:val="00D015D5"/>
    <w:rsid w:val="00D61AAB"/>
    <w:rsid w:val="00D61EED"/>
    <w:rsid w:val="00D62216"/>
    <w:rsid w:val="00D63C70"/>
    <w:rsid w:val="00D66EEE"/>
    <w:rsid w:val="00D74650"/>
    <w:rsid w:val="00D9371A"/>
    <w:rsid w:val="00DA6D76"/>
    <w:rsid w:val="00DC10F2"/>
    <w:rsid w:val="00DC6E0B"/>
    <w:rsid w:val="00DF4519"/>
    <w:rsid w:val="00E0434B"/>
    <w:rsid w:val="00E07542"/>
    <w:rsid w:val="00E33FC8"/>
    <w:rsid w:val="00E43716"/>
    <w:rsid w:val="00E75303"/>
    <w:rsid w:val="00E82697"/>
    <w:rsid w:val="00EE5741"/>
    <w:rsid w:val="00F20163"/>
    <w:rsid w:val="00F60DB7"/>
    <w:rsid w:val="00F91F19"/>
    <w:rsid w:val="00FA44AB"/>
    <w:rsid w:val="00FC418C"/>
    <w:rsid w:val="00FE0617"/>
    <w:rsid w:val="00FF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D22B0"/>
  <w15:docId w15:val="{38C64304-D507-1249-99AB-2A02A9E6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430" w:lineRule="auto"/>
      <w:ind w:left="10" w:hanging="10"/>
      <w:jc w:val="both"/>
    </w:pPr>
    <w:rPr>
      <w:rFonts w:ascii="Cambria" w:eastAsia="Cambria" w:hAnsi="Cambria" w:cs="Cambria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0" w:line="259" w:lineRule="auto"/>
      <w:ind w:left="10" w:hanging="10"/>
      <w:outlineLvl w:val="0"/>
    </w:pPr>
    <w:rPr>
      <w:rFonts w:ascii="Cambria" w:eastAsia="Cambria" w:hAnsi="Cambria" w:cs="Cambria"/>
      <w:b/>
      <w:color w:val="000000"/>
      <w:sz w:val="2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25" w:line="259" w:lineRule="auto"/>
      <w:ind w:left="10" w:hanging="10"/>
      <w:outlineLvl w:val="1"/>
    </w:pPr>
    <w:rPr>
      <w:rFonts w:ascii="Cambria" w:eastAsia="Cambria" w:hAnsi="Cambria" w:cs="Cambria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9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mbria" w:eastAsia="Cambria" w:hAnsi="Cambria" w:cs="Cambria"/>
      <w:b/>
      <w:color w:val="000000"/>
      <w:sz w:val="24"/>
    </w:rPr>
  </w:style>
  <w:style w:type="character" w:customStyle="1" w:styleId="Heading1Char">
    <w:name w:val="Heading 1 Char"/>
    <w:link w:val="Heading1"/>
    <w:uiPriority w:val="9"/>
    <w:rPr>
      <w:rFonts w:ascii="Cambria" w:eastAsia="Cambria" w:hAnsi="Cambria" w:cs="Cambria"/>
      <w:b/>
      <w:color w:val="000000"/>
      <w:sz w:val="29"/>
    </w:rPr>
  </w:style>
  <w:style w:type="character" w:styleId="PlaceholderText">
    <w:name w:val="Placeholder Text"/>
    <w:basedOn w:val="DefaultParagraphFont"/>
    <w:uiPriority w:val="99"/>
    <w:semiHidden/>
    <w:rsid w:val="006B0DCF"/>
    <w:rPr>
      <w:color w:val="666666"/>
    </w:rPr>
  </w:style>
  <w:style w:type="paragraph" w:customStyle="1" w:styleId="EndNoteBibliographyTitle">
    <w:name w:val="EndNote Bibliography Title"/>
    <w:basedOn w:val="Normal"/>
    <w:link w:val="EndNoteBibliographyTitleChar"/>
    <w:rsid w:val="0054663B"/>
    <w:pPr>
      <w:spacing w:after="0"/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54663B"/>
    <w:rPr>
      <w:rFonts w:ascii="Cambria" w:eastAsia="Cambria" w:hAnsi="Cambria" w:cs="Cambria"/>
      <w:color w:val="000000"/>
      <w:sz w:val="20"/>
    </w:rPr>
  </w:style>
  <w:style w:type="paragraph" w:customStyle="1" w:styleId="EndNoteBibliography">
    <w:name w:val="EndNote Bibliography"/>
    <w:basedOn w:val="Normal"/>
    <w:link w:val="EndNoteBibliographyChar"/>
    <w:rsid w:val="0054663B"/>
    <w:pPr>
      <w:spacing w:line="240" w:lineRule="auto"/>
    </w:pPr>
  </w:style>
  <w:style w:type="character" w:customStyle="1" w:styleId="EndNoteBibliographyChar">
    <w:name w:val="EndNote Bibliography Char"/>
    <w:basedOn w:val="DefaultParagraphFont"/>
    <w:link w:val="EndNoteBibliography"/>
    <w:rsid w:val="0054663B"/>
    <w:rPr>
      <w:rFonts w:ascii="Cambria" w:eastAsia="Cambria" w:hAnsi="Cambria" w:cs="Cambria"/>
      <w:color w:val="00000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239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99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992"/>
    <w:rPr>
      <w:rFonts w:ascii="Cambria" w:eastAsia="Cambria" w:hAnsi="Cambria" w:cs="Cambri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9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992"/>
    <w:rPr>
      <w:rFonts w:ascii="Cambria" w:eastAsia="Cambria" w:hAnsi="Cambria" w:cs="Cambria"/>
      <w:b/>
      <w:bCs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9E8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p1">
    <w:name w:val="p1"/>
    <w:basedOn w:val="Normal"/>
    <w:rsid w:val="005C49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s1">
    <w:name w:val="s1"/>
    <w:basedOn w:val="DefaultParagraphFont"/>
    <w:rsid w:val="005C49E8"/>
  </w:style>
  <w:style w:type="paragraph" w:customStyle="1" w:styleId="p3">
    <w:name w:val="p3"/>
    <w:basedOn w:val="Normal"/>
    <w:rsid w:val="005C49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3EAA43-B206-1F44-8585-CCED5F70A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Austin</dc:creator>
  <cp:keywords/>
  <cp:lastModifiedBy>Houston, Austin</cp:lastModifiedBy>
  <cp:revision>58</cp:revision>
  <dcterms:created xsi:type="dcterms:W3CDTF">2026-03-05T14:39:00Z</dcterms:created>
  <dcterms:modified xsi:type="dcterms:W3CDTF">2026-08-11T10:46:00Z</dcterms:modified>
</cp:coreProperties>
</file>