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Heading1"/>
        <w:spacing w:after="0" w:before="0" w:lineRule="auto"/>
        <w:rPr/>
      </w:pPr>
      <w:r w:rsidDel="00000000" w:rsidR="00000000" w:rsidRPr="00000000">
        <w:rPr>
          <w:rtl w:val="0"/>
        </w:rPr>
        <w:t xml:space="preserve">Supplementary Material and methods</w:t>
      </w:r>
    </w:p>
    <w:p w:rsidR="00000000" w:rsidDel="00000000" w:rsidP="00000000" w:rsidRDefault="00000000" w:rsidRPr="00000000" w14:paraId="00000003">
      <w:pPr>
        <w:pStyle w:val="Heading2"/>
        <w:rPr>
          <w:b w:val="1"/>
          <w:bCs w:val="1"/>
        </w:rPr>
      </w:pPr>
      <w:r w:rsidDel="00000000" w:rsidR="00000000" w:rsidRPr="00000000">
        <w:rPr>
          <w:rtl w:val="0"/>
        </w:rPr>
        <w:t xml:space="preserve">Design and cloning of a single plasmid with the Homology-directed DNA repair (HDR) sequence and sgRNA </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A single plasmid encoding both the sgRNA and homology repair arms for CRISPR-Cas9-mediated HDR was generated by sequentially modifying (Addgene, #62988, Ran </w:t>
      </w:r>
      <w:r w:rsidDel="00000000" w:rsidR="00000000" w:rsidRPr="00000000">
        <w:rPr>
          <w:i w:val="1"/>
          <w:iCs w:val="1"/>
          <w:rtl w:val="0"/>
        </w:rPr>
        <w:t xml:space="preserve">et al.,</w:t>
      </w:r>
      <w:r w:rsidDel="00000000" w:rsidR="00000000" w:rsidRPr="00000000">
        <w:rPr>
          <w:rtl w:val="0"/>
        </w:rPr>
        <w:t xml:space="preserve"> 2013). As HAP1-LIG4KO-Cas9 (Horizon Discovery, # HZGHC-LIG4-Cas9) cells constitutively express Cas9 from a genomic integration, the Cas9 sequence was removed from the plasmid by PCR amplification with back-to-back primers flanking the Cas9 open reading frame (Table 8; NEB Q5® High-Fidelity DNA Polymerase with Q5 High GC Enhancer, 25 µl reaction, containing 20 ng template, 30 cycles; 98 °C for 10 s, 66 °C for 45 s, 72 °C for 4 mins, with an initial denaturation of 98 °C for 30 s and a final extension of 72 °C for 10 mins), followed by self-ligation of the amplicon using T4 DNA Ligase (NEB, #M0202). The resulting plasmid  (sequence in, Supplementary data 1) was transformed into DH5α competent cells (NEB, #C29871) and extracted by miniprep (Qiagen, #27104).</w:t>
      </w:r>
    </w:p>
    <w:p w:rsidR="00000000" w:rsidDel="00000000" w:rsidP="00000000" w:rsidRDefault="00000000" w:rsidRPr="00000000" w14:paraId="00000005">
      <w:pPr>
        <w:rPr/>
      </w:pPr>
      <w:r w:rsidDel="00000000" w:rsidR="00000000" w:rsidRPr="00000000">
        <w:rPr>
          <w:rtl w:val="0"/>
        </w:rPr>
        <w:t xml:space="preserve">The sgRNA protospacer sequence was subsequently cloned into the sgRNA expression cassette by linearizing the plasmid with BbsI restriction enzyme (NEB), followed by ligation with a complementary annealed double-stranded protospacer oligonucleotide (Table S8). The plasmid was transformed into DH5α competent cells (NEB, #C29871) and extracted by miniprep (Qiagen, #27104).</w:t>
      </w:r>
    </w:p>
    <w:p w:rsidR="00000000" w:rsidDel="00000000" w:rsidP="00000000" w:rsidRDefault="00000000" w:rsidRPr="00000000" w14:paraId="00000006">
      <w:pPr>
        <w:rPr/>
      </w:pPr>
      <w:r w:rsidDel="00000000" w:rsidR="00000000" w:rsidRPr="00000000">
        <w:rPr>
          <w:rtl w:val="0"/>
        </w:rPr>
        <w:t xml:space="preserve">Finally, the </w:t>
      </w:r>
      <w:r w:rsidDel="00000000" w:rsidR="00000000" w:rsidRPr="00000000">
        <w:rPr>
          <w:i w:val="1"/>
          <w:iCs w:val="1"/>
          <w:rtl w:val="0"/>
        </w:rPr>
        <w:t xml:space="preserve">SDHB </w:t>
      </w:r>
      <w:r w:rsidDel="00000000" w:rsidR="00000000" w:rsidRPr="00000000">
        <w:rPr>
          <w:rtl w:val="0"/>
        </w:rPr>
        <w:t xml:space="preserve">homology repair template was inserted into a unique cloning site between the f1 ori and AmpR promoter of the modified PX459 backbone. The 624 bp (hg38:chr1:17032780-17033421) insert comprising of the 5' homology arm (270 bp), wild-type </w:t>
      </w:r>
      <w:r w:rsidDel="00000000" w:rsidR="00000000" w:rsidRPr="00000000">
        <w:rPr>
          <w:i w:val="1"/>
          <w:iCs w:val="1"/>
          <w:rtl w:val="0"/>
        </w:rPr>
        <w:t xml:space="preserve">SDHB </w:t>
      </w:r>
      <w:r w:rsidDel="00000000" w:rsidR="00000000" w:rsidRPr="00000000">
        <w:rPr>
          <w:rtl w:val="0"/>
        </w:rPr>
        <w:t xml:space="preserve">exon 3 sequence with ±10 bp flanking regions (106 bp), and the 3' homology arm (266 bp), amplified from HAP1 genomic DNA using primers containing overhangs homologous to the linearized vector (Table S8). The vector backbone was linearized by PCR amplification using back-to-back primers flanking the insertion site (Table 8). Insert and the linearized vector were assembled at a 2:1 molar ratio using the NEBuilder® HiFi DNA Assembly Master Mix (NEB, #E2621L, at 50°C for 60 min). The assembled plasmid (sequence in, Supplementary data 2) was transformed into DH5α competent cells (NEB, #C29871) and extracted by miniprep (Qiagen, #27104). All modifications were confirmed by Sanger sequencing prior to use.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spacing w:after="0" w:before="0" w:lineRule="auto"/>
        <w:rPr/>
      </w:pPr>
      <w:bookmarkStart w:colFirst="0" w:colLast="0" w:name="_heading=h.u1m7xj4zr7fz" w:id="0"/>
      <w:bookmarkEnd w:id="0"/>
      <w:r w:rsidDel="00000000" w:rsidR="00000000" w:rsidRPr="00000000">
        <w:rPr>
          <w:rtl w:val="0"/>
        </w:rPr>
        <w:t xml:space="preserve">FACS sorting of haploid cells</w:t>
      </w:r>
    </w:p>
    <w:p w:rsidR="00000000" w:rsidDel="00000000" w:rsidP="00000000" w:rsidRDefault="00000000" w:rsidRPr="00000000" w14:paraId="00000009">
      <w:pPr>
        <w:ind w:firstLine="720"/>
        <w:rPr/>
      </w:pPr>
      <w:r w:rsidDel="00000000" w:rsidR="00000000" w:rsidRPr="00000000">
        <w:rPr>
          <w:rtl w:val="0"/>
        </w:rPr>
        <w:t xml:space="preserve">To maintain haploid cell populations and monitor spontaneous diploidization, HAP1-LIG4KO-Cas9 (Horizon Discovery, #HZGHC-LIG4-Cas9) cells were sorted by fluorescence-activated cell sorting (FACS) based on DNA content using Hoechst 33342 staining. Cells were trypsinized, filtered through a 30 µm cell strainer (SmartStrainer), and resuspended at 1 × 10⁶ cells/ml in growth medium with Gibco™IMDM (Thermo Fisher Scientific, #12440-053) supplemented with Gibco™FBS (15%, Thermo Fisher Scientific, #A5256701) and Gibco™penicillin/streptomycin (1% , Thermo Fisher Scientific, #15140122). Hoechst 33342 (16.2 mM, Invitrogen, #H3570) was added at 0.62 µl per ml of cell suspension to a final concentration of 10 µM. Cells were gently agitated and incubated at 37°C for 30 min in the dark in a CO₂ incubator. Following incubation, cells were centrifuged (300 × g, 5 min), washed once with 1 ml warm PBS, and resuspended in pre-warmed FACS buffer (PBS supplemented with 3% FBS). All subsequent steps were performed under light-protected conditions. Hoechst 33342 was detected using a DAPI filter set (excitation/emission 350/461 nm). Following sorting with BD FACSMelody cell sorter (BD Biosciences), cells from the 1N (haploid) gate were collected into growth medium supplemented with Gibco™penicillin/streptomycin (1%, Thermo Fisher Scientific, #15140122) and seeded. Growth medium was replaced the following day with fresh medium supplemented with DAB (10 µM, Selleck Chemicals, #S2409) to support haploid maintenance. The expanded cells were aliquoted at 2 million cells per vial and stored at -80 °C .</w:t>
      </w:r>
    </w:p>
    <w:p w:rsidR="00000000" w:rsidDel="00000000" w:rsidP="00000000" w:rsidRDefault="00000000" w:rsidRPr="00000000" w14:paraId="0000000A">
      <w:pPr>
        <w:pStyle w:val="Heading2"/>
        <w:spacing w:after="0" w:before="0" w:lineRule="auto"/>
        <w:rPr/>
      </w:pPr>
      <w:bookmarkStart w:colFirst="0" w:colLast="0" w:name="_heading=h.yrznbvszafv8" w:id="1"/>
      <w:bookmarkEnd w:id="1"/>
      <w:r w:rsidDel="00000000" w:rsidR="00000000" w:rsidRPr="00000000">
        <w:rPr>
          <w:rtl w:val="0"/>
        </w:rPr>
      </w:r>
    </w:p>
    <w:p w:rsidR="00000000" w:rsidDel="00000000" w:rsidP="00000000" w:rsidRDefault="00000000" w:rsidRPr="00000000" w14:paraId="0000000B">
      <w:pPr>
        <w:pStyle w:val="Heading2"/>
        <w:spacing w:after="0" w:before="0" w:lineRule="auto"/>
        <w:rPr/>
      </w:pPr>
      <w:r w:rsidDel="00000000" w:rsidR="00000000" w:rsidRPr="00000000">
        <w:rPr>
          <w:rtl w:val="0"/>
        </w:rPr>
        <w:t xml:space="preserve">FISH for ploidy stability with increasing passage</w:t>
      </w:r>
    </w:p>
    <w:p w:rsidR="00000000" w:rsidDel="00000000" w:rsidP="00000000" w:rsidRDefault="00000000" w:rsidRPr="00000000" w14:paraId="0000000C">
      <w:pPr>
        <w:ind w:firstLine="720"/>
        <w:rPr/>
      </w:pPr>
      <w:r w:rsidDel="00000000" w:rsidR="00000000" w:rsidRPr="00000000">
        <w:rPr>
          <w:rtl w:val="0"/>
        </w:rPr>
        <w:t xml:space="preserve">To assess haploid stability in the presence of DAB (10 µM, Selleck Chemicals, cat. #S2409) with increasing passages (up to passage 7 tested), we measured the </w:t>
      </w:r>
      <w:r w:rsidDel="00000000" w:rsidR="00000000" w:rsidRPr="00000000">
        <w:rPr>
          <w:i w:val="1"/>
          <w:iCs w:val="1"/>
          <w:rtl w:val="0"/>
        </w:rPr>
        <w:t xml:space="preserve">SDHB </w:t>
      </w:r>
      <w:r w:rsidDel="00000000" w:rsidR="00000000" w:rsidRPr="00000000">
        <w:rPr>
          <w:rtl w:val="0"/>
        </w:rPr>
        <w:t xml:space="preserve">copies in HAP1 cells   by interphase fluorescence in situ hybridization (FISH) (Fig S10). Fresh slides were prepared and dried at 73°C for 2 hours prior to processing. Slides were rehydrated in 2× SSC (pH 7.0) for 2 minutes at room temperature, followed by pepsinization in 0.005% pepsin/0.01 M HCl at 37°C for 3-5 minutes. Slides were rinsed in 1× PBS for 3 minutes at room temperature, post-fixed in 1% formaldehyde/1× PBS/20 mM MgCl₂ for 10 minutes, and rinsed again in 1× PBS for 3 minutes. Slides were then dehydrated through an ascending ethanol series (70%, 85%, 100%, 2 minutes each) and air-dried.</w:t>
      </w:r>
    </w:p>
    <w:p w:rsidR="00000000" w:rsidDel="00000000" w:rsidP="00000000" w:rsidRDefault="00000000" w:rsidRPr="00000000" w14:paraId="0000000D">
      <w:pPr>
        <w:ind w:firstLine="720"/>
        <w:rPr/>
      </w:pPr>
      <w:r w:rsidDel="00000000" w:rsidR="00000000" w:rsidRPr="00000000">
        <w:rPr>
          <w:rtl w:val="0"/>
        </w:rPr>
        <w:t xml:space="preserve">The </w:t>
      </w:r>
      <w:r w:rsidDel="00000000" w:rsidR="00000000" w:rsidRPr="00000000">
        <w:rPr>
          <w:i w:val="1"/>
          <w:iCs w:val="1"/>
          <w:rtl w:val="0"/>
        </w:rPr>
        <w:t xml:space="preserve">SDHB </w:t>
      </w:r>
      <w:r w:rsidDel="00000000" w:rsidR="00000000" w:rsidRPr="00000000">
        <w:rPr>
          <w:rtl w:val="0"/>
        </w:rPr>
        <w:t xml:space="preserve">locus was detected using a commercial FISH probe (</w:t>
      </w:r>
      <w:r w:rsidDel="00000000" w:rsidR="00000000" w:rsidRPr="00000000">
        <w:rPr>
          <w:i w:val="1"/>
          <w:iCs w:val="1"/>
          <w:rtl w:val="0"/>
        </w:rPr>
        <w:t xml:space="preserve">SDHB</w:t>
      </w:r>
      <w:r w:rsidDel="00000000" w:rsidR="00000000" w:rsidRPr="00000000">
        <w:rPr>
          <w:rtl w:val="0"/>
        </w:rPr>
        <w:t xml:space="preserve">, RP11-1146K14, green; Empire Genomics). Probe mixtures were prepared at a total volume of 10 µl per cellular area, containing 2 µl </w:t>
      </w:r>
      <w:r w:rsidDel="00000000" w:rsidR="00000000" w:rsidRPr="00000000">
        <w:rPr>
          <w:i w:val="1"/>
          <w:iCs w:val="1"/>
          <w:rtl w:val="0"/>
        </w:rPr>
        <w:t xml:space="preserve">SDHB </w:t>
      </w:r>
      <w:r w:rsidDel="00000000" w:rsidR="00000000" w:rsidRPr="00000000">
        <w:rPr>
          <w:rtl w:val="0"/>
        </w:rPr>
        <w:t xml:space="preserve">probe, 8 µl hybridization buffer, and denatured at 85°C for 10 minutes followed by pre-annealing at 37°C for a minimum of 30 minutes. Slides were denatured by application of 120 µl denaturation solution (50% formamide/2× SSC, pH 7.2) at 73°C for 1.5 minutes, immediately transferred to 70% ethanol at −20°C for 3 minutes, dehydrated through 85% and 100% ethanol for 2 minutes each, and air-dried. Ten microlitres of probe mixture was applied to each cellular area, covered with a 22×22 mm coverslip, sealed with fixogum, and hybridized overnight at 37°C for a minimum of 16 hours in a humidified chamber.</w:t>
      </w:r>
    </w:p>
    <w:p w:rsidR="00000000" w:rsidDel="00000000" w:rsidP="00000000" w:rsidRDefault="00000000" w:rsidRPr="00000000" w14:paraId="0000000E">
      <w:pPr>
        <w:ind w:firstLine="720"/>
        <w:rPr/>
      </w:pPr>
      <w:r w:rsidDel="00000000" w:rsidR="00000000" w:rsidRPr="00000000">
        <w:rPr>
          <w:rtl w:val="0"/>
        </w:rPr>
        <w:t xml:space="preserve">Post-hybridization washes were performed in 50% formamide/2× SSC (pH 7.2) at 45–48°C for four washes of 4 minutes each. Slides were dehydrated through 70% and 100% ethanol (2 minutes each) and air-dried in the dark. Nuclei were counterstained with DAPI in DAPI-Antifade mounting medium (10 µl per cellular area, MetaSystems, #D-0902-500 DA ) and stored in the dark for 15–20 minutes prior to imaging. A minimum of 50 interphase nuclei per sample were scored for </w:t>
      </w:r>
      <w:r w:rsidDel="00000000" w:rsidR="00000000" w:rsidRPr="00000000">
        <w:rPr>
          <w:i w:val="1"/>
          <w:iCs w:val="1"/>
          <w:rtl w:val="0"/>
        </w:rPr>
        <w:t xml:space="preserve">SDHB </w:t>
      </w:r>
      <w:r w:rsidDel="00000000" w:rsidR="00000000" w:rsidRPr="00000000">
        <w:rPr>
          <w:rtl w:val="0"/>
        </w:rPr>
        <w:t xml:space="preserve">signal copy number. Images were acquired using a Keyence fluorescence microscope at 60x oil immersion objective.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2"/>
        <w:spacing w:after="0" w:before="0" w:lineRule="auto"/>
        <w:rPr/>
      </w:pPr>
      <w:r w:rsidDel="00000000" w:rsidR="00000000" w:rsidRPr="00000000">
        <w:rPr>
          <w:rtl w:val="0"/>
        </w:rPr>
        <w:t xml:space="preserve">Generation of KO clones in haploid and diploid cells</w:t>
      </w:r>
    </w:p>
    <w:p w:rsidR="00000000" w:rsidDel="00000000" w:rsidP="00000000" w:rsidRDefault="00000000" w:rsidRPr="00000000" w14:paraId="00000011">
      <w:pPr>
        <w:spacing w:after="220" w:before="220" w:lineRule="auto"/>
        <w:ind w:firstLine="720"/>
        <w:rPr/>
      </w:pPr>
      <w:r w:rsidDel="00000000" w:rsidR="00000000" w:rsidRPr="00000000">
        <w:rPr>
          <w:rtl w:val="0"/>
        </w:rPr>
        <w:t xml:space="preserve">To generate hemizygous diploid cells (one functional </w:t>
      </w:r>
      <w:r w:rsidDel="00000000" w:rsidR="00000000" w:rsidRPr="00000000">
        <w:rPr>
          <w:i w:val="1"/>
          <w:iCs w:val="1"/>
          <w:rtl w:val="0"/>
        </w:rPr>
        <w:t xml:space="preserve">SDHB</w:t>
      </w:r>
      <w:r w:rsidDel="00000000" w:rsidR="00000000" w:rsidRPr="00000000">
        <w:rPr>
          <w:rtl w:val="0"/>
        </w:rPr>
        <w:t xml:space="preserve"> allele) and complete </w:t>
      </w:r>
      <w:r w:rsidDel="00000000" w:rsidR="00000000" w:rsidRPr="00000000">
        <w:rPr>
          <w:i w:val="1"/>
          <w:iCs w:val="1"/>
          <w:rtl w:val="0"/>
        </w:rPr>
        <w:t xml:space="preserve">SDHB</w:t>
      </w:r>
      <w:r w:rsidDel="00000000" w:rsidR="00000000" w:rsidRPr="00000000">
        <w:rPr>
          <w:rtl w:val="0"/>
        </w:rPr>
        <w:t xml:space="preserve"> knockout in haploid and diploid backgrounds (generated by passaging haploid cells for 10 passages without DAB), a CRISPR-Cas9 deletion strategy was employed using two gRNAs flanking the entire </w:t>
      </w:r>
      <w:r w:rsidDel="00000000" w:rsidR="00000000" w:rsidRPr="00000000">
        <w:rPr>
          <w:i w:val="1"/>
          <w:iCs w:val="1"/>
          <w:rtl w:val="0"/>
        </w:rPr>
        <w:t xml:space="preserve">SDHB </w:t>
      </w:r>
      <w:r w:rsidDel="00000000" w:rsidR="00000000" w:rsidRPr="00000000">
        <w:rPr>
          <w:rtl w:val="0"/>
        </w:rPr>
        <w:t xml:space="preserve">gene, one upstream of exon 1 (CCTTTCTGAGAAGGTCACGG) and one downstream of exon 8 (AGTCTTTGGATACGTCGGTG). Two of the diploid KO clones (KO 1, KO 2) were generated using a mixed sgRNA (ATGGCAAATTTCTTGATACG, CTATCGATGGGACCCAGACA,</w:t>
      </w:r>
      <w:r w:rsidDel="00000000" w:rsidR="00000000" w:rsidRPr="00000000">
        <w:rPr>
          <w:highlight w:val="white"/>
          <w:rtl w:val="0"/>
        </w:rPr>
        <w:t xml:space="preserve"> </w:t>
      </w:r>
      <w:r w:rsidDel="00000000" w:rsidR="00000000" w:rsidRPr="00000000">
        <w:rPr>
          <w:rtl w:val="0"/>
        </w:rPr>
        <w:t xml:space="preserve">CGATGGGACCCAGACAAGG) against exon2, resulting in a small deletion. HAP1-LIG4KO-Cas9 haploid and diploid cells were thawed and maintained in Gibco™IMDM (Thermo Fisher Scientific, #12440-053) supplemented with Gibco™ sodium pyruvate (2 mM, Thermo Fisher Scientific, #11360070), Gibco™FBS (15%, Thermo Fisher Scientific, #A5256701), and  DAB    (10 µM, Selleck Chemicals, #S2409). For transfection, 240,000 cells per well were seeded in 6-well plates 24 hours prior to transfection. Transfection was performed according to the manufacturer's instructions (Thermo Fisher Scientific). Briefly, gRNAs were combined with Invitrogen™ Cas9 Plus Reagent (Thermo Fisher Scientific, #CMAX00003) in Gibco™Opti-MEM™ I medium tube 1 (Thermo Fisher Scientific, #31985062); Lipofectamine™CRISPRMAX™ reagent was diluted separately in Opti-MEM™ I medium tube 2. Tube 2 was incubated for 1 min at room temperature, combined with tube 1, and incubated for a further 15 min at room temperature before addition to cells. Cells were incubated at 37°C for 48 hours, washed with 1xPBS, and single-cell clones were isolated by clonal dilution.</w:t>
      </w:r>
    </w:p>
    <w:p w:rsidR="00000000" w:rsidDel="00000000" w:rsidP="00000000" w:rsidRDefault="00000000" w:rsidRPr="00000000" w14:paraId="00000012">
      <w:pPr>
        <w:pStyle w:val="Heading2"/>
        <w:spacing w:after="0" w:before="0" w:lineRule="auto"/>
        <w:rPr/>
      </w:pPr>
      <w:bookmarkStart w:colFirst="0" w:colLast="0" w:name="_heading=h.8kcff42ir3io" w:id="2"/>
      <w:bookmarkEnd w:id="2"/>
      <w:r w:rsidDel="00000000" w:rsidR="00000000" w:rsidRPr="00000000">
        <w:rPr>
          <w:rtl w:val="0"/>
        </w:rPr>
        <w:t xml:space="preserve">Confirmation of WT and KO clones with Western blot and breakpoint PCR</w:t>
      </w:r>
    </w:p>
    <w:p w:rsidR="00000000" w:rsidDel="00000000" w:rsidP="00000000" w:rsidRDefault="00000000" w:rsidRPr="00000000" w14:paraId="00000013">
      <w:pPr>
        <w:ind w:firstLine="720"/>
        <w:rPr/>
      </w:pPr>
      <w:r w:rsidDel="00000000" w:rsidR="00000000" w:rsidRPr="00000000">
        <w:rPr>
          <w:rtl w:val="0"/>
        </w:rPr>
        <w:t xml:space="preserve">Successful </w:t>
      </w:r>
      <w:r w:rsidDel="00000000" w:rsidR="00000000" w:rsidRPr="00000000">
        <w:rPr>
          <w:i w:val="1"/>
          <w:iCs w:val="1"/>
          <w:rtl w:val="0"/>
        </w:rPr>
        <w:t xml:space="preserve">SDHB</w:t>
      </w:r>
      <w:r w:rsidDel="00000000" w:rsidR="00000000" w:rsidRPr="00000000">
        <w:rPr>
          <w:rtl w:val="0"/>
        </w:rPr>
        <w:t xml:space="preserve"> allele deletion was confirmed at the DNA level by breakpoint PCR. To detect the deletion, primer pairs were designed upstream of exon 1 and downstream of exon 8 , flanking the deleted region. Successful deletion produced PCR (NEB Q5® High-Fidelity DNA Polymerase with Q5 High GC Enhancer, 25 µl reaction, containing 500 ng template, 30 cycles;</w:t>
      </w:r>
      <w:r w:rsidDel="00000000" w:rsidR="00000000" w:rsidRPr="00000000">
        <w:rPr>
          <w:color w:val="ff0000"/>
          <w:rtl w:val="0"/>
        </w:rPr>
        <w:t xml:space="preserve"> </w:t>
      </w:r>
      <w:r w:rsidDel="00000000" w:rsidR="00000000" w:rsidRPr="00000000">
        <w:rPr>
          <w:rtl w:val="0"/>
        </w:rPr>
        <w:t xml:space="preserve">98 °C for 10 s, 58.5 °C for 45 s, 72 °C for 45 s, with an initial denaturation of 98 °C for 30 s and a final extension of 72 °C for 10 mins) amplicons of 150–450 bp. To confirm retention of at least one intact </w:t>
      </w:r>
      <w:r w:rsidDel="00000000" w:rsidR="00000000" w:rsidRPr="00000000">
        <w:rPr>
          <w:i w:val="1"/>
          <w:iCs w:val="1"/>
          <w:rtl w:val="0"/>
        </w:rPr>
        <w:t xml:space="preserve">SDHB</w:t>
      </w:r>
      <w:r w:rsidDel="00000000" w:rsidR="00000000" w:rsidRPr="00000000">
        <w:rPr>
          <w:rtl w:val="0"/>
        </w:rPr>
        <w:t xml:space="preserve"> allele in diploid hemizygous clones or complete intact gene in haploid WT clones, a second primer pair was designed each with one primer within the </w:t>
      </w:r>
      <w:r w:rsidDel="00000000" w:rsidR="00000000" w:rsidRPr="00000000">
        <w:rPr>
          <w:i w:val="1"/>
          <w:iCs w:val="1"/>
          <w:rtl w:val="0"/>
        </w:rPr>
        <w:t xml:space="preserve">SDHB </w:t>
      </w:r>
      <w:r w:rsidDel="00000000" w:rsidR="00000000" w:rsidRPr="00000000">
        <w:rPr>
          <w:rtl w:val="0"/>
        </w:rPr>
        <w:t xml:space="preserve">gene body and one primer outside the deletion boundaries upstream of exon 1 (NEB Q5® High-Fidelity DNA Polymerase with Q5 High GC Enhancer, 25 µl reaction, containing 500 ng template, 30 cycles;</w:t>
      </w:r>
      <w:r w:rsidDel="00000000" w:rsidR="00000000" w:rsidRPr="00000000">
        <w:rPr>
          <w:color w:val="ff0000"/>
          <w:rtl w:val="0"/>
        </w:rPr>
        <w:t xml:space="preserve"> </w:t>
      </w:r>
      <w:r w:rsidDel="00000000" w:rsidR="00000000" w:rsidRPr="00000000">
        <w:rPr>
          <w:rtl w:val="0"/>
        </w:rPr>
        <w:t xml:space="preserve">98 °C for 10 s, 57.5 °C for 45 s, 72 °C for 45 s, with an initial denaturation of 98 °C for 30 s and a final extension of 72 °C for 10 mins) and downstream of exon 8 (NEB Q5® High-Fidelity DNA Polymerase with Q5 High GC Enhancer, 25 µl reaction, containing 500 ng template, 30 cycles;</w:t>
      </w:r>
      <w:r w:rsidDel="00000000" w:rsidR="00000000" w:rsidRPr="00000000">
        <w:rPr>
          <w:color w:val="ff0000"/>
          <w:rtl w:val="0"/>
        </w:rPr>
        <w:t xml:space="preserve"> </w:t>
      </w:r>
      <w:r w:rsidDel="00000000" w:rsidR="00000000" w:rsidRPr="00000000">
        <w:rPr>
          <w:rtl w:val="0"/>
        </w:rPr>
        <w:t xml:space="preserve">98 °C for 10 s, 59.5 °C for 45 s, 72 °C for 45 s, with an initial denaturation of 98 °C for 30 s and a final extension of 72 °C for 10 mins). The clones retaining an intact allele produced amplicons of 269 bp and 351 bp respectively. Two of the diploid KO clones (KO 1, KO 2.) were generated using a mixture of sgRNA against exon2 resulting in small deletion showed WT like amplicon length as expected. Primer sequences are provided in Table S8. The resulting agarose gel images of PCR amplicons are provided in the  (Fig. S1).</w:t>
      </w:r>
    </w:p>
    <w:p w:rsidR="00000000" w:rsidDel="00000000" w:rsidP="00000000" w:rsidRDefault="00000000" w:rsidRPr="00000000" w14:paraId="00000014">
      <w:pPr>
        <w:ind w:firstLine="720"/>
        <w:rPr/>
      </w:pPr>
      <w:r w:rsidDel="00000000" w:rsidR="00000000" w:rsidRPr="00000000">
        <w:rPr>
          <w:rtl w:val="0"/>
        </w:rPr>
        <w:t xml:space="preserve">Successful </w:t>
      </w:r>
      <w:r w:rsidDel="00000000" w:rsidR="00000000" w:rsidRPr="00000000">
        <w:rPr>
          <w:i w:val="1"/>
          <w:iCs w:val="1"/>
          <w:rtl w:val="0"/>
        </w:rPr>
        <w:t xml:space="preserve">SDHB</w:t>
      </w:r>
      <w:r w:rsidDel="00000000" w:rsidR="00000000" w:rsidRPr="00000000">
        <w:rPr>
          <w:rtl w:val="0"/>
        </w:rPr>
        <w:t xml:space="preserve"> protein loss was confirmed by Western blot. Cell pellets (1 × 10⁶ cells) were resuspended in 80 µl ice-cold RIPA buffer (Santa Cruz, #</w:t>
      </w:r>
      <w:r w:rsidDel="00000000" w:rsidR="00000000" w:rsidRPr="00000000">
        <w:rPr>
          <w:highlight w:val="white"/>
          <w:rtl w:val="0"/>
        </w:rPr>
        <w:t xml:space="preserve">sc-24948) </w:t>
      </w:r>
      <w:r w:rsidDel="00000000" w:rsidR="00000000" w:rsidRPr="00000000">
        <w:rPr>
          <w:rtl w:val="0"/>
        </w:rPr>
        <w:t xml:space="preserve"> supplemented with Halt Protease and Phosphatase Inhibitor Cocktail (1:100 final dilution), and 1 µl β-mercaptoethanol (</w:t>
      </w:r>
      <w:r w:rsidDel="00000000" w:rsidR="00000000" w:rsidRPr="00000000">
        <w:rPr>
          <w:highlight w:val="white"/>
          <w:rtl w:val="0"/>
        </w:rPr>
        <w:t xml:space="preserve">Sigma-Aldrich</w:t>
      </w:r>
      <w:r w:rsidDel="00000000" w:rsidR="00000000" w:rsidRPr="00000000">
        <w:rPr>
          <w:rtl w:val="0"/>
        </w:rPr>
        <w:t xml:space="preserve">, #M3148) per 100 µl total volume. Lysates were incubated on ice for 10 min and centrifuged at 14,000 × g for 15 min at 4°C. Clarified supernatants were collected and stored at −80°C until use. Protein concentration was determined by Invitrogen™ Qubit™ Protein Assay Kit  (Thermo Fisher Scientific, #Q3211). Proteins were separated on 4–12% Bis-Tris NuPAGE™ Mini Protein Gels (1.0 mm; Thermo Fisher Scientific, #NP0323BOX), transferred to nitrocellulose membranes using the iBlot™ 2 Transfer Stack, Nitrocellulose (Thermo Fisher Scientific, #IB23001), and blocked with 5% non-fat dry milk (carl roth, #T145.3) in TBS-T for 1 h at room temperature prior to antibody incubation. Membranes were probed with anti-</w:t>
      </w:r>
      <w:r w:rsidDel="00000000" w:rsidR="00000000" w:rsidRPr="00000000">
        <w:rPr>
          <w:i w:val="1"/>
          <w:iCs w:val="1"/>
          <w:rtl w:val="0"/>
        </w:rPr>
        <w:t xml:space="preserve">SDHB</w:t>
      </w:r>
      <w:r w:rsidDel="00000000" w:rsidR="00000000" w:rsidRPr="00000000">
        <w:rPr>
          <w:rtl w:val="0"/>
        </w:rPr>
        <w:t xml:space="preserve"> mouse monoclonal antibody (1:250 dilution, Abcam, #ab14714) and anti-beta-tubulin rabbit antibody (1:250,000 dilution, Abcam, #ab179513) as a loading control. Secondary antibodies used were HRP-conjugated anti-mouse IgG (1:5,000, Merck, Sigma-Aldrich, #12-349) and anti-rabbit IgG (1:2,000, Merck, Sigma-Aldrich, #AP307P). Chemiluminescent signals were developed using SuperSignal™ West Pico PLUS Chemiluminescent Substrate (Thermo Fisher Scientific, #34578) and imaged using a Fusion FX imaging system (Vilber). </w:t>
      </w:r>
    </w:p>
    <w:p w:rsidR="00000000" w:rsidDel="00000000" w:rsidP="00000000" w:rsidRDefault="00000000" w:rsidRPr="00000000" w14:paraId="00000015">
      <w:pPr>
        <w:ind w:left="0" w:firstLine="0"/>
        <w:rPr/>
      </w:pPr>
      <w:r w:rsidDel="00000000" w:rsidR="00000000" w:rsidRPr="00000000">
        <w:rPr>
          <w:rtl w:val="0"/>
        </w:rPr>
      </w:r>
    </w:p>
    <w:p w:rsidR="00000000" w:rsidDel="00000000" w:rsidP="00000000" w:rsidRDefault="00000000" w:rsidRPr="00000000" w14:paraId="00000016">
      <w:pPr>
        <w:pStyle w:val="Heading2"/>
        <w:spacing w:after="0" w:before="0" w:lineRule="auto"/>
        <w:rPr/>
      </w:pPr>
      <w:bookmarkStart w:colFirst="0" w:colLast="0" w:name="_heading=h.ixa9d8txlx1g" w:id="3"/>
      <w:bookmarkEnd w:id="3"/>
      <w:r w:rsidDel="00000000" w:rsidR="00000000" w:rsidRPr="00000000">
        <w:rPr>
          <w:rtl w:val="0"/>
        </w:rPr>
        <w:t xml:space="preserve">Annotations for variants</w:t>
      </w:r>
    </w:p>
    <w:p w:rsidR="00000000" w:rsidDel="00000000" w:rsidP="00000000" w:rsidRDefault="00000000" w:rsidRPr="00000000" w14:paraId="00000017">
      <w:pPr>
        <w:rPr/>
      </w:pPr>
      <w:r w:rsidDel="00000000" w:rsidR="00000000" w:rsidRPr="00000000">
        <w:rPr>
          <w:rtl w:val="0"/>
        </w:rPr>
        <w:t xml:space="preserve">We curated two ground truth sets based on different evidence. Our discretion was based on recent publications and exon3 specific limitations due to the rarity of benign variants (Pejaver </w:t>
      </w:r>
      <w:r w:rsidDel="00000000" w:rsidR="00000000" w:rsidRPr="00000000">
        <w:rPr>
          <w:i w:val="1"/>
          <w:iCs w:val="1"/>
          <w:rtl w:val="0"/>
        </w:rPr>
        <w:t xml:space="preserve">et al.,</w:t>
      </w:r>
      <w:r w:rsidDel="00000000" w:rsidR="00000000" w:rsidRPr="00000000">
        <w:rPr>
          <w:rtl w:val="0"/>
        </w:rPr>
        <w:t xml:space="preserve">2022; Allen </w:t>
      </w:r>
      <w:r w:rsidDel="00000000" w:rsidR="00000000" w:rsidRPr="00000000">
        <w:rPr>
          <w:i w:val="1"/>
          <w:iCs w:val="1"/>
          <w:rtl w:val="0"/>
        </w:rPr>
        <w:t xml:space="preserve">et al.,</w:t>
      </w:r>
      <w:r w:rsidDel="00000000" w:rsidR="00000000" w:rsidRPr="00000000">
        <w:rPr>
          <w:rtl w:val="0"/>
        </w:rPr>
        <w:t xml:space="preserve"> 2024, Rowlands </w:t>
      </w:r>
      <w:r w:rsidDel="00000000" w:rsidR="00000000" w:rsidRPr="00000000">
        <w:rPr>
          <w:i w:val="1"/>
          <w:iCs w:val="1"/>
          <w:rtl w:val="0"/>
        </w:rPr>
        <w:t xml:space="preserve">et al.,</w:t>
      </w:r>
      <w:r w:rsidDel="00000000" w:rsidR="00000000" w:rsidRPr="00000000">
        <w:rPr>
          <w:rtl w:val="0"/>
        </w:rPr>
        <w:t xml:space="preserve"> 2025)</w:t>
      </w:r>
    </w:p>
    <w:p w:rsidR="00000000" w:rsidDel="00000000" w:rsidP="00000000" w:rsidRDefault="00000000" w:rsidRPr="00000000" w14:paraId="00000018">
      <w:pPr>
        <w:rPr/>
      </w:pPr>
      <w:r w:rsidDel="00000000" w:rsidR="00000000" w:rsidRPr="00000000">
        <w:rPr>
          <w:rtl w:val="0"/>
        </w:rPr>
        <w:t xml:space="preserve">In the high-stringent ground-truth:</w:t>
      </w:r>
    </w:p>
    <w:p w:rsidR="00000000" w:rsidDel="00000000" w:rsidP="00000000" w:rsidRDefault="00000000" w:rsidRPr="00000000" w14:paraId="00000019">
      <w:pPr>
        <w:rPr/>
      </w:pPr>
      <w:r w:rsidDel="00000000" w:rsidR="00000000" w:rsidRPr="00000000">
        <w:rPr>
          <w:rtl w:val="0"/>
        </w:rPr>
        <w:t xml:space="preserve">Functionally-normal variants were required to meet the following criteria: </w:t>
      </w:r>
    </w:p>
    <w:p w:rsidR="00000000" w:rsidDel="00000000" w:rsidP="00000000" w:rsidRDefault="00000000" w:rsidRPr="00000000" w14:paraId="0000001A">
      <w:pPr>
        <w:ind w:left="1080" w:hanging="360"/>
        <w:rPr/>
      </w:pPr>
      <w:r w:rsidDel="00000000" w:rsidR="00000000" w:rsidRPr="00000000">
        <w:rPr>
          <w:rtl w:val="0"/>
        </w:rPr>
        <w:t xml:space="preserve">1)</w:t>
      </w:r>
      <w:r w:rsidDel="00000000" w:rsidR="00000000" w:rsidRPr="00000000">
        <w:rPr>
          <w:sz w:val="14"/>
          <w:szCs w:val="14"/>
          <w:rtl w:val="0"/>
        </w:rPr>
        <w:t xml:space="preserve">     </w:t>
      </w:r>
      <w:r w:rsidDel="00000000" w:rsidR="00000000" w:rsidRPr="00000000">
        <w:rPr>
          <w:rtl w:val="0"/>
        </w:rPr>
        <w:t xml:space="preserve">ClinVar benign/likely benign classification with multiple or single submitters and no conflicts (downloaded on 20th April, 2026, Landrum </w:t>
      </w:r>
      <w:r w:rsidDel="00000000" w:rsidR="00000000" w:rsidRPr="00000000">
        <w:rPr>
          <w:i w:val="1"/>
          <w:iCs w:val="1"/>
          <w:rtl w:val="0"/>
        </w:rPr>
        <w:t xml:space="preserve">et al.,</w:t>
      </w:r>
      <w:r w:rsidDel="00000000" w:rsidR="00000000" w:rsidRPr="00000000">
        <w:rPr>
          <w:rtl w:val="0"/>
        </w:rPr>
        <w:t xml:space="preserve"> 2014) </w:t>
      </w:r>
    </w:p>
    <w:p w:rsidR="00000000" w:rsidDel="00000000" w:rsidP="00000000" w:rsidRDefault="00000000" w:rsidRPr="00000000" w14:paraId="0000001B">
      <w:pPr>
        <w:rPr/>
      </w:pPr>
      <w:r w:rsidDel="00000000" w:rsidR="00000000" w:rsidRPr="00000000">
        <w:rPr>
          <w:rtl w:val="0"/>
        </w:rPr>
        <w:t xml:space="preserve">AND</w:t>
      </w:r>
    </w:p>
    <w:p w:rsidR="00000000" w:rsidDel="00000000" w:rsidP="00000000" w:rsidRDefault="00000000" w:rsidRPr="00000000" w14:paraId="0000001C">
      <w:pPr>
        <w:ind w:left="1080" w:hanging="360"/>
        <w:rPr/>
      </w:pPr>
      <w:r w:rsidDel="00000000" w:rsidR="00000000" w:rsidRPr="00000000">
        <w:rPr>
          <w:rtl w:val="0"/>
        </w:rPr>
        <w:t xml:space="preserve">2)</w:t>
      </w:r>
      <w:r w:rsidDel="00000000" w:rsidR="00000000" w:rsidRPr="00000000">
        <w:rPr>
          <w:sz w:val="14"/>
          <w:szCs w:val="14"/>
          <w:rtl w:val="0"/>
        </w:rPr>
        <w:t xml:space="preserve">     </w:t>
      </w:r>
      <w:r w:rsidDel="00000000" w:rsidR="00000000" w:rsidRPr="00000000">
        <w:rPr>
          <w:rtl w:val="0"/>
        </w:rPr>
        <w:t xml:space="preserve">Very low splice prediction (Splice AI &lt; 0.1) (Jaganathan </w:t>
      </w:r>
      <w:r w:rsidDel="00000000" w:rsidR="00000000" w:rsidRPr="00000000">
        <w:rPr>
          <w:i w:val="1"/>
          <w:iCs w:val="1"/>
          <w:rtl w:val="0"/>
        </w:rPr>
        <w:t xml:space="preserve">et al.,</w:t>
      </w:r>
      <w:r w:rsidDel="00000000" w:rsidR="00000000" w:rsidRPr="00000000">
        <w:rPr>
          <w:rtl w:val="0"/>
        </w:rPr>
        <w:t xml:space="preserve"> 2019)</w:t>
      </w:r>
    </w:p>
    <w:p w:rsidR="00000000" w:rsidDel="00000000" w:rsidP="00000000" w:rsidRDefault="00000000" w:rsidRPr="00000000" w14:paraId="0000001D">
      <w:pPr>
        <w:rPr/>
      </w:pPr>
      <w:r w:rsidDel="00000000" w:rsidR="00000000" w:rsidRPr="00000000">
        <w:rPr>
          <w:rtl w:val="0"/>
        </w:rPr>
        <w:t xml:space="preserve">This resulted in 28 variants with functionally-normal annotation (Synonymous=20, splice-region/polypyrimidine/intronic=8) (Table S3).</w:t>
      </w:r>
    </w:p>
    <w:p w:rsidR="00000000" w:rsidDel="00000000" w:rsidP="00000000" w:rsidRDefault="00000000" w:rsidRPr="00000000" w14:paraId="0000001E">
      <w:pPr>
        <w:rPr/>
      </w:pPr>
      <w:r w:rsidDel="00000000" w:rsidR="00000000" w:rsidRPr="00000000">
        <w:rPr>
          <w:rtl w:val="0"/>
        </w:rPr>
        <w:t xml:space="preserve"> </w:t>
      </w:r>
    </w:p>
    <w:p w:rsidR="00000000" w:rsidDel="00000000" w:rsidP="00000000" w:rsidRDefault="00000000" w:rsidRPr="00000000" w14:paraId="0000001F">
      <w:pPr>
        <w:rPr/>
      </w:pPr>
      <w:r w:rsidDel="00000000" w:rsidR="00000000" w:rsidRPr="00000000">
        <w:rPr>
          <w:rtl w:val="0"/>
        </w:rPr>
        <w:t xml:space="preserve">Functionally-abnormal variants were required to meet the following criteria: </w:t>
      </w:r>
    </w:p>
    <w:p w:rsidR="00000000" w:rsidDel="00000000" w:rsidP="00000000" w:rsidRDefault="00000000" w:rsidRPr="00000000" w14:paraId="00000020">
      <w:pPr>
        <w:ind w:left="1080" w:hanging="360"/>
        <w:rPr/>
      </w:pPr>
      <w:r w:rsidDel="00000000" w:rsidR="00000000" w:rsidRPr="00000000">
        <w:rPr>
          <w:rtl w:val="0"/>
        </w:rPr>
        <w:t xml:space="preserve">1)</w:t>
      </w:r>
      <w:r w:rsidDel="00000000" w:rsidR="00000000" w:rsidRPr="00000000">
        <w:rPr>
          <w:sz w:val="14"/>
          <w:szCs w:val="14"/>
          <w:rtl w:val="0"/>
        </w:rPr>
        <w:t xml:space="preserve">     </w:t>
      </w:r>
      <w:r w:rsidDel="00000000" w:rsidR="00000000" w:rsidRPr="00000000">
        <w:rPr>
          <w:rtl w:val="0"/>
        </w:rPr>
        <w:t xml:space="preserve">pathogenic/likely pathogenic ClinVar classification with multiple or single submitters and no conflicts,</w:t>
      </w:r>
    </w:p>
    <w:p w:rsidR="00000000" w:rsidDel="00000000" w:rsidP="00000000" w:rsidRDefault="00000000" w:rsidRPr="00000000" w14:paraId="00000021">
      <w:pPr>
        <w:rPr/>
      </w:pPr>
      <w:r w:rsidDel="00000000" w:rsidR="00000000" w:rsidRPr="00000000">
        <w:rPr>
          <w:rtl w:val="0"/>
        </w:rPr>
        <w:t xml:space="preserve">OR</w:t>
      </w:r>
    </w:p>
    <w:p w:rsidR="00000000" w:rsidDel="00000000" w:rsidP="00000000" w:rsidRDefault="00000000" w:rsidRPr="00000000" w14:paraId="00000022">
      <w:pPr>
        <w:ind w:left="1080" w:hanging="360"/>
        <w:rPr/>
      </w:pPr>
      <w:r w:rsidDel="00000000" w:rsidR="00000000" w:rsidRPr="00000000">
        <w:rPr>
          <w:rtl w:val="0"/>
        </w:rPr>
        <w:t xml:space="preserve">2)</w:t>
      </w:r>
      <w:r w:rsidDel="00000000" w:rsidR="00000000" w:rsidRPr="00000000">
        <w:rPr>
          <w:sz w:val="14"/>
          <w:szCs w:val="14"/>
          <w:rtl w:val="0"/>
        </w:rPr>
        <w:t xml:space="preserve">     </w:t>
      </w:r>
      <w:r w:rsidDel="00000000" w:rsidR="00000000" w:rsidRPr="00000000">
        <w:rPr>
          <w:rtl w:val="0"/>
        </w:rPr>
        <w:t xml:space="preserve">canonical splice donor/acceptor disruption with high splice prediction (SpliceAI ≥0.8 ie high precision SpliceAi cutoff) </w:t>
      </w:r>
    </w:p>
    <w:p w:rsidR="00000000" w:rsidDel="00000000" w:rsidP="00000000" w:rsidRDefault="00000000" w:rsidRPr="00000000" w14:paraId="00000023">
      <w:pPr>
        <w:rPr/>
      </w:pPr>
      <w:r w:rsidDel="00000000" w:rsidR="00000000" w:rsidRPr="00000000">
        <w:rPr>
          <w:rtl w:val="0"/>
        </w:rPr>
        <w:t xml:space="preserve">OR</w:t>
      </w:r>
    </w:p>
    <w:p w:rsidR="00000000" w:rsidDel="00000000" w:rsidP="00000000" w:rsidRDefault="00000000" w:rsidRPr="00000000" w14:paraId="00000024">
      <w:pPr>
        <w:ind w:left="1080" w:hanging="360"/>
        <w:rPr/>
      </w:pPr>
      <w:r w:rsidDel="00000000" w:rsidR="00000000" w:rsidRPr="00000000">
        <w:rPr>
          <w:rtl w:val="0"/>
        </w:rPr>
        <w:t xml:space="preserve">3)</w:t>
      </w:r>
      <w:r w:rsidDel="00000000" w:rsidR="00000000" w:rsidRPr="00000000">
        <w:rPr>
          <w:sz w:val="14"/>
          <w:szCs w:val="14"/>
          <w:rtl w:val="0"/>
        </w:rPr>
        <w:t xml:space="preserve">     </w:t>
      </w:r>
      <w:r w:rsidDel="00000000" w:rsidR="00000000" w:rsidRPr="00000000">
        <w:rPr>
          <w:rtl w:val="0"/>
        </w:rPr>
        <w:t xml:space="preserve">stop-gained/truncating consequence, with low splice prediction (SpliceAI &lt; 0.2 ie below high recall SpliceAi cutoff)</w:t>
      </w:r>
    </w:p>
    <w:p w:rsidR="00000000" w:rsidDel="00000000" w:rsidP="00000000" w:rsidRDefault="00000000" w:rsidRPr="00000000" w14:paraId="00000025">
      <w:pPr>
        <w:rPr/>
      </w:pPr>
      <w:r w:rsidDel="00000000" w:rsidR="00000000" w:rsidRPr="00000000">
        <w:rPr>
          <w:rtl w:val="0"/>
        </w:rPr>
        <w:t xml:space="preserve">This resulted in 33 variants with functionally-abnormal annotation (Missense=11, Nonsense =10, Canonical splice=12)  (Table S3).</w:t>
      </w:r>
    </w:p>
    <w:p w:rsidR="00000000" w:rsidDel="00000000" w:rsidP="00000000" w:rsidRDefault="00000000" w:rsidRPr="00000000" w14:paraId="00000026">
      <w:pPr>
        <w:rPr/>
      </w:pPr>
      <w:r w:rsidDel="00000000" w:rsidR="00000000" w:rsidRPr="00000000">
        <w:rPr>
          <w:rtl w:val="0"/>
        </w:rPr>
        <w:t xml:space="preserve"> </w:t>
      </w:r>
    </w:p>
    <w:p w:rsidR="00000000" w:rsidDel="00000000" w:rsidP="00000000" w:rsidRDefault="00000000" w:rsidRPr="00000000" w14:paraId="00000027">
      <w:pPr>
        <w:rPr/>
      </w:pPr>
      <w:r w:rsidDel="00000000" w:rsidR="00000000" w:rsidRPr="00000000">
        <w:rPr>
          <w:rtl w:val="0"/>
        </w:rPr>
        <w:t xml:space="preserve">Given the low prevalence of benign missense variants high-stringent ground-truth we decided to extend the benign variant annotations to include reliable missense benign variants based on computational evidence as recommended in (Pejaver </w:t>
      </w:r>
      <w:r w:rsidDel="00000000" w:rsidR="00000000" w:rsidRPr="00000000">
        <w:rPr>
          <w:i w:val="1"/>
          <w:iCs w:val="1"/>
          <w:rtl w:val="0"/>
        </w:rPr>
        <w:t xml:space="preserve">et al.,</w:t>
      </w:r>
      <w:r w:rsidDel="00000000" w:rsidR="00000000" w:rsidRPr="00000000">
        <w:rPr>
          <w:rtl w:val="0"/>
        </w:rPr>
        <w:t xml:space="preserve">2022; Rowlands </w:t>
      </w:r>
      <w:r w:rsidDel="00000000" w:rsidR="00000000" w:rsidRPr="00000000">
        <w:rPr>
          <w:i w:val="1"/>
          <w:iCs w:val="1"/>
          <w:rtl w:val="0"/>
        </w:rPr>
        <w:t xml:space="preserve">et al.,</w:t>
      </w:r>
      <w:r w:rsidDel="00000000" w:rsidR="00000000" w:rsidRPr="00000000">
        <w:rPr>
          <w:rtl w:val="0"/>
        </w:rPr>
        <w:t xml:space="preserve">2025).</w:t>
      </w:r>
    </w:p>
    <w:p w:rsidR="00000000" w:rsidDel="00000000" w:rsidP="00000000" w:rsidRDefault="00000000" w:rsidRPr="00000000" w14:paraId="00000028">
      <w:pPr>
        <w:rPr/>
      </w:pPr>
      <w:r w:rsidDel="00000000" w:rsidR="00000000" w:rsidRPr="00000000">
        <w:rPr>
          <w:rtl w:val="0"/>
        </w:rPr>
        <w:t xml:space="preserve"> </w:t>
      </w:r>
    </w:p>
    <w:p w:rsidR="00000000" w:rsidDel="00000000" w:rsidP="00000000" w:rsidRDefault="00000000" w:rsidRPr="00000000" w14:paraId="00000029">
      <w:pPr>
        <w:rPr/>
      </w:pPr>
      <w:r w:rsidDel="00000000" w:rsidR="00000000" w:rsidRPr="00000000">
        <w:rPr>
          <w:rtl w:val="0"/>
        </w:rPr>
        <w:t xml:space="preserve">Medium stringent functionally-normal variants were required to meet the following criteria: </w:t>
      </w:r>
    </w:p>
    <w:p w:rsidR="00000000" w:rsidDel="00000000" w:rsidP="00000000" w:rsidRDefault="00000000" w:rsidRPr="00000000" w14:paraId="0000002A">
      <w:pPr>
        <w:ind w:left="1080" w:hanging="360"/>
        <w:rPr/>
      </w:pPr>
      <w:r w:rsidDel="00000000" w:rsidR="00000000" w:rsidRPr="00000000">
        <w:rPr>
          <w:rtl w:val="0"/>
        </w:rPr>
        <w:t xml:space="preserve">1)</w:t>
      </w:r>
      <w:r w:rsidDel="00000000" w:rsidR="00000000" w:rsidRPr="00000000">
        <w:rPr>
          <w:sz w:val="14"/>
          <w:szCs w:val="14"/>
          <w:rtl w:val="0"/>
        </w:rPr>
        <w:t xml:space="preserve">     </w:t>
      </w:r>
      <w:r w:rsidDel="00000000" w:rsidR="00000000" w:rsidRPr="00000000">
        <w:rPr>
          <w:rtl w:val="0"/>
        </w:rPr>
        <w:t xml:space="preserve">All variants from the high-stringent ground-truth</w:t>
      </w:r>
    </w:p>
    <w:p w:rsidR="00000000" w:rsidDel="00000000" w:rsidP="00000000" w:rsidRDefault="00000000" w:rsidRPr="00000000" w14:paraId="0000002B">
      <w:pPr>
        <w:rPr/>
      </w:pPr>
      <w:r w:rsidDel="00000000" w:rsidR="00000000" w:rsidRPr="00000000">
        <w:rPr>
          <w:rtl w:val="0"/>
        </w:rPr>
        <w:t xml:space="preserve">OR</w:t>
      </w:r>
    </w:p>
    <w:p w:rsidR="00000000" w:rsidDel="00000000" w:rsidP="00000000" w:rsidRDefault="00000000" w:rsidRPr="00000000" w14:paraId="0000002C">
      <w:pPr>
        <w:ind w:left="1080" w:hanging="360"/>
        <w:rPr/>
      </w:pPr>
      <w:r w:rsidDel="00000000" w:rsidR="00000000" w:rsidRPr="00000000">
        <w:rPr>
          <w:rtl w:val="0"/>
        </w:rPr>
        <w:t xml:space="preserve">2)</w:t>
      </w:r>
      <w:r w:rsidDel="00000000" w:rsidR="00000000" w:rsidRPr="00000000">
        <w:rPr>
          <w:sz w:val="14"/>
          <w:szCs w:val="14"/>
          <w:rtl w:val="0"/>
        </w:rPr>
        <w:t xml:space="preserve">     </w:t>
      </w:r>
      <w:r w:rsidDel="00000000" w:rsidR="00000000" w:rsidRPr="00000000">
        <w:rPr>
          <w:rtl w:val="0"/>
        </w:rPr>
        <w:t xml:space="preserve">Missense consequence with SpliceAI ≤0.2 with missense scores BayesDel score ≤0.13 or REVEL score ≤0.5 (Ioannidis</w:t>
      </w:r>
      <w:r w:rsidDel="00000000" w:rsidR="00000000" w:rsidRPr="00000000">
        <w:rPr>
          <w:i w:val="1"/>
          <w:iCs w:val="1"/>
          <w:rtl w:val="0"/>
        </w:rPr>
        <w:t xml:space="preserve"> et al.,</w:t>
      </w:r>
      <w:r w:rsidDel="00000000" w:rsidR="00000000" w:rsidRPr="00000000">
        <w:rPr>
          <w:rtl w:val="0"/>
        </w:rPr>
        <w:t xml:space="preserve"> 2016). This was a modified recommendation (Pejaver </w:t>
      </w:r>
      <w:r w:rsidDel="00000000" w:rsidR="00000000" w:rsidRPr="00000000">
        <w:rPr>
          <w:i w:val="1"/>
          <w:iCs w:val="1"/>
          <w:rtl w:val="0"/>
        </w:rPr>
        <w:t xml:space="preserve">et al.,</w:t>
      </w:r>
      <w:r w:rsidDel="00000000" w:rsidR="00000000" w:rsidRPr="00000000">
        <w:rPr>
          <w:rtl w:val="0"/>
        </w:rPr>
        <w:t xml:space="preserve">2022; Rowlands </w:t>
      </w:r>
      <w:r w:rsidDel="00000000" w:rsidR="00000000" w:rsidRPr="00000000">
        <w:rPr>
          <w:i w:val="1"/>
          <w:iCs w:val="1"/>
          <w:rtl w:val="0"/>
        </w:rPr>
        <w:t xml:space="preserve">et al.,</w:t>
      </w:r>
      <w:r w:rsidDel="00000000" w:rsidR="00000000" w:rsidRPr="00000000">
        <w:rPr>
          <w:rtl w:val="0"/>
        </w:rPr>
        <w:t xml:space="preserve">2025) due to limited population BS1, BS1_moderate, BA1 evidence.  </w:t>
      </w:r>
    </w:p>
    <w:p w:rsidR="00000000" w:rsidDel="00000000" w:rsidP="00000000" w:rsidRDefault="00000000" w:rsidRPr="00000000" w14:paraId="0000002D">
      <w:pPr>
        <w:rPr/>
      </w:pPr>
      <w:r w:rsidDel="00000000" w:rsidR="00000000" w:rsidRPr="00000000">
        <w:rPr>
          <w:rtl w:val="0"/>
        </w:rPr>
        <w:t xml:space="preserve">This resulted in 64 variants with functionally-normal annotation (Missense=8, synonymous=26, splice-region/polypyrimidine/intronic=21)</w:t>
      </w:r>
    </w:p>
    <w:p w:rsidR="00000000" w:rsidDel="00000000" w:rsidP="00000000" w:rsidRDefault="00000000" w:rsidRPr="00000000" w14:paraId="0000002E">
      <w:pPr>
        <w:rPr/>
      </w:pPr>
      <w:r w:rsidDel="00000000" w:rsidR="00000000" w:rsidRPr="00000000">
        <w:rPr>
          <w:rtl w:val="0"/>
        </w:rPr>
        <w:t xml:space="preserve"> </w:t>
      </w:r>
    </w:p>
    <w:p w:rsidR="00000000" w:rsidDel="00000000" w:rsidP="00000000" w:rsidRDefault="00000000" w:rsidRPr="00000000" w14:paraId="0000002F">
      <w:pPr>
        <w:rPr/>
      </w:pPr>
      <w:r w:rsidDel="00000000" w:rsidR="00000000" w:rsidRPr="00000000">
        <w:rPr>
          <w:rtl w:val="0"/>
        </w:rPr>
        <w:t xml:space="preserve">Medium stringent functionally-abnormal variants were required to meet the following criteria: </w:t>
      </w:r>
    </w:p>
    <w:p w:rsidR="00000000" w:rsidDel="00000000" w:rsidP="00000000" w:rsidRDefault="00000000" w:rsidRPr="00000000" w14:paraId="00000030">
      <w:pPr>
        <w:ind w:left="1080" w:hanging="360"/>
        <w:rPr/>
      </w:pPr>
      <w:r w:rsidDel="00000000" w:rsidR="00000000" w:rsidRPr="00000000">
        <w:rPr>
          <w:rtl w:val="0"/>
        </w:rPr>
        <w:t xml:space="preserve">1)</w:t>
      </w:r>
      <w:r w:rsidDel="00000000" w:rsidR="00000000" w:rsidRPr="00000000">
        <w:rPr>
          <w:sz w:val="14"/>
          <w:szCs w:val="14"/>
          <w:rtl w:val="0"/>
        </w:rPr>
        <w:t xml:space="preserve">     </w:t>
      </w:r>
      <w:r w:rsidDel="00000000" w:rsidR="00000000" w:rsidRPr="00000000">
        <w:rPr>
          <w:rtl w:val="0"/>
        </w:rPr>
        <w:t xml:space="preserve">All variants from the high-stringent ground-truth</w:t>
      </w:r>
    </w:p>
    <w:p w:rsidR="00000000" w:rsidDel="00000000" w:rsidP="00000000" w:rsidRDefault="00000000" w:rsidRPr="00000000" w14:paraId="00000031">
      <w:pPr>
        <w:rPr/>
      </w:pPr>
      <w:r w:rsidDel="00000000" w:rsidR="00000000" w:rsidRPr="00000000">
        <w:rPr>
          <w:rtl w:val="0"/>
        </w:rPr>
        <w:t xml:space="preserve">OR</w:t>
      </w:r>
    </w:p>
    <w:p w:rsidR="00000000" w:rsidDel="00000000" w:rsidP="00000000" w:rsidRDefault="00000000" w:rsidRPr="00000000" w14:paraId="00000032">
      <w:pPr>
        <w:ind w:left="1080" w:hanging="360"/>
        <w:rPr/>
      </w:pPr>
      <w:r w:rsidDel="00000000" w:rsidR="00000000" w:rsidRPr="00000000">
        <w:rPr>
          <w:rtl w:val="0"/>
        </w:rPr>
        <w:t xml:space="preserve">2)</w:t>
      </w:r>
      <w:r w:rsidDel="00000000" w:rsidR="00000000" w:rsidRPr="00000000">
        <w:rPr>
          <w:sz w:val="14"/>
          <w:szCs w:val="14"/>
          <w:rtl w:val="0"/>
        </w:rPr>
        <w:t xml:space="preserve">     </w:t>
      </w:r>
      <w:r w:rsidDel="00000000" w:rsidR="00000000" w:rsidRPr="00000000">
        <w:rPr>
          <w:rtl w:val="0"/>
        </w:rPr>
        <w:t xml:space="preserve">Splice region disruption with high splice prediction (SpliceAI ≥0.8 ie high precision SpliceAi cutoff) </w:t>
      </w:r>
    </w:p>
    <w:p w:rsidR="00000000" w:rsidDel="00000000" w:rsidP="00000000" w:rsidRDefault="00000000" w:rsidRPr="00000000" w14:paraId="00000033">
      <w:pPr>
        <w:rPr/>
      </w:pPr>
      <w:r w:rsidDel="00000000" w:rsidR="00000000" w:rsidRPr="00000000">
        <w:rPr>
          <w:rtl w:val="0"/>
        </w:rPr>
        <w:t xml:space="preserve">OR</w:t>
      </w:r>
    </w:p>
    <w:p w:rsidR="00000000" w:rsidDel="00000000" w:rsidP="00000000" w:rsidRDefault="00000000" w:rsidRPr="00000000" w14:paraId="00000034">
      <w:pPr>
        <w:ind w:left="1080" w:hanging="360"/>
        <w:rPr/>
      </w:pPr>
      <w:r w:rsidDel="00000000" w:rsidR="00000000" w:rsidRPr="00000000">
        <w:rPr>
          <w:rtl w:val="0"/>
        </w:rPr>
        <w:t xml:space="preserve">3)</w:t>
      </w:r>
      <w:r w:rsidDel="00000000" w:rsidR="00000000" w:rsidRPr="00000000">
        <w:rPr>
          <w:sz w:val="14"/>
          <w:szCs w:val="14"/>
          <w:rtl w:val="0"/>
        </w:rPr>
        <w:t xml:space="preserve"> </w:t>
        <w:tab/>
      </w:r>
      <w:r w:rsidDel="00000000" w:rsidR="00000000" w:rsidRPr="00000000">
        <w:rPr>
          <w:rtl w:val="0"/>
        </w:rPr>
        <w:t xml:space="preserve">Stop-gained</w:t>
      </w:r>
    </w:p>
    <w:p w:rsidR="00000000" w:rsidDel="00000000" w:rsidP="00000000" w:rsidRDefault="00000000" w:rsidRPr="00000000" w14:paraId="00000035">
      <w:pPr>
        <w:ind w:left="720" w:firstLine="0"/>
        <w:rPr/>
      </w:pPr>
      <w:r w:rsidDel="00000000" w:rsidR="00000000" w:rsidRPr="00000000">
        <w:rPr>
          <w:rtl w:val="0"/>
        </w:rPr>
        <w:t xml:space="preserve"> </w:t>
      </w:r>
    </w:p>
    <w:p w:rsidR="00000000" w:rsidDel="00000000" w:rsidP="00000000" w:rsidRDefault="00000000" w:rsidRPr="00000000" w14:paraId="00000036">
      <w:pPr>
        <w:rPr/>
      </w:pPr>
      <w:r w:rsidDel="00000000" w:rsidR="00000000" w:rsidRPr="00000000">
        <w:rPr>
          <w:rtl w:val="0"/>
        </w:rPr>
        <w:t xml:space="preserve">This results in 40 variants with functionally-abnormal annotation (Missense=11, Nonsense =15, Splice region and canonical=14)</w:t>
      </w:r>
    </w:p>
    <w:p w:rsidR="00000000" w:rsidDel="00000000" w:rsidP="00000000" w:rsidRDefault="00000000" w:rsidRPr="00000000" w14:paraId="00000037">
      <w:pPr>
        <w:ind w:left="0" w:firstLine="0"/>
        <w:rPr/>
      </w:pPr>
      <w:r w:rsidDel="00000000" w:rsidR="00000000" w:rsidRPr="00000000">
        <w:rPr>
          <w:rtl w:val="0"/>
        </w:rPr>
      </w:r>
    </w:p>
    <w:p w:rsidR="00000000" w:rsidDel="00000000" w:rsidP="00000000" w:rsidRDefault="00000000" w:rsidRPr="00000000" w14:paraId="00000038">
      <w:pPr>
        <w:pStyle w:val="Heading2"/>
        <w:rPr/>
      </w:pPr>
      <w:bookmarkStart w:colFirst="0" w:colLast="0" w:name="_heading=h.60akvn200mg7" w:id="4"/>
      <w:bookmarkEnd w:id="4"/>
      <w:r w:rsidDel="00000000" w:rsidR="00000000" w:rsidRPr="00000000">
        <w:rPr>
          <w:rtl w:val="0"/>
        </w:rPr>
        <w:t xml:space="preserve">Performance evaluation of MAVE-derived functional classifiers against curated ground truth variant annotations</w:t>
      </w:r>
    </w:p>
    <w:p w:rsidR="00000000" w:rsidDel="00000000" w:rsidP="00000000" w:rsidRDefault="00000000" w:rsidRPr="00000000" w14:paraId="00000039">
      <w:pPr>
        <w:rPr/>
      </w:pPr>
      <w:r w:rsidDel="00000000" w:rsidR="00000000" w:rsidRPr="00000000">
        <w:rPr>
          <w:rtl w:val="0"/>
        </w:rPr>
        <w:t xml:space="preserve">Classifier performance was evaluated against a curated ground truth annotation set of functionally abnormal (pathogenic/likely pathogenic) and functionally normal (benign/likely benign) variants, excluding variants of uncertain significance. ROC-AUC was calculated using continuous posterior probability scores across all ground truth variants with non-missing scores and is threshold-independent. adjusted-sensitivity, adjusted-specificity, precision, and accuracy were calculated at pre-specified thresholds (p≥0.90, p≥0.95, p≥0.99 functionally abnormal, p≤0.1, p≤0.05, p≤0.01 functionally-normal). To reflect the clinical consequence of unclassified variants, uncertain ground truth variants were included in the denominators of adjusted-sensitivity and adjusted-specificity: adjusted-sensitivity = TP / (TP + FN + uncertain) and adjusted-specificity = TN / (TN + FP + uncertain). Precision was calculated on classified variants only as TP / (TP + FP) and accuracy as (TP + TN) / total ground truth variants.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2"/>
        <w:rPr/>
      </w:pPr>
      <w:bookmarkStart w:colFirst="0" w:colLast="0" w:name="_heading=h.yowexc4dmoaq" w:id="5"/>
      <w:bookmarkEnd w:id="5"/>
      <w:r w:rsidDel="00000000" w:rsidR="00000000" w:rsidRPr="00000000">
        <w:rPr>
          <w:rtl w:val="0"/>
        </w:rPr>
        <w:t xml:space="preserve">Sequence alignment</w:t>
      </w:r>
    </w:p>
    <w:p w:rsidR="00000000" w:rsidDel="00000000" w:rsidP="00000000" w:rsidRDefault="00000000" w:rsidRPr="00000000" w14:paraId="0000003C">
      <w:pPr>
        <w:rPr/>
      </w:pPr>
      <w:r w:rsidDel="00000000" w:rsidR="00000000" w:rsidRPr="00000000">
        <w:rPr>
          <w:rtl w:val="0"/>
        </w:rPr>
        <w:t xml:space="preserve">Protein sequences from multiple species were collected as individual text files, with file names used as species identifiers (Uniprot P21912, O44074, P07014, P21914, P21801, The UniProt Consortium). Sequences were aligned with MAFFT using the --auto option (</w:t>
      </w:r>
      <w:r w:rsidDel="00000000" w:rsidR="00000000" w:rsidRPr="00000000">
        <w:rPr>
          <w:highlight w:val="white"/>
          <w:rtl w:val="0"/>
        </w:rPr>
        <w:t xml:space="preserve">Katoh, K. and Standley, D.M., 2013)</w:t>
      </w:r>
      <w:r w:rsidDel="00000000" w:rsidR="00000000" w:rsidRPr="00000000">
        <w:rPr>
          <w:rtl w:val="0"/>
        </w:rPr>
        <w:t xml:space="preserve">. When sequences were already aligned, this step was omitted. The resulting multiple-sequence alignment was analyzed with a custom Python script (https://github.com/NatashaSLewis/SGE_SDHB_Exon3/tree/main). For each alignment position, amino acid frequencies were calculated, excluding gap characters where indicated. Conservation was defined as the proportion of the most frequent amino acid at each position. Shannon entropy was used to quantify variability, calculated as </w:t>
      </w:r>
    </w:p>
    <w:p w:rsidR="00000000" w:rsidDel="00000000" w:rsidP="00000000" w:rsidRDefault="00000000" w:rsidRPr="00000000" w14:paraId="0000003D">
      <w:pPr>
        <w:jc w:val="center"/>
        <w:rPr/>
      </w:pPr>
      <m:oMath>
        <m:r>
          <w:rPr/>
          <m:t xml:space="preserve">H =-</m:t>
        </m:r>
        <m:nary>
          <m:naryPr>
            <m:chr m:val="∑"/>
            <m:ctrlPr>
              <w:rPr/>
            </m:ctrlPr>
          </m:naryPr>
          <m:sub>
            <m:r>
              <w:rPr/>
              <m:t xml:space="preserve">i=1</m:t>
            </m:r>
          </m:sub>
          <m:sup>
            <m:r>
              <w:rPr/>
              <m:t xml:space="preserve">k</m:t>
            </m:r>
          </m:sup>
        </m:nary>
        <m:sSub>
          <m:sSubPr>
            <m:ctrlPr>
              <w:rPr/>
            </m:ctrlPr>
          </m:sSubPr>
          <m:e>
            <m:r>
              <w:rPr/>
              <m:t xml:space="preserve">p</m:t>
            </m:r>
          </m:e>
          <m:sub>
            <m:r>
              <w:rPr/>
              <m:t xml:space="preserve">i</m:t>
            </m:r>
          </m:sub>
        </m:sSub>
        <m:sSub>
          <m:sSubPr>
            <m:ctrlPr>
              <w:rPr/>
            </m:ctrlPr>
          </m:sSubPr>
          <m:e>
            <m:r>
              <w:rPr/>
              <m:t xml:space="preserve"> log</m:t>
            </m:r>
          </m:e>
          <m:sub>
            <m:r>
              <w:rPr/>
              <m:t xml:space="preserve">2</m:t>
            </m:r>
          </m:sub>
        </m:sSub>
        <m:r>
          <w:rPr/>
          <m:t xml:space="preserve">(</m:t>
        </m:r>
        <m:sSub>
          <m:sSubPr>
            <m:ctrlPr>
              <w:rPr/>
            </m:ctrlPr>
          </m:sSubPr>
          <m:e>
            <m:r>
              <w:rPr/>
              <m:t xml:space="preserve">p</m:t>
            </m:r>
          </m:e>
          <m:sub>
            <m:r>
              <w:rPr/>
              <m:t xml:space="preserve">i</m:t>
            </m:r>
          </m:sub>
        </m:sSub>
        <m:r>
          <w:rPr/>
          <m:t xml:space="preserve">)</m:t>
        </m:r>
      </m:oMath>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Where </w:t>
      </w:r>
      <m:oMath>
        <m:sSub>
          <m:sSubPr>
            <m:ctrlPr>
              <w:rPr/>
            </m:ctrlPr>
          </m:sSubPr>
          <m:e>
            <m:r>
              <w:rPr/>
              <m:t xml:space="preserve">p</m:t>
            </m:r>
          </m:e>
          <m:sub>
            <m:r>
              <w:rPr/>
              <m:t xml:space="preserve">i</m:t>
            </m:r>
          </m:sub>
        </m:sSub>
      </m:oMath>
      <w:r w:rsidDel="00000000" w:rsidR="00000000" w:rsidRPr="00000000">
        <w:rPr>
          <w:rtl w:val="0"/>
        </w:rPr>
        <w:t xml:space="preserve"> represents the frequency of each amino acid at a given position, i is the index over amino acid type, k is the number of unique amino acids observed at that position. A color-coded alignment map was generated with Matplotlib, grouping amino acids by physicochemical properties including hydrophobic, polar, acidic, basic, and other classes. Residues were displayed by position across species to visualize conservation patterns and property-level similarity.</w:t>
      </w:r>
    </w:p>
    <w:p w:rsidR="00000000" w:rsidDel="00000000" w:rsidP="00000000" w:rsidRDefault="00000000" w:rsidRPr="00000000" w14:paraId="0000003F">
      <w:pPr>
        <w:spacing w:after="220" w:before="220" w:lineRule="auto"/>
        <w:ind w:left="0" w:firstLine="0"/>
        <w:rPr/>
      </w:pPr>
      <w:r w:rsidDel="00000000" w:rsidR="00000000" w:rsidRPr="00000000">
        <w:rPr>
          <w:rtl w:val="0"/>
        </w:rPr>
      </w:r>
    </w:p>
    <w:p w:rsidR="00000000" w:rsidDel="00000000" w:rsidP="00000000" w:rsidRDefault="00000000" w:rsidRPr="00000000" w14:paraId="00000040">
      <w:pPr>
        <w:pStyle w:val="Heading2"/>
        <w:rPr/>
      </w:pPr>
      <w:bookmarkStart w:colFirst="0" w:colLast="0" w:name="_heading=h.12nv7o9pttll" w:id="6"/>
      <w:bookmarkEnd w:id="6"/>
      <w:r w:rsidDel="00000000" w:rsidR="00000000" w:rsidRPr="00000000">
        <w:rPr>
          <w:rtl w:val="0"/>
        </w:rPr>
        <w:t xml:space="preserve">Reference</w:t>
      </w:r>
    </w:p>
    <w:p w:rsidR="00000000" w:rsidDel="00000000" w:rsidP="00000000" w:rsidRDefault="00000000" w:rsidRPr="00000000" w14:paraId="00000041">
      <w:pPr>
        <w:rPr/>
      </w:pPr>
      <w:r w:rsidDel="00000000" w:rsidR="00000000" w:rsidRPr="00000000">
        <w:rPr>
          <w:rtl w:val="0"/>
        </w:rPr>
        <w:t xml:space="preserve">Ran, F.A., Hsu, P.D., Wright, J., Agarwala, V., Scott, D.A. and Zhang, F., 2013. Genome engineering using the CRISPR-Cas9 system. Nature protocols, 8(11), pp.2281-2308.</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Pejaver, V., Byrne, A.B., Feng, B.J., Pagel, K.A., Mooney, S.D., Karchin, R., O’Donnell-Luria, A., Harrison, S.M., Tavtigian, S.V., Greenblatt, M.S. and Biesecker, L.G., 2022. Calibration of computational tools for missense variant pathogenicity classification and ClinGen recommendations for PP3/BP4 criteria. </w:t>
      </w:r>
      <w:r w:rsidDel="00000000" w:rsidR="00000000" w:rsidRPr="00000000">
        <w:rPr>
          <w:i w:val="1"/>
          <w:iCs w:val="1"/>
          <w:rtl w:val="0"/>
        </w:rPr>
        <w:t xml:space="preserve">The American Journal of Human Genetics</w:t>
      </w:r>
      <w:r w:rsidDel="00000000" w:rsidR="00000000" w:rsidRPr="00000000">
        <w:rPr>
          <w:rtl w:val="0"/>
        </w:rPr>
        <w:t xml:space="preserve">, </w:t>
      </w:r>
      <w:r w:rsidDel="00000000" w:rsidR="00000000" w:rsidRPr="00000000">
        <w:rPr>
          <w:i w:val="1"/>
          <w:iCs w:val="1"/>
          <w:rtl w:val="0"/>
        </w:rPr>
        <w:t xml:space="preserve">109</w:t>
      </w:r>
      <w:r w:rsidDel="00000000" w:rsidR="00000000" w:rsidRPr="00000000">
        <w:rPr>
          <w:rtl w:val="0"/>
        </w:rPr>
        <w:t xml:space="preserve">(12), pp.2163-2177.</w:t>
      </w:r>
      <w:r w:rsidDel="00000000" w:rsidR="00000000" w:rsidRPr="00000000">
        <w:rPr>
          <w:rtl w:val="0"/>
        </w:rPr>
        <w:t xml:space="preserve">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Allen, S., Garrett, A., Muffley, L., Fayer, S., Foreman, J., Adams, D.J., Hurles, M., Rubin, A.F., Roth, F.P., Starita, L.M. and Biesecker, L.G., 2024. Workshop report: the clinical application of data from multiplex assays of variant effect (MAVEs), 12 July 2023. European Journal of Human Genetics, 32(5), pp.593-600.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spacing w:after="240" w:lineRule="auto"/>
        <w:rPr/>
      </w:pPr>
      <w:r w:rsidDel="00000000" w:rsidR="00000000" w:rsidRPr="00000000">
        <w:rPr>
          <w:rtl w:val="0"/>
        </w:rPr>
        <w:t xml:space="preserve">Rowlands, C.F., Allen, S., Garrett, A., Durkie, M., Burghel, G.J., Robinson, R., Callaway, A., Field, J., Frugtniet, B., Palmer-Smith, S. and Grant, J., 2025. Availability of benign missense variant “truthsets” for validation of functional assays: Current status and a systematic approach. </w:t>
      </w:r>
      <w:r w:rsidDel="00000000" w:rsidR="00000000" w:rsidRPr="00000000">
        <w:rPr>
          <w:i w:val="1"/>
          <w:iCs w:val="1"/>
          <w:rtl w:val="0"/>
        </w:rPr>
        <w:t xml:space="preserve">The American Journal of Human Genetics</w:t>
      </w:r>
      <w:r w:rsidDel="00000000" w:rsidR="00000000" w:rsidRPr="00000000">
        <w:rPr>
          <w:rtl w:val="0"/>
        </w:rPr>
        <w:t xml:space="preserve">, </w:t>
      </w:r>
      <w:r w:rsidDel="00000000" w:rsidR="00000000" w:rsidRPr="00000000">
        <w:rPr>
          <w:i w:val="1"/>
          <w:iCs w:val="1"/>
          <w:rtl w:val="0"/>
        </w:rPr>
        <w:t xml:space="preserve">112</w:t>
      </w:r>
      <w:r w:rsidDel="00000000" w:rsidR="00000000" w:rsidRPr="00000000">
        <w:rPr>
          <w:rtl w:val="0"/>
        </w:rPr>
        <w:t xml:space="preserve">(10), pp.2281-2294.</w:t>
      </w:r>
      <w:r w:rsidDel="00000000" w:rsidR="00000000" w:rsidRPr="00000000">
        <w:rPr>
          <w:rtl w:val="0"/>
        </w:rPr>
        <w:t xml:space="preserve"> </w:t>
      </w:r>
    </w:p>
    <w:p w:rsidR="00000000" w:rsidDel="00000000" w:rsidP="00000000" w:rsidRDefault="00000000" w:rsidRPr="00000000" w14:paraId="00000048">
      <w:pPr>
        <w:spacing w:after="240" w:lineRule="auto"/>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Landrum MJ, Lee JM, Riley GR, Jang W, Rubinstein WS, Church DM, Maglott DR. ClinVar: public archive of relationships among sequence variation and human phenotype. Nucleic acids research. 2014 Jan 1;42(D1):D980-5.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Jaganathan, K., Panagiotopoulou, S.K., McRae, J.F., Darbandi, S.F., Knowles, D., Li, Y.I., Kosmicki, J.A., Arbelaez, J., Cui, W., Schwartz, G.B. and Chow, E.D., 2019. Predicting splicing from primary sequence with deep learning. Cell, 176(3), pp.535-548.</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Ioannidis, N.M., Rothstein, J.H., Pejaver, V., Middha, S., McDonnell, S.K., Baheti, S., Musolf, A., Li, Q., Holzinger, E., Karyadi, D. and Cannon-Albright, L.A., 2016. REVEL: an ensemble method for predicting the pathogenicity of rare missense variants. The American Journal of Human Genetics, 99(4), pp.877-885. </w:t>
      </w:r>
    </w:p>
    <w:p w:rsidR="00000000" w:rsidDel="00000000" w:rsidP="00000000" w:rsidRDefault="00000000" w:rsidRPr="00000000" w14:paraId="00000051">
      <w:pPr>
        <w:spacing w:after="220" w:before="220" w:lineRule="auto"/>
        <w:rPr/>
      </w:pPr>
      <w:r w:rsidDel="00000000" w:rsidR="00000000" w:rsidRPr="00000000">
        <w:rPr>
          <w:rtl w:val="0"/>
        </w:rPr>
        <w:t xml:space="preserve">UniProt: the universal protein knowledgebase in 2025. Nucleic acids research 53, no. D1 (2025): D609-D617. </w:t>
      </w:r>
    </w:p>
    <w:p w:rsidR="00000000" w:rsidDel="00000000" w:rsidP="00000000" w:rsidRDefault="00000000" w:rsidRPr="00000000" w14:paraId="00000052">
      <w:pPr>
        <w:rPr/>
      </w:pPr>
      <w:r w:rsidDel="00000000" w:rsidR="00000000" w:rsidRPr="00000000">
        <w:rPr>
          <w:rtl w:val="0"/>
        </w:rPr>
        <w:t xml:space="preserve">Katoh, K. and Standley, D.M., 2013. MAFFT multiple sequence alignment software version 7: improvements in performance and usability. Molecular biology and evolution, 30(4), pp.772-780.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sz w:val="56"/>
      <w:szCs w:val="5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NaVykOYS4Qp2G+rPUfr3BDG4gw==">CgMxLjAyDmgudTFtN3hqNHpyN2Z6Mg5oLnlyem5idnN6YWZ2ODIOaC44a2NmZjQyaXIzaW8yDmguaXhhOWQ4dHhseDFnMg5oLjYwYWt2bjIwMG1nNzIOaC55b3dleGM0ZG1vYXEyDmguMTJudjdvOXB0dGxsOAByITFlN2V5alJQTnZ0dTd0OU4ycURzM2dEWmxEbFdWTS15Yg==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2026-08-06T08:51:00Z</dcterms:created>
  <dc:creator>Lewis, Natasha Steffi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id="fCkfqJhF"/&gt;&lt;style id="http://www.zotero.org/styles/harvard-cite-them-right" locale="en-GB" hasBibliography="1" bibliographyStyleHasBeenSet="1"/&gt;&lt;prefs&gt;&lt;pref name="fieldType" value="Field"/&gt;&lt;pref n</vt:lpwstr>
  </property>
  <property fmtid="{D5CDD505-2E9C-101B-9397-08002B2CF9AE}" pid="3" name="ZOTERO_PREF_2">
    <vt:lpwstr>ame="automaticJournalAbbreviations" value="true"/&gt;&lt;/prefs&gt;&lt;/data&gt;</vt:lpwstr>
  </property>
</Properties>
</file>