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FD541" w14:textId="77777777" w:rsidR="009D70B2" w:rsidRDefault="009D70B2" w:rsidP="009D70B2">
      <w:pPr>
        <w:pStyle w:val="Heading1"/>
      </w:pPr>
      <w:r>
        <w:t>Appendix A</w:t>
      </w:r>
    </w:p>
    <w:p w14:paraId="5624E1AC" w14:textId="77777777" w:rsidR="009D70B2" w:rsidRPr="00F3181E" w:rsidRDefault="009D70B2" w:rsidP="009D70B2">
      <w:pPr>
        <w:pStyle w:val="Style1"/>
        <w:rPr>
          <w:b/>
          <w:bCs/>
        </w:rPr>
      </w:pPr>
      <w:r w:rsidRPr="00F3181E">
        <w:rPr>
          <w:b/>
          <w:bCs/>
        </w:rPr>
        <w:t>Table S1. Chief Complaint Classification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0"/>
        <w:gridCol w:w="6580"/>
      </w:tblGrid>
      <w:tr w:rsidR="009D70B2" w:rsidRPr="00D81A1A" w14:paraId="33FD783A" w14:textId="77777777" w:rsidTr="002B2C86">
        <w:tc>
          <w:tcPr>
            <w:tcW w:w="2793" w:type="dxa"/>
            <w:hideMark/>
          </w:tcPr>
          <w:p w14:paraId="5FF27320" w14:textId="77777777" w:rsidR="009D70B2" w:rsidRPr="00D81A1A" w:rsidRDefault="009D70B2" w:rsidP="002B2C86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Fonts w:asciiTheme="majorBidi" w:eastAsia="Times New Roman" w:hAnsiTheme="majorBidi" w:cstheme="majorBidi"/>
                <w:sz w:val="24"/>
                <w:szCs w:val="24"/>
              </w:rPr>
              <w:t>Category</w:t>
            </w:r>
          </w:p>
        </w:tc>
        <w:tc>
          <w:tcPr>
            <w:tcW w:w="6477" w:type="dxa"/>
            <w:hideMark/>
          </w:tcPr>
          <w:p w14:paraId="73378530" w14:textId="77777777" w:rsidR="009D70B2" w:rsidRPr="00D81A1A" w:rsidRDefault="009D70B2" w:rsidP="002B2C86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Fonts w:asciiTheme="majorBidi" w:eastAsia="Times New Roman" w:hAnsiTheme="majorBidi" w:cstheme="majorBidi"/>
                <w:sz w:val="24"/>
                <w:szCs w:val="24"/>
              </w:rPr>
              <w:t>Examples</w:t>
            </w:r>
          </w:p>
        </w:tc>
      </w:tr>
      <w:tr w:rsidR="009D70B2" w:rsidRPr="00D81A1A" w14:paraId="7F07024B" w14:textId="77777777" w:rsidTr="002B2C86">
        <w:tc>
          <w:tcPr>
            <w:tcW w:w="2793" w:type="dxa"/>
          </w:tcPr>
          <w:p w14:paraId="1DFA113B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Fonts w:asciiTheme="majorBidi" w:eastAsia="Times New Roman" w:hAnsiTheme="majorBidi" w:cstheme="majorBidi"/>
                <w:sz w:val="24"/>
                <w:szCs w:val="24"/>
              </w:rPr>
              <w:t>Pain/musculoskeletal/non-specific</w:t>
            </w:r>
          </w:p>
        </w:tc>
        <w:tc>
          <w:tcPr>
            <w:tcW w:w="6477" w:type="dxa"/>
          </w:tcPr>
          <w:p w14:paraId="1D73B4D7" w14:textId="77777777" w:rsidR="009D70B2" w:rsidRPr="00D81A1A" w:rsidRDefault="009D70B2" w:rsidP="002B2C86">
            <w:pPr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</w:pPr>
            <w:r w:rsidRPr="00D81A1A"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  <w:t>pain, back pain, neck pain, shoulder pain, leg pain, knee pain, headache, eye pain, ear pain, joint pain, body ache, limb pain, or general pain.</w:t>
            </w:r>
          </w:p>
          <w:p w14:paraId="7AED5C9E" w14:textId="77777777" w:rsidR="009D70B2" w:rsidRPr="00D81A1A" w:rsidRDefault="009D70B2" w:rsidP="002B2C86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9D70B2" w:rsidRPr="00D81A1A" w14:paraId="2D8C7C6B" w14:textId="77777777" w:rsidTr="002B2C86">
        <w:tc>
          <w:tcPr>
            <w:tcW w:w="2793" w:type="dxa"/>
            <w:hideMark/>
          </w:tcPr>
          <w:p w14:paraId="4AF002D6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Fonts w:asciiTheme="majorBidi" w:eastAsia="Times New Roman" w:hAnsiTheme="majorBidi" w:cstheme="majorBidi"/>
                <w:sz w:val="24"/>
                <w:szCs w:val="24"/>
              </w:rPr>
              <w:t>Neurological / weakness / dizziness</w:t>
            </w:r>
          </w:p>
        </w:tc>
        <w:tc>
          <w:tcPr>
            <w:tcW w:w="6477" w:type="dxa"/>
            <w:hideMark/>
          </w:tcPr>
          <w:p w14:paraId="74A9B4DD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  <w:t xml:space="preserve">dizziness, vertigo, general weakness, focal weakness, numbness, tingling, headache with neurological symptoms, confusion, speech difficulty, suspected cerebrovascular event, or syncope associated with neurological symptoms. </w:t>
            </w:r>
          </w:p>
        </w:tc>
      </w:tr>
      <w:tr w:rsidR="009D70B2" w:rsidRPr="00D81A1A" w14:paraId="3A4BE367" w14:textId="77777777" w:rsidTr="002B2C86">
        <w:tc>
          <w:tcPr>
            <w:tcW w:w="2793" w:type="dxa"/>
          </w:tcPr>
          <w:p w14:paraId="018DF1B6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Fonts w:asciiTheme="majorBidi" w:eastAsia="Times New Roman" w:hAnsiTheme="majorBidi" w:cstheme="majorBidi"/>
                <w:sz w:val="24"/>
                <w:szCs w:val="24"/>
              </w:rPr>
              <w:t>Respiratory / flu-like</w:t>
            </w:r>
          </w:p>
        </w:tc>
        <w:tc>
          <w:tcPr>
            <w:tcW w:w="6477" w:type="dxa"/>
          </w:tcPr>
          <w:p w14:paraId="3D7E889E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  <w:t>cough, shortness of breath, dyspnoea, influenza-like illness, upper respiratory tract infection, sore throat, asthma exacerbation, respiratory symptoms, COVID-19-related symptoms, or chest congestion.</w:t>
            </w:r>
          </w:p>
        </w:tc>
      </w:tr>
      <w:tr w:rsidR="009D70B2" w:rsidRPr="00D81A1A" w14:paraId="36D35907" w14:textId="77777777" w:rsidTr="002B2C86">
        <w:tc>
          <w:tcPr>
            <w:tcW w:w="0" w:type="auto"/>
            <w:hideMark/>
          </w:tcPr>
          <w:p w14:paraId="0C5FA8BC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Fonts w:asciiTheme="majorBidi" w:eastAsia="Times New Roman" w:hAnsiTheme="majorBidi" w:cstheme="majorBidi"/>
                <w:sz w:val="24"/>
                <w:szCs w:val="24"/>
              </w:rPr>
              <w:t>Abdominal/GI / urinary</w:t>
            </w:r>
          </w:p>
        </w:tc>
        <w:tc>
          <w:tcPr>
            <w:tcW w:w="0" w:type="auto"/>
            <w:hideMark/>
          </w:tcPr>
          <w:p w14:paraId="4CD8DE42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  <w:t>abdominal pain, epigastric pain, flank pain, nausea, vomiting, diarrhoea, constipation, urinary tract infection, dysuria, renal colic, gastrointestinal upset, or urinary symptoms.</w:t>
            </w:r>
          </w:p>
        </w:tc>
      </w:tr>
      <w:tr w:rsidR="009D70B2" w:rsidRPr="00D81A1A" w14:paraId="449F597C" w14:textId="77777777" w:rsidTr="002B2C86">
        <w:tc>
          <w:tcPr>
            <w:tcW w:w="0" w:type="auto"/>
            <w:hideMark/>
          </w:tcPr>
          <w:p w14:paraId="650B2D38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Fonts w:asciiTheme="majorBidi" w:eastAsia="Times New Roman" w:hAnsiTheme="majorBidi" w:cstheme="majorBidi"/>
                <w:sz w:val="24"/>
                <w:szCs w:val="24"/>
              </w:rPr>
              <w:t>Fever/infection</w:t>
            </w:r>
          </w:p>
        </w:tc>
        <w:tc>
          <w:tcPr>
            <w:tcW w:w="0" w:type="auto"/>
            <w:hideMark/>
          </w:tcPr>
          <w:p w14:paraId="78D2A8B6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  <w:t>fever, chills, suspected infection, febrile illness, wound infection, suspected sepsis, infected lesion, or unexplained fever.</w:t>
            </w:r>
          </w:p>
        </w:tc>
      </w:tr>
      <w:tr w:rsidR="009D70B2" w:rsidRPr="00D81A1A" w14:paraId="737A8169" w14:textId="77777777" w:rsidTr="002B2C86">
        <w:tc>
          <w:tcPr>
            <w:tcW w:w="0" w:type="auto"/>
          </w:tcPr>
          <w:p w14:paraId="3038BE31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  <w:t>Chronic / metabolic</w:t>
            </w:r>
          </w:p>
        </w:tc>
        <w:tc>
          <w:tcPr>
            <w:tcW w:w="0" w:type="auto"/>
          </w:tcPr>
          <w:p w14:paraId="0BE536F8" w14:textId="77777777" w:rsidR="009D70B2" w:rsidRPr="00D81A1A" w:rsidRDefault="009D70B2" w:rsidP="002B2C86">
            <w:pPr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</w:pPr>
            <w:r w:rsidRPr="00D81A1A"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  <w:t>diabetes-related symptoms, hyperglycaemia, hypoglycaemia, hypertension-related concerns, medication-related chronic-disease follow-up, renal-disease symptoms, electrolyte disturbance, dehydration, or fatigue attributable to chronic illness.</w:t>
            </w:r>
          </w:p>
        </w:tc>
      </w:tr>
      <w:tr w:rsidR="009D70B2" w:rsidRPr="00D81A1A" w14:paraId="7AB22544" w14:textId="77777777" w:rsidTr="002B2C86">
        <w:tc>
          <w:tcPr>
            <w:tcW w:w="2793" w:type="dxa"/>
          </w:tcPr>
          <w:p w14:paraId="3DC397A0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Fonts w:asciiTheme="majorBidi" w:eastAsia="Times New Roman" w:hAnsiTheme="majorBidi" w:cstheme="majorBidi"/>
                <w:sz w:val="24"/>
                <w:szCs w:val="24"/>
              </w:rPr>
              <w:t>Chest pain/cardiac/syncope</w:t>
            </w:r>
          </w:p>
        </w:tc>
        <w:tc>
          <w:tcPr>
            <w:tcW w:w="6477" w:type="dxa"/>
          </w:tcPr>
          <w:p w14:paraId="139C9FFB" w14:textId="77777777" w:rsidR="009D70B2" w:rsidRPr="00D81A1A" w:rsidRDefault="009D70B2" w:rsidP="002B2C86">
            <w:pPr>
              <w:pStyle w:val="Style1"/>
              <w:rPr>
                <w:rFonts w:asciiTheme="majorBidi" w:hAnsiTheme="majorBidi" w:cstheme="majorBidi"/>
              </w:rPr>
            </w:pPr>
            <w:r w:rsidRPr="00D81A1A">
              <w:rPr>
                <w:rStyle w:val="ng-star-inserted"/>
                <w:rFonts w:asciiTheme="majorBidi" w:hAnsiTheme="majorBidi" w:cstheme="majorBidi"/>
              </w:rPr>
              <w:t>chest pain, palpitations, suspected cardiac symptoms, elevated blood pressure with cardiac concern, presyncope, syncope, collapse, suspected acute coronary syndrome, or arrhythmia-related symptoms.</w:t>
            </w:r>
          </w:p>
        </w:tc>
      </w:tr>
      <w:tr w:rsidR="009D70B2" w:rsidRPr="00D81A1A" w14:paraId="025F256D" w14:textId="77777777" w:rsidTr="002B2C86">
        <w:tc>
          <w:tcPr>
            <w:tcW w:w="2793" w:type="dxa"/>
          </w:tcPr>
          <w:p w14:paraId="1F4C8DAD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Fonts w:asciiTheme="majorBidi" w:eastAsia="Times New Roman" w:hAnsiTheme="majorBidi" w:cstheme="majorBidi"/>
                <w:sz w:val="24"/>
                <w:szCs w:val="24"/>
              </w:rPr>
              <w:t>Falls/trauma</w:t>
            </w:r>
          </w:p>
        </w:tc>
        <w:tc>
          <w:tcPr>
            <w:tcW w:w="6477" w:type="dxa"/>
          </w:tcPr>
          <w:p w14:paraId="56E3F5F2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  <w:t>fall, injury, trauma, laceration, wound, burn, fracture-related complaint, head injury, road-traffic injury, or post-traumatic pain.</w:t>
            </w:r>
          </w:p>
        </w:tc>
      </w:tr>
      <w:tr w:rsidR="009D70B2" w:rsidRPr="00D81A1A" w14:paraId="3CAA966B" w14:textId="77777777" w:rsidTr="002B2C86">
        <w:tc>
          <w:tcPr>
            <w:tcW w:w="2793" w:type="dxa"/>
          </w:tcPr>
          <w:p w14:paraId="172B7847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  <w:t>Follow-up / administrative</w:t>
            </w:r>
          </w:p>
        </w:tc>
        <w:tc>
          <w:tcPr>
            <w:tcW w:w="6477" w:type="dxa"/>
          </w:tcPr>
          <w:p w14:paraId="79B1FFAD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  <w:t>follow-up visit, dressing change, laboratory-test request, referral-related visit, prescription renewal, procedure review, medical report request, catheter-related review, or scheduled reassessment.</w:t>
            </w:r>
          </w:p>
        </w:tc>
      </w:tr>
      <w:tr w:rsidR="009D70B2" w:rsidRPr="00D81A1A" w14:paraId="3519D53D" w14:textId="77777777" w:rsidTr="002B2C86">
        <w:tc>
          <w:tcPr>
            <w:tcW w:w="2793" w:type="dxa"/>
            <w:hideMark/>
          </w:tcPr>
          <w:p w14:paraId="77596966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Fonts w:asciiTheme="majorBidi" w:eastAsia="Times New Roman" w:hAnsiTheme="majorBidi" w:cstheme="majorBidi"/>
                <w:sz w:val="24"/>
                <w:szCs w:val="24"/>
              </w:rPr>
              <w:t>Other</w:t>
            </w:r>
          </w:p>
        </w:tc>
        <w:tc>
          <w:tcPr>
            <w:tcW w:w="6477" w:type="dxa"/>
            <w:hideMark/>
          </w:tcPr>
          <w:p w14:paraId="3C2D68CA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  <w:t>complaints that were clinically interpretable but did not fit a prespecified category, such as rash, allergy, dental complaint, psychiatric concern, foreign body, or isolated skin-related symptoms.</w:t>
            </w:r>
          </w:p>
        </w:tc>
      </w:tr>
      <w:tr w:rsidR="009D70B2" w:rsidRPr="00D81A1A" w14:paraId="44C3170D" w14:textId="77777777" w:rsidTr="002B2C86">
        <w:tc>
          <w:tcPr>
            <w:tcW w:w="2793" w:type="dxa"/>
            <w:hideMark/>
          </w:tcPr>
          <w:p w14:paraId="3B16666B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Missing/ unclear</w:t>
            </w:r>
          </w:p>
        </w:tc>
        <w:tc>
          <w:tcPr>
            <w:tcW w:w="6477" w:type="dxa"/>
            <w:hideMark/>
          </w:tcPr>
          <w:p w14:paraId="6563E7DE" w14:textId="77777777" w:rsidR="009D70B2" w:rsidRPr="00D81A1A" w:rsidRDefault="009D70B2" w:rsidP="002B2C8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1A1A">
              <w:rPr>
                <w:rStyle w:val="ng-star-inserted"/>
                <w:rFonts w:asciiTheme="majorBidi" w:hAnsiTheme="majorBidi" w:cstheme="majorBidi"/>
                <w:sz w:val="24"/>
                <w:szCs w:val="24"/>
              </w:rPr>
              <w:t>blank entries, non-interpretable abbreviations, typographical fragments, non-clinical entries such as “ER,” or vague terms that could not be assigned confidently to a clinical category.</w:t>
            </w:r>
          </w:p>
        </w:tc>
      </w:tr>
    </w:tbl>
    <w:p w14:paraId="0B581AAD" w14:textId="77777777" w:rsidR="009D70B2" w:rsidRDefault="009D70B2" w:rsidP="009D70B2">
      <w:r>
        <w:br w:type="page"/>
      </w:r>
    </w:p>
    <w:p w14:paraId="4E04273A" w14:textId="77777777" w:rsidR="009D70B2" w:rsidRDefault="009D70B2" w:rsidP="009D70B2">
      <w:pPr>
        <w:pStyle w:val="Heading1"/>
      </w:pPr>
      <w:r>
        <w:lastRenderedPageBreak/>
        <w:t>Appendix B</w:t>
      </w:r>
    </w:p>
    <w:p w14:paraId="1061C7BF" w14:textId="77777777" w:rsidR="009D70B2" w:rsidRDefault="009D70B2" w:rsidP="009D70B2">
      <w:r w:rsidRPr="008C2D20">
        <w:rPr>
          <w:noProof/>
        </w:rPr>
        <w:drawing>
          <wp:inline distT="0" distB="0" distL="0" distR="0" wp14:anchorId="65D8AD71" wp14:editId="4482C0C3">
            <wp:extent cx="5943600" cy="3964940"/>
            <wp:effectExtent l="0" t="0" r="0" b="0"/>
            <wp:docPr id="3" name="Picture 3" descr="C:\Users\Administrator\OneDrive\Desktop\Jana\Figure_S1_cumulative_time_to_retur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OneDrive\Desktop\Jana\Figure_S1_cumulative_time_to_return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89E8A" w14:textId="77777777" w:rsidR="009D70B2" w:rsidRPr="00F3181E" w:rsidRDefault="009D70B2" w:rsidP="009D70B2">
      <w:pPr>
        <w:pStyle w:val="Style1"/>
        <w:rPr>
          <w:b/>
          <w:bCs/>
        </w:rPr>
      </w:pPr>
      <w:r w:rsidRPr="00F3181E">
        <w:rPr>
          <w:b/>
          <w:bCs/>
        </w:rPr>
        <w:t>Figure S1. Cumulative distribution of time to return</w:t>
      </w:r>
    </w:p>
    <w:p w14:paraId="2126D7CC" w14:textId="77777777" w:rsidR="009D70B2" w:rsidRDefault="009D70B2" w:rsidP="009D70B2">
      <w:r w:rsidRPr="00807E92">
        <w:rPr>
          <w:noProof/>
        </w:rPr>
        <w:lastRenderedPageBreak/>
        <w:drawing>
          <wp:inline distT="0" distB="0" distL="0" distR="0" wp14:anchorId="6729C437" wp14:editId="485967D8">
            <wp:extent cx="5943600" cy="4007972"/>
            <wp:effectExtent l="0" t="0" r="0" b="0"/>
            <wp:docPr id="5" name="Picture 5" descr="C:\Users\Administrator\Downloads\Figure_S2_sensitivity_analysi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wnloads\Figure_S2_sensitivity_analysis.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7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16168" w14:textId="77777777" w:rsidR="009D70B2" w:rsidRPr="00F3181E" w:rsidRDefault="009D70B2" w:rsidP="009D70B2">
      <w:pPr>
        <w:pStyle w:val="Style1"/>
        <w:rPr>
          <w:b/>
          <w:bCs/>
        </w:rPr>
      </w:pPr>
      <w:r w:rsidRPr="00F3181E">
        <w:rPr>
          <w:b/>
          <w:bCs/>
        </w:rPr>
        <w:t>Figure S2. Sensitivity-analysis plot</w:t>
      </w:r>
    </w:p>
    <w:p w14:paraId="0372CABF" w14:textId="77777777" w:rsidR="009D70B2" w:rsidRDefault="009D70B2" w:rsidP="009D70B2"/>
    <w:p w14:paraId="3457F69D" w14:textId="77777777" w:rsidR="008B07A6" w:rsidRDefault="008B07A6"/>
    <w:sectPr w:rsidR="008B07A6" w:rsidSect="009D7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B2"/>
    <w:rsid w:val="00066677"/>
    <w:rsid w:val="00153A17"/>
    <w:rsid w:val="001A37F3"/>
    <w:rsid w:val="003A4E89"/>
    <w:rsid w:val="005030F9"/>
    <w:rsid w:val="00556784"/>
    <w:rsid w:val="008B07A6"/>
    <w:rsid w:val="0097029A"/>
    <w:rsid w:val="00987B63"/>
    <w:rsid w:val="00990454"/>
    <w:rsid w:val="009D70B2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E5FD7"/>
  <w15:chartTrackingRefBased/>
  <w15:docId w15:val="{3C203DAC-3C20-42AE-BC99-A654CD16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0B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0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0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0B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0B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0B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0B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0B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0B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0B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0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0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0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0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0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0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7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0B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7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0B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70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0B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70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0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0B2"/>
    <w:rPr>
      <w:b/>
      <w:bCs/>
      <w:smallCaps/>
      <w:color w:val="0F4761" w:themeColor="accent1" w:themeShade="BF"/>
      <w:spacing w:val="5"/>
    </w:rPr>
  </w:style>
  <w:style w:type="paragraph" w:customStyle="1" w:styleId="Style1">
    <w:name w:val="Style1"/>
    <w:basedOn w:val="NormalWeb"/>
    <w:link w:val="Style1Char"/>
    <w:qFormat/>
    <w:rsid w:val="009D70B2"/>
    <w:pPr>
      <w:spacing w:before="100" w:beforeAutospacing="1" w:after="100" w:afterAutospacing="1" w:line="360" w:lineRule="auto"/>
      <w:jc w:val="both"/>
    </w:pPr>
    <w:rPr>
      <w:rFonts w:eastAsia="Times New Roman"/>
    </w:rPr>
  </w:style>
  <w:style w:type="character" w:customStyle="1" w:styleId="Style1Char">
    <w:name w:val="Style1 Char"/>
    <w:basedOn w:val="DefaultParagraphFont"/>
    <w:link w:val="Style1"/>
    <w:rsid w:val="009D70B2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g-star-inserted">
    <w:name w:val="ng-star-inserted"/>
    <w:basedOn w:val="DefaultParagraphFont"/>
    <w:rsid w:val="009D70B2"/>
  </w:style>
  <w:style w:type="table" w:styleId="TableGrid">
    <w:name w:val="Table Grid"/>
    <w:basedOn w:val="TableNormal"/>
    <w:uiPriority w:val="39"/>
    <w:rsid w:val="009D70B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D70B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2026-09-15T14:07:00Z</dcterms:created>
  <dcterms:modified xsi:type="dcterms:W3CDTF">2026-09-15T14:07:00Z</dcterms:modified>
</cp:coreProperties>
</file>