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7D9D1"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</w:pPr>
      <w:bookmarkStart w:id="3" w:name="_GoBack"/>
      <w:bookmarkEnd w:id="3"/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  <w:t>Supplementary information</w:t>
      </w:r>
    </w:p>
    <w:p w14:paraId="2562130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Synergistic effect of In doping and heterojunction in InOOH/Sn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vertAlign w:val="subscript"/>
          <w:lang w:val="en-US" w:eastAsia="zh-CN"/>
        </w:rPr>
        <w:t>1-x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In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vertAlign w:val="subscript"/>
          <w:lang w:val="en-US" w:eastAsia="zh-CN"/>
        </w:rPr>
        <w:t>x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O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vertAlign w:val="subscript"/>
          <w:lang w:val="en-US" w:eastAsia="zh-CN"/>
        </w:rPr>
        <w:t>2-x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vertAlign w:val="subscript"/>
        </w:rPr>
        <w:t>/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for efficient photothermocatalytic CO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reduction</w:t>
      </w:r>
    </w:p>
    <w:p w14:paraId="73AF7D49">
      <w:pPr>
        <w:topLinePunct/>
        <w:jc w:val="center"/>
        <w:rPr>
          <w:rFonts w:ascii="Times New Roman" w:hAnsi="Times New Roman" w:eastAsia="宋体" w:cs="Times New Roman"/>
          <w:b/>
          <w:bCs/>
          <w:i/>
          <w:iCs/>
          <w:color w:val="000000"/>
          <w:sz w:val="24"/>
        </w:rPr>
      </w:pPr>
      <w:r>
        <w:rPr>
          <w:rFonts w:ascii="Times New Roman" w:hAnsi="Times New Roman" w:eastAsia="宋体" w:cs="Times New Roman"/>
          <w:i/>
          <w:iCs/>
          <w:kern w:val="0"/>
          <w:sz w:val="24"/>
          <w:szCs w:val="20"/>
          <w:lang w:eastAsia="en-US"/>
        </w:rPr>
        <w:t>Y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0"/>
        </w:rPr>
        <w:t>uhan Lin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0"/>
          <w:lang w:eastAsia="en-US"/>
        </w:rPr>
        <w:t>,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0"/>
          <w:vertAlign w:val="superscript"/>
          <w:lang w:eastAsia="en-US"/>
        </w:rPr>
        <w:t>a</w:t>
      </w:r>
      <w:bookmarkStart w:id="0" w:name="OLE_LINK67"/>
      <w:r>
        <w:rPr>
          <w:rFonts w:ascii="Times New Roman" w:hAnsi="Times New Roman" w:eastAsia="宋体" w:cs="Times New Roman"/>
          <w:kern w:val="0"/>
          <w:sz w:val="24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Cs/>
          <w:i/>
          <w:iCs/>
          <w:color w:val="000000"/>
          <w:sz w:val="24"/>
          <w:lang w:val="en-US" w:eastAsia="zh-CN"/>
        </w:rPr>
        <w:t>Yufei</w:t>
      </w:r>
      <w:r>
        <w:rPr>
          <w:rFonts w:ascii="Times New Roman" w:hAnsi="Times New Roman" w:eastAsia="宋体" w:cs="Times New Roman"/>
          <w:bCs/>
          <w:i/>
          <w:iCs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i/>
          <w:iCs/>
          <w:color w:val="000000"/>
          <w:sz w:val="24"/>
          <w:lang w:val="en-US" w:eastAsia="zh-CN"/>
        </w:rPr>
        <w:t>Jiang</w:t>
      </w:r>
      <w:r>
        <w:rPr>
          <w:rFonts w:ascii="Times New Roman" w:hAnsi="Times New Roman" w:eastAsia="宋体" w:cs="Times New Roman"/>
          <w:bCs/>
          <w:i/>
          <w:iCs/>
          <w:color w:val="000000"/>
          <w:sz w:val="24"/>
        </w:rPr>
        <w:t>,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0"/>
          <w:vertAlign w:val="superscript"/>
          <w:lang w:eastAsia="en-US"/>
        </w:rPr>
        <w:t>a</w:t>
      </w:r>
      <w:r>
        <w:rPr>
          <w:rFonts w:ascii="Times New Roman" w:hAnsi="Times New Roman" w:eastAsia="宋体" w:cs="Times New Roman"/>
          <w:kern w:val="0"/>
          <w:sz w:val="24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kern w:val="0"/>
          <w:sz w:val="24"/>
          <w:szCs w:val="20"/>
          <w:lang w:val="en-US" w:eastAsia="zh-CN"/>
        </w:rPr>
        <w:t>Yi He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0"/>
        </w:rPr>
        <w:t>,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0"/>
          <w:vertAlign w:val="superscript"/>
          <w:lang w:eastAsia="en-US"/>
        </w:rPr>
        <w:t>a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kern w:val="0"/>
          <w:sz w:val="24"/>
          <w:szCs w:val="20"/>
        </w:rPr>
        <w:t>Wei</w:t>
      </w:r>
      <w:r>
        <w:rPr>
          <w:rFonts w:hint="eastAsia" w:ascii="Times New Roman" w:hAnsi="Times New Roman" w:eastAsia="宋体" w:cs="Times New Roman"/>
          <w:i/>
          <w:iCs/>
          <w:kern w:val="0"/>
          <w:sz w:val="24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kern w:val="0"/>
          <w:sz w:val="24"/>
          <w:szCs w:val="20"/>
        </w:rPr>
        <w:t>Peng,</w:t>
      </w:r>
      <w:r>
        <w:rPr>
          <w:rFonts w:hint="eastAsia" w:ascii="Times New Roman" w:hAnsi="Times New Roman" w:eastAsia="宋体" w:cs="Times New Roman"/>
          <w:i/>
          <w:iCs/>
          <w:kern w:val="0"/>
          <w:sz w:val="24"/>
          <w:szCs w:val="20"/>
          <w:vertAlign w:val="superscript"/>
        </w:rPr>
        <w:t>b</w:t>
      </w:r>
      <w:r>
        <w:rPr>
          <w:rFonts w:ascii="Times New Roman" w:hAnsi="Times New Roman" w:eastAsia="宋体" w:cs="Times New Roman"/>
          <w:b/>
          <w:bCs/>
          <w:color w:val="000000"/>
          <w:sz w:val="24"/>
        </w:rPr>
        <w:t>*</w:t>
      </w:r>
      <w:r>
        <w:rPr>
          <w:rFonts w:hint="eastAsia" w:ascii="Times New Roman" w:hAnsi="Times New Roman" w:eastAsia="宋体" w:cs="Times New Roman"/>
          <w:i/>
          <w:iCs/>
          <w:kern w:val="0"/>
          <w:sz w:val="24"/>
          <w:szCs w:val="20"/>
        </w:rPr>
        <w:t xml:space="preserve"> </w:t>
      </w:r>
      <w:r>
        <w:rPr>
          <w:rFonts w:ascii="Times New Roman" w:hAnsi="Times New Roman" w:eastAsia="宋体" w:cs="Times New Roman"/>
          <w:bCs/>
          <w:i/>
          <w:iCs/>
          <w:color w:val="000000"/>
          <w:sz w:val="24"/>
        </w:rPr>
        <w:t xml:space="preserve">Chuanyi Wang 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0"/>
          <w:vertAlign w:val="superscript"/>
          <w:lang w:eastAsia="en-US"/>
        </w:rPr>
        <w:t>a</w:t>
      </w:r>
      <w:r>
        <w:rPr>
          <w:rFonts w:ascii="Times New Roman" w:hAnsi="Times New Roman" w:eastAsia="宋体" w:cs="Times New Roman"/>
          <w:i/>
          <w:iCs/>
          <w:color w:val="000000"/>
          <w:sz w:val="24"/>
        </w:rPr>
        <w:t>*</w:t>
      </w:r>
      <w:bookmarkEnd w:id="0"/>
      <w:r>
        <w:rPr>
          <w:rFonts w:ascii="Times New Roman" w:hAnsi="Times New Roman" w:eastAsia="宋体" w:cs="Times New Roman"/>
          <w:i/>
          <w:iCs/>
          <w:color w:val="000000"/>
          <w:sz w:val="24"/>
        </w:rPr>
        <w:t>.</w:t>
      </w:r>
    </w:p>
    <w:p w14:paraId="2E663DED">
      <w:pPr>
        <w:rPr>
          <w:rFonts w:ascii="Times New Roman" w:hAnsi="Times New Roman" w:eastAsia="宋体" w:cs="Times New Roman"/>
          <w:bCs/>
          <w:color w:val="000000"/>
          <w:sz w:val="24"/>
        </w:rPr>
      </w:pPr>
      <w:r>
        <w:rPr>
          <w:rFonts w:ascii="Times New Roman" w:hAnsi="Times New Roman" w:eastAsia="宋体" w:cs="Times New Roman"/>
          <w:bCs/>
          <w:color w:val="000000"/>
          <w:sz w:val="24"/>
          <w:vertAlign w:val="superscript"/>
        </w:rPr>
        <w:t>a</w:t>
      </w:r>
      <w:r>
        <w:rPr>
          <w:rFonts w:ascii="Times New Roman" w:hAnsi="Times New Roman" w:eastAsia="宋体" w:cs="Times New Roman"/>
          <w:bCs/>
          <w:color w:val="000000"/>
          <w:sz w:val="24"/>
        </w:rPr>
        <w:t xml:space="preserve"> School of Environmental Science and Engineering, Shaanxi University of Science and Technology, Xi’an 710021, P. R. China.</w:t>
      </w:r>
      <w:bookmarkStart w:id="1" w:name="OLE_LINK73"/>
    </w:p>
    <w:p w14:paraId="23626FDC">
      <w:pPr>
        <w:rPr>
          <w:rFonts w:ascii="Times New Roman" w:hAnsi="Times New Roman" w:eastAsia="宋体" w:cs="Times New Roman"/>
          <w:bCs/>
          <w:color w:val="000000"/>
          <w:sz w:val="24"/>
        </w:rPr>
      </w:pPr>
      <w:r>
        <w:rPr>
          <w:rFonts w:hint="eastAsia" w:ascii="Times New Roman" w:hAnsi="Times New Roman" w:eastAsia="宋体" w:cs="Times New Roman"/>
          <w:bCs/>
          <w:color w:val="000000"/>
          <w:sz w:val="24"/>
          <w:vertAlign w:val="superscript"/>
        </w:rPr>
        <w:t>b</w:t>
      </w:r>
      <w:r>
        <w:rPr>
          <w:rFonts w:ascii="Times New Roman" w:hAnsi="Times New Roman" w:eastAsia="宋体" w:cs="Times New Roman"/>
          <w:bCs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lang w:val="en-US" w:eastAsia="zh-CN"/>
        </w:rPr>
        <w:t>Key Laboratory of the Forensic Science</w:t>
      </w:r>
      <w:r>
        <w:rPr>
          <w:rFonts w:hint="eastAsia" w:ascii="Times New Roman" w:hAnsi="Times New Roman" w:eastAsia="宋体" w:cs="Times New Roman"/>
          <w:bCs/>
          <w:color w:val="000000"/>
          <w:sz w:val="24"/>
        </w:rPr>
        <w:t>,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000000"/>
          <w:sz w:val="24"/>
        </w:rPr>
        <w:t>Hubei University of Police,Wuhan 430000</w:t>
      </w:r>
      <w:r>
        <w:rPr>
          <w:rFonts w:ascii="Times New Roman" w:hAnsi="Times New Roman" w:eastAsia="宋体" w:cs="Times New Roman"/>
          <w:bCs/>
          <w:color w:val="000000"/>
          <w:sz w:val="24"/>
        </w:rPr>
        <w:t>, P. R. China.</w:t>
      </w:r>
    </w:p>
    <w:bookmarkEnd w:id="1"/>
    <w:p w14:paraId="126A1EB2">
      <w:pPr>
        <w:rPr>
          <w:rFonts w:ascii="Times New Roman" w:hAnsi="Times New Roman" w:eastAsia="宋体" w:cs="Times New Roman"/>
          <w:bCs/>
          <w:color w:val="000000"/>
          <w:sz w:val="24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</w:rPr>
        <w:t>*</w:t>
      </w:r>
      <w:r>
        <w:rPr>
          <w:rFonts w:ascii="Times New Roman" w:hAnsi="Times New Roman" w:eastAsia="宋体" w:cs="Times New Roman"/>
          <w:bCs/>
          <w:color w:val="000000"/>
          <w:sz w:val="24"/>
        </w:rPr>
        <w:t>Corresponding Authors.</w:t>
      </w:r>
    </w:p>
    <w:p w14:paraId="163E5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sz w:val="24"/>
        </w:rPr>
        <w:t>E-mail addresses</w:t>
      </w:r>
      <w:r>
        <w:rPr>
          <w:rFonts w:hint="eastAsia" w:ascii="Times New Roman" w:hAnsi="Times New Roman" w:eastAsia="宋体" w:cs="Times New Roman"/>
          <w:bCs/>
          <w:color w:val="000000"/>
          <w:sz w:val="24"/>
        </w:rPr>
        <w:t>:</w:t>
      </w:r>
      <w:r>
        <w:rPr>
          <w:rFonts w:ascii="Times New Roman" w:hAnsi="Times New Roman" w:eastAsia="宋体" w:cs="Times New Roman"/>
          <w:bCs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</w:rPr>
        <w:t>pengwei1015@hbpa.edu.cn</w:t>
      </w:r>
      <w:r>
        <w:rPr>
          <w:rFonts w:ascii="Times New Roman" w:hAnsi="Times New Roman" w:eastAsia="等线" w:cs="Times New Roman"/>
          <w:color w:val="auto"/>
          <w:szCs w:val="21"/>
        </w:rPr>
        <w:t xml:space="preserve"> </w:t>
      </w:r>
      <w:r>
        <w:rPr>
          <w:rFonts w:ascii="Times New Roman" w:hAnsi="Times New Roman" w:eastAsia="宋体" w:cs="Times New Roman"/>
          <w:bCs/>
          <w:color w:val="auto"/>
          <w:sz w:val="24"/>
        </w:rPr>
        <w:t>(</w:t>
      </w:r>
      <w:r>
        <w:rPr>
          <w:rFonts w:hint="eastAsia" w:ascii="Times New Roman" w:hAnsi="Times New Roman" w:eastAsia="宋体" w:cs="Times New Roman"/>
          <w:bCs/>
          <w:color w:val="auto"/>
          <w:sz w:val="24"/>
          <w:lang w:val="en-US" w:eastAsia="zh-CN"/>
        </w:rPr>
        <w:t>W</w:t>
      </w:r>
      <w:r>
        <w:rPr>
          <w:rFonts w:ascii="Times New Roman" w:hAnsi="Times New Roman" w:eastAsia="宋体" w:cs="Times New Roman"/>
          <w:bCs/>
          <w:color w:val="auto"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bCs/>
          <w:color w:val="auto"/>
          <w:sz w:val="24"/>
          <w:lang w:val="en-US" w:eastAsia="zh-CN"/>
        </w:rPr>
        <w:t>Peng</w:t>
      </w:r>
      <w:r>
        <w:rPr>
          <w:rFonts w:ascii="Times New Roman" w:hAnsi="Times New Roman" w:eastAsia="宋体" w:cs="Times New Roman"/>
          <w:bCs/>
          <w:color w:val="auto"/>
          <w:sz w:val="24"/>
        </w:rPr>
        <w:t>),</w:t>
      </w:r>
      <w:r>
        <w:rPr>
          <w:rFonts w:ascii="Times New Roman" w:hAnsi="Times New Roman" w:eastAsia="宋体" w:cs="Times New Roman"/>
          <w:bCs/>
          <w:color w:val="000000"/>
          <w:sz w:val="24"/>
        </w:rPr>
        <w:t xml:space="preserve"> </w:t>
      </w:r>
      <w:bookmarkStart w:id="2" w:name="OLE_LINK72"/>
      <w:r>
        <w:rPr>
          <w:rFonts w:ascii="Times New Roman" w:hAnsi="Times New Roman" w:eastAsia="宋体" w:cs="Times New Roman"/>
          <w:bCs/>
          <w:color w:val="000000"/>
          <w:sz w:val="24"/>
        </w:rPr>
        <w:t>wangchuanyi@sust.edu.cn (C. Wang).</w:t>
      </w:r>
      <w:bookmarkEnd w:id="2"/>
    </w:p>
    <w:p w14:paraId="3642799D"/>
    <w:p w14:paraId="614BB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/>
          <w:sz w:val="21"/>
          <w:szCs w:val="21"/>
          <w:u w:val="none"/>
          <w:vertAlign w:val="subscript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u w:val="none"/>
          <w:lang w:val="en-US" w:eastAsia="zh-CN"/>
        </w:rPr>
        <w:t>Tab. S1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u w:val="none"/>
          <w:lang w:val="en-US" w:eastAsia="zh-CN"/>
        </w:rPr>
        <w:t>.</w:t>
      </w:r>
      <w:r>
        <w:rPr>
          <w:rFonts w:hint="eastAsia" w:ascii="Times New Roman" w:hAnsi="Times New Roman" w:eastAsia="宋体"/>
          <w:sz w:val="24"/>
          <w:szCs w:val="24"/>
          <w:u w:val="none"/>
          <w:lang w:val="en-US" w:eastAsia="zh-CN"/>
        </w:rPr>
        <w:t xml:space="preserve"> Specific surface areas, average pore volumes, and average pore</w:t>
      </w:r>
      <w:r>
        <w:rPr>
          <w:rFonts w:hint="eastAsia" w:ascii="Times New Roman" w:hAnsi="Times New Roman" w:eastAsia="宋体"/>
          <w:color w:val="auto"/>
          <w:sz w:val="24"/>
          <w:szCs w:val="24"/>
          <w:u w:val="none"/>
          <w:lang w:val="en-US" w:eastAsia="zh-CN"/>
        </w:rPr>
        <w:t xml:space="preserve"> diameters </w:t>
      </w:r>
      <w:r>
        <w:rPr>
          <w:rFonts w:hint="eastAsia" w:ascii="Times New Roman" w:hAnsi="Times New Roman" w:eastAsia="宋体"/>
          <w:sz w:val="24"/>
          <w:szCs w:val="24"/>
          <w:u w:val="none"/>
          <w:lang w:val="en-US" w:eastAsia="zh-CN"/>
        </w:rPr>
        <w:t>of InOOH, SnO</w:t>
      </w:r>
      <w:r>
        <w:rPr>
          <w:rFonts w:hint="eastAsia" w:ascii="Times New Roman" w:hAnsi="Times New Roman" w:eastAsia="宋体"/>
          <w:sz w:val="24"/>
          <w:szCs w:val="24"/>
          <w:u w:val="none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/>
          <w:sz w:val="24"/>
          <w:szCs w:val="24"/>
          <w:u w:val="none"/>
          <w:lang w:val="en-US" w:eastAsia="zh-CN"/>
        </w:rPr>
        <w:t>, and 5:5 In/Sn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2458"/>
        <w:gridCol w:w="2375"/>
        <w:gridCol w:w="2431"/>
      </w:tblGrid>
      <w:tr w14:paraId="089EB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27E7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Samples</w:t>
            </w:r>
          </w:p>
        </w:tc>
        <w:tc>
          <w:tcPr>
            <w:tcW w:w="245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5312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Specific surface area</w:t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(m</w:t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宋体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g</w:t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superscript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237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7B8E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Average pore volume</w:t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(cm</w:t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宋体"/>
                <w:sz w:val="24"/>
                <w:szCs w:val="24"/>
                <w:lang w:val="en-US" w:eastAsia="zh-CN"/>
              </w:rPr>
              <w:t>·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g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vertAlign w:val="superscript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24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3F70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Average pore diameter</w:t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  <w:t>nm</w:t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)</w:t>
            </w:r>
          </w:p>
        </w:tc>
      </w:tr>
      <w:tr w14:paraId="5E6AC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6D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InOOH</w:t>
            </w:r>
          </w:p>
        </w:tc>
        <w:tc>
          <w:tcPr>
            <w:tcW w:w="245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0A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49.8305</w:t>
            </w:r>
          </w:p>
        </w:tc>
        <w:tc>
          <w:tcPr>
            <w:tcW w:w="237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0E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0.174497</w:t>
            </w:r>
          </w:p>
        </w:tc>
        <w:tc>
          <w:tcPr>
            <w:tcW w:w="24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02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15.1885</w:t>
            </w:r>
          </w:p>
        </w:tc>
      </w:tr>
      <w:tr w14:paraId="20C56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E4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SnO</w:t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subscript"/>
                <w:lang w:val="en-US" w:eastAsia="zh-CN"/>
              </w:rPr>
              <w:t>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63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117.2515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20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0.098558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8E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3.3739</w:t>
            </w:r>
          </w:p>
        </w:tc>
      </w:tr>
      <w:tr w14:paraId="70BFE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1000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5:5 In/Sn</w:t>
            </w:r>
          </w:p>
        </w:tc>
        <w:tc>
          <w:tcPr>
            <w:tcW w:w="245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6719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134.9369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8CAC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0.128921</w:t>
            </w:r>
          </w:p>
        </w:tc>
        <w:tc>
          <w:tcPr>
            <w:tcW w:w="24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88BF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szCs w:val="21"/>
                <w:u w:val="none"/>
                <w:vertAlign w:val="baseline"/>
                <w:lang w:val="en-US" w:eastAsia="zh-CN"/>
              </w:rPr>
              <w:t>3.4617</w:t>
            </w:r>
          </w:p>
        </w:tc>
      </w:tr>
    </w:tbl>
    <w:p w14:paraId="56C25619"/>
    <w:p w14:paraId="4C75361D">
      <w:pPr>
        <w:jc w:val="center"/>
      </w:pPr>
      <w:r>
        <w:drawing>
          <wp:inline distT="0" distB="0" distL="114300" distR="114300">
            <wp:extent cx="4910455" cy="3447415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0455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6D055">
      <w:pPr>
        <w:jc w:val="center"/>
        <w:rPr>
          <w:rFonts w:hint="default"/>
          <w:color w:val="auto"/>
          <w:lang w:val="en-US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szCs w:val="24"/>
        </w:rPr>
        <w:t xml:space="preserve">Fig. 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S1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.</w:t>
      </w:r>
      <w:r>
        <w:rPr>
          <w:rFonts w:ascii="Times New Roman" w:hAnsi="Times New Roman" w:eastAsia="宋体" w:cs="Times New Roman"/>
          <w:b/>
          <w:bCs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  <w:u w:val="none"/>
          <w:lang w:val="en-US" w:eastAsia="zh-CN"/>
        </w:rPr>
        <w:t>XRD patterns of the catalyst before and after reaction.</w:t>
      </w: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312D6"/>
    <w:rsid w:val="0D050639"/>
    <w:rsid w:val="17E547D4"/>
    <w:rsid w:val="2A2A0039"/>
    <w:rsid w:val="42BC0495"/>
    <w:rsid w:val="64DF39FA"/>
    <w:rsid w:val="77CA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789</Characters>
  <Lines>0</Lines>
  <Paragraphs>0</Paragraphs>
  <TotalTime>2</TotalTime>
  <ScaleCrop>false</ScaleCrop>
  <LinksUpToDate>false</LinksUpToDate>
  <CharactersWithSpaces>886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2026-07-24T02:53:00Z</dcterms:created>
  <dc:creator>Lenovo</dc:creator>
  <cp:lastModifiedBy>昔顏の</cp:lastModifiedBy>
  <dcterms:modified xsi:type="dcterms:W3CDTF">2026-08-10T12:23:18Z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eyJoZGlkIjoiY2I0MWIxODBmZWY5ZWE3YTEyMTMwNzVhNWZhMTlhNmMiLCJ1c2VySWQiOiI0MzEzMDM0NDMifQ==</vt:lpwstr>
  </property>
  <property fmtid="{D5CDD505-2E9C-101B-9397-08002B2CF9AE}" pid="4" name="ICV">
    <vt:lpwstr>9FF2F3D35A1343F6900846FECD2E4786_12</vt:lpwstr>
  </property>
</Properties>
</file>