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1111FB">
      <w:pPr>
        <w:keepNext w:val="0"/>
        <w:keepLines w:val="0"/>
        <w:widowControl/>
        <w:suppressLineNumbers w:val="0"/>
        <w:spacing w:before="0" w:beforeAutospacing="0" w:after="200" w:afterAutospacing="0" w:line="276" w:lineRule="auto"/>
        <w:ind w:left="0" w:right="0"/>
        <w:jc w:val="center"/>
        <w:rPr>
          <w:lang w:val="en-US"/>
        </w:rPr>
      </w:pPr>
      <w:r>
        <w:rPr>
          <w:rFonts w:hint="default" w:ascii="Times New Roman" w:hAnsi="Times New Roman" w:eastAsia="MS Mincho" w:cs="Times New Roman"/>
          <w:b/>
          <w:bCs w:val="0"/>
          <w:kern w:val="0"/>
          <w:sz w:val="24"/>
          <w:szCs w:val="22"/>
          <w:lang w:val="en-US" w:eastAsia="zh-CN" w:bidi="ar"/>
        </w:rPr>
        <w:t>Additional file 6</w:t>
      </w:r>
    </w:p>
    <w:p w14:paraId="436DA9B3">
      <w:pPr>
        <w:keepNext w:val="0"/>
        <w:keepLines w:val="0"/>
        <w:widowControl/>
        <w:suppressLineNumbers w:val="0"/>
        <w:spacing w:before="0" w:beforeAutospacing="0" w:after="200" w:afterAutospacing="0" w:line="276" w:lineRule="auto"/>
        <w:ind w:left="0" w:right="0"/>
        <w:jc w:val="center"/>
        <w:rPr>
          <w:b/>
          <w:bCs/>
          <w:iCs/>
          <w:sz w:val="24"/>
          <w:szCs w:val="24"/>
          <w:lang w:val="en-US"/>
        </w:rPr>
      </w:pPr>
      <w:r>
        <w:rPr>
          <w:rFonts w:hint="default" w:ascii="Times New Roman" w:hAnsi="Times New Roman" w:eastAsia="MS Mincho" w:cs="Times New Roman"/>
          <w:b/>
          <w:bCs/>
          <w:iCs/>
          <w:kern w:val="0"/>
          <w:sz w:val="24"/>
          <w:szCs w:val="24"/>
          <w:lang w:val="en-US" w:eastAsia="zh-CN" w:bidi="ar"/>
        </w:rPr>
        <w:t>182-day mortality by baseline CSF CMV viral load threshold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160"/>
        <w:gridCol w:w="2160"/>
        <w:gridCol w:w="2160"/>
      </w:tblGrid>
      <w:tr w14:paraId="171EE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vAlign w:val="top"/>
          </w:tcPr>
          <w:p w14:paraId="791820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bCs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b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Threshold (copies/mL)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vAlign w:val="top"/>
          </w:tcPr>
          <w:p w14:paraId="0C48DB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bCs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b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Above threshold, deaths/n (%)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vAlign w:val="top"/>
          </w:tcPr>
          <w:p w14:paraId="32CADAE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bCs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b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Below threshold, deaths/n (%)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/>
            <w:vAlign w:val="top"/>
          </w:tcPr>
          <w:p w14:paraId="1F1B0F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bCs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b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Fisher exact P</w:t>
            </w:r>
          </w:p>
        </w:tc>
      </w:tr>
      <w:tr w14:paraId="65B33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vAlign w:val="top"/>
          </w:tcPr>
          <w:p w14:paraId="70B01B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bCs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b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100,000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vAlign w:val="top"/>
          </w:tcPr>
          <w:p w14:paraId="6F2B7B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bCs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b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3/8 (37.5%)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vAlign w:val="top"/>
          </w:tcPr>
          <w:p w14:paraId="3BE306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bCs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b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6/25 (24.0%)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/>
            <w:vAlign w:val="top"/>
          </w:tcPr>
          <w:p w14:paraId="757409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bCs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b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0.65</w:t>
            </w:r>
          </w:p>
        </w:tc>
      </w:tr>
      <w:tr w14:paraId="775A3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4127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bCs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b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300,000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CC32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bCs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b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1/6 (16.7%)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A14CD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bCs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b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8/27 (29.6%)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4B67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bCs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b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1.00</w:t>
            </w:r>
          </w:p>
        </w:tc>
      </w:tr>
      <w:tr w14:paraId="7FC5E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vAlign w:val="top"/>
          </w:tcPr>
          <w:p w14:paraId="33EFF9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bCs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b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500,000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vAlign w:val="top"/>
          </w:tcPr>
          <w:p w14:paraId="41B6849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bCs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b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1/4 (25.0%)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vAlign w:val="top"/>
          </w:tcPr>
          <w:p w14:paraId="2AD65D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bCs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b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8/29 (27.6%)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/>
            <w:vAlign w:val="top"/>
          </w:tcPr>
          <w:p w14:paraId="788921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bCs/>
                <w:szCs w:val="20"/>
                <w:bdr w:val="none" w:color="auto" w:sz="0" w:space="0"/>
                <w:lang w:val="en-US"/>
              </w:rPr>
            </w:pPr>
            <w:r>
              <w:rPr>
                <w:rFonts w:hint="default" w:ascii="Times New Roman" w:hAnsi="Times New Roman" w:eastAsia="MS Mincho" w:cs="Times New Roman"/>
                <w:bCs/>
                <w:kern w:val="0"/>
                <w:sz w:val="20"/>
                <w:szCs w:val="20"/>
                <w:bdr w:val="none" w:color="auto" w:sz="0" w:space="0"/>
                <w:lang w:val="en-US" w:eastAsia="zh-CN" w:bidi="ar"/>
              </w:rPr>
              <w:t>1.00</w:t>
            </w:r>
          </w:p>
        </w:tc>
      </w:tr>
    </w:tbl>
    <w:p w14:paraId="1E6F9278">
      <w:pPr>
        <w:keepNext w:val="0"/>
        <w:keepLines w:val="0"/>
        <w:widowControl/>
        <w:suppressLineNumbers w:val="0"/>
        <w:spacing w:before="0" w:beforeAutospacing="0" w:after="200" w:afterAutospacing="0" w:line="276" w:lineRule="auto"/>
        <w:ind w:left="0" w:right="0"/>
        <w:jc w:val="left"/>
        <w:rPr>
          <w:i/>
          <w:iCs w:val="0"/>
          <w:sz w:val="16"/>
          <w:szCs w:val="22"/>
          <w:lang w:val="en-US"/>
        </w:rPr>
      </w:pPr>
    </w:p>
    <w:p w14:paraId="47BB0886">
      <w:pPr>
        <w:keepNext w:val="0"/>
        <w:keepLines w:val="0"/>
        <w:widowControl/>
        <w:suppressLineNumbers w:val="0"/>
        <w:spacing w:before="0" w:beforeAutospacing="0" w:after="200" w:afterAutospacing="0" w:line="276" w:lineRule="auto"/>
        <w:ind w:left="0" w:right="0"/>
        <w:jc w:val="left"/>
        <w:rPr>
          <w:iCs/>
          <w:sz w:val="18"/>
          <w:szCs w:val="18"/>
          <w:lang w:val="en-US"/>
        </w:rPr>
      </w:pPr>
      <w:r>
        <w:rPr>
          <w:rFonts w:hint="default" w:ascii="Times New Roman" w:hAnsi="Times New Roman" w:eastAsia="MS Mincho" w:cs="Times New Roman"/>
          <w:iCs/>
          <w:kern w:val="0"/>
          <w:sz w:val="18"/>
          <w:szCs w:val="18"/>
          <w:lang w:val="en-US" w:eastAsia="zh-CN" w:bidi="ar"/>
        </w:rPr>
        <w:t>No threshold dichotomized outcome. Alongside the Firth regression (Supplemental Table 4), this supports baseline CSF CMV load as a weak, non-significant mortality predictor in this small cohort.</w:t>
      </w:r>
    </w:p>
    <w:p w14:paraId="62E1EAD9">
      <w:bookmarkStart w:id="0" w:name="_GoBack"/>
      <w:bookmarkEnd w:id="0"/>
    </w:p>
    <w:sectPr>
      <w:pgSz w:w="12240" w:h="15840"/>
      <w:pgMar w:top="1440" w:right="1800" w:bottom="1440" w:left="1800" w:header="720" w:footer="720" w:gutter="0"/>
      <w:paperSrc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Mincho">
    <w:altName w:val="Yu Gothic UI"/>
    <w:panose1 w:val="02020609040205080304"/>
    <w:charset w:val="80"/>
    <w:family w:val="auto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@MS Mincho">
    <w:altName w:val="Yu Gothic UI"/>
    <w:panose1 w:val="02020609040205080304"/>
    <w:charset w:val="80"/>
    <w:family w:val="auto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02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mbria" w:hAnsi="Cambria" w:eastAsia="Cambria" w:cs="Cambria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mbria" w:hAnsi="Cambria" w:eastAsia="Cambria" w:cs="Cambria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2026-08-11T08:17:33Z</dcterms:created>
  <dc:creator>fmx</dc:creator>
  <cp:lastModifiedBy>侯泽江</cp:lastModifiedBy>
  <dcterms:modified xsi:type="dcterms:W3CDTF">2026-08-11T08:21:26Z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eyJoZGlkIjoiNTNiYzU5M2YxMzE4MWFhYmVjZTE1NTk1YjNmMTE0NmYiLCJ1c2VySWQiOiIzNjQzNTM5MDAifQ==</vt:lpwstr>
  </property>
  <property fmtid="{D5CDD505-2E9C-101B-9397-08002B2CF9AE}" pid="4" name="ICV">
    <vt:lpwstr>CBB511E8A6544F388AF933F38A069F8A_12</vt:lpwstr>
  </property>
</Properties>
</file>