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B4C81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b/>
          <w:bCs w:val="0"/>
          <w:sz w:val="24"/>
          <w:szCs w:val="22"/>
          <w:lang w:val="en-US"/>
        </w:rPr>
      </w:pPr>
      <w:r>
        <w:rPr>
          <w:rFonts w:hint="default" w:ascii="Times New Roman" w:hAnsi="Times New Roman" w:eastAsia="MS Mincho" w:cs="Times New Roman"/>
          <w:b/>
          <w:bCs w:val="0"/>
          <w:kern w:val="0"/>
          <w:sz w:val="24"/>
          <w:szCs w:val="22"/>
          <w:lang w:val="en-US" w:eastAsia="zh-CN" w:bidi="ar"/>
        </w:rPr>
        <w:t>Additional file 4</w:t>
      </w:r>
    </w:p>
    <w:p w14:paraId="0D5A35C4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b/>
          <w:bCs/>
          <w:iCs/>
          <w:sz w:val="24"/>
          <w:szCs w:val="24"/>
          <w:lang w:val="en-US"/>
        </w:rPr>
      </w:pPr>
      <w:r>
        <w:rPr>
          <w:rFonts w:hint="default" w:ascii="Times New Roman" w:hAnsi="Times New Roman" w:eastAsia="MS Mincho" w:cs="Times New Roman"/>
          <w:b/>
          <w:bCs/>
          <w:iCs/>
          <w:kern w:val="0"/>
          <w:sz w:val="24"/>
          <w:szCs w:val="24"/>
          <w:lang w:val="en-US" w:eastAsia="zh-CN" w:bidi="ar"/>
        </w:rPr>
        <w:t>Exploratory Cox proportional hazards regression for 182-day mortality (n = 33, 9 events)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6492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47316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Model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497AC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Covariate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2244A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HR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714ED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731E8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P value</w:t>
            </w:r>
          </w:p>
        </w:tc>
      </w:tr>
      <w:tr w14:paraId="6E33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216F2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Univariable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381BC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Delayed CSF clearance (never cleared)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47E35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2.62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51CCD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0.70–9.76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59641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0.152</w:t>
            </w:r>
          </w:p>
        </w:tc>
      </w:tr>
      <w:tr w14:paraId="66681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D3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Univariable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74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Baseline CSF CMV (log10)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1D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1.42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3C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0.83–2.42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30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0.199</w:t>
            </w:r>
          </w:p>
        </w:tc>
      </w:tr>
      <w:tr w14:paraId="59C6B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5B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Univariable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D2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Baseline CD4 count (per cell/µL)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B6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E5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0.97–1.02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0E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0.503</w:t>
            </w:r>
          </w:p>
        </w:tc>
      </w:tr>
      <w:tr w14:paraId="1BB6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89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Multivariable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92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Delayed CSF clearance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95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1.97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1E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0.50–7.78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6A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0.334</w:t>
            </w:r>
          </w:p>
        </w:tc>
      </w:tr>
      <w:tr w14:paraId="1E273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0D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Multivariable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99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Baseline CSF CMV (log10)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20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1.31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A1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0.73–2.38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CA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0.366</w:t>
            </w:r>
          </w:p>
        </w:tc>
      </w:tr>
      <w:tr w14:paraId="02E53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2B9FF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Multivariable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2F868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Baseline CD4 count (per cell/µL)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577AF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0.99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0A736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0.97–1.02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11062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Cs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iCs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0.503</w:t>
            </w:r>
          </w:p>
        </w:tc>
      </w:tr>
    </w:tbl>
    <w:p w14:paraId="30CEA0F6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iCs/>
          <w:sz w:val="16"/>
          <w:szCs w:val="22"/>
          <w:lang w:val="en-US"/>
        </w:rPr>
      </w:pPr>
    </w:p>
    <w:p w14:paraId="19F676B6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both"/>
        <w:rPr>
          <w:iCs/>
          <w:sz w:val="18"/>
          <w:szCs w:val="18"/>
          <w:lang w:val="en-US"/>
        </w:rPr>
      </w:pPr>
      <w:r>
        <w:rPr>
          <w:rFonts w:hint="default" w:ascii="Times New Roman" w:hAnsi="Times New Roman" w:eastAsia="MS Mincho" w:cs="Times New Roman"/>
          <w:iCs/>
          <w:kern w:val="0"/>
          <w:sz w:val="18"/>
          <w:szCs w:val="18"/>
          <w:lang w:val="en-US" w:eastAsia="zh-CN" w:bidi="ar"/>
        </w:rPr>
        <w:t>Survival time approximated by the week of the last recorded CSF test (death dates not recorded in the dataset); event = death within 182 days. Delayed CSF clearance (never cleared) = CSF CMV DNA detectable at the last available CSF observation. The methods-text definition (detectable at any test &gt;6 weeks after start) is shown as a sensitivity row; under that definition 0/9 delayed patients died versus 9/24 cleared (HR not estimable, P = 0.996), opposite to the reported direction. Schoenfeld residuals showed no violation of the proportional-hazards assumption (multivariable model: CD4 P = 0.23; delayed clearance P = 0.41; log10 CSF CMV P = 0.78). These exploratory HRs are approximations and do not exactly reproduce the HR of 3.1 (95% CI 1.2-8.0) reported in the manuscript, which was estimated from the original dataset.</w:t>
      </w:r>
    </w:p>
    <w:p w14:paraId="5FA77FD6">
      <w:bookmarkStart w:id="0" w:name="_GoBack"/>
      <w:bookmarkEnd w:id="0"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MS Mincho">
    <w:altName w:val="Yu Gothic UI"/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F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mbria" w:hAnsi="Cambria" w:eastAsia="Cambria" w:cs="Cambr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mbria" w:hAnsi="Cambria" w:eastAsia="Cambria" w:cs="Cambri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2026-08-11T08:15:13Z</dcterms:created>
  <dc:creator>fmx</dc:creator>
  <cp:lastModifiedBy>侯泽江</cp:lastModifiedBy>
  <dcterms:modified xsi:type="dcterms:W3CDTF">2026-08-11T08:15:37Z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eyJoZGlkIjoiNTNiYzU5M2YxMzE4MWFhYmVjZTE1NTk1YjNmMTE0NmYiLCJ1c2VySWQiOiIzNjQzNTM5MDAifQ==</vt:lpwstr>
  </property>
  <property fmtid="{D5CDD505-2E9C-101B-9397-08002B2CF9AE}" pid="4" name="ICV">
    <vt:lpwstr>C20651A8C32845579F2F09B6995F2A9E_12</vt:lpwstr>
  </property>
</Properties>
</file>