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0C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73040" cy="3874770"/>
            <wp:effectExtent l="0" t="0" r="0" b="0"/>
            <wp:docPr id="9" name="图片 9" descr="sup fig 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 fig 1_画板 1"/>
                    <pic:cNvPicPr>
                      <a:picLocks noChangeAspect="1"/>
                    </pic:cNvPicPr>
                  </pic:nvPicPr>
                  <pic:blipFill>
                    <a:blip r:embed="rId4"/>
                    <a:srcRect b="3867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55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Figure S1. Supporting analyses for the prioritization of SF3B4 in ESCC.</w:t>
      </w:r>
    </w:p>
    <w:p w14:paraId="5683C5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Alternative splicing burden scores for alternative 3′ splice-site (A3SS), alternative first-exon (AFE), alternative last-exon (ALE), skipped-exon (SE), retained-intron (RI), and mutually exclusive-exon (MXE) events in TCGA ESCC samples stratified by the median ssGSEA-derived hypoxia score.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(B) Kaplan–Meier analyses of 3-year overall survival in TCGA ESCC patients stratified by the median expression levels of TRA2B, HNRNPA1, FUS, USP39, SRSF3, or EFTUD2.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(C) Immunoblot analysis and densitometric quantification of SF3B4 protein abundance in NE2 and the indicated ESCC cell lines. GAPDH served as the loading control.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Quantitative data are presented as mean ± SEM. Statistical significance was assessed using unpaired two-tailed Student’s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-tests for (A), log-rank tests for (B), and one-way ANOVA followed by Dunnett’s multiple-comparisons test against NE2 for (C). ns, not significant; **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&lt; 0.01.</w:t>
      </w:r>
    </w:p>
    <w:p w14:paraId="729A44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36CDF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813E7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2331F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5271135" cy="3628390"/>
            <wp:effectExtent l="0" t="0" r="5715" b="635"/>
            <wp:docPr id="2" name="图片 2" descr="sup fig 2-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 fig 2-3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B1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Supporting analyses of SF3B4-dependent ESCC growth and cisplatin sensitivity.</w:t>
      </w:r>
    </w:p>
    <w:p w14:paraId="5E7DE23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Representative cell-cycle histograms of sh-NC and sh-SF KYSE450 cells corresponding to the quantitative analysis shown in Fig. 2D.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sh-NC, control shRNA; sh-SF, SF3B4-targeting shRNA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(B) Representative flow-cytometric plots of Annexin V and propidium iodide staining in sh-NC and sh-SF KYSE450 cells treated with the indicated cisplatin concentrations. The corresponding percentages of Annexin V-positive cells are shown in Fig. 2G.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(C) Immunoblot analysis of SF3B4 in paired sh-NC and sh-SF xenografts. GAPDH served as the loading control. L, sh-NC xenograft; R, sh-SF xenograft; M, molecular-weight marker.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(D) Treatment schedule, tumor-growth curves, and endpoint tumor volumes of established KYSE450 xenografts treated with intratumoral si-NC or si-SF in combination with intraperitoneal saline or cisplatin. Group sizes were as follows: saline plus si-NC,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= 4; saline plus si-SF,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= 5; cisplatin plus si-NC,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= 6; and cisplatin plus si-SF,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= 6.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(E) Representative excised tumors and terminal tumor weights from the treatment groups described in (D).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Quantitative data are presented as mean ± SEM. Longitudinal tumor growth in (D) was analyzed by two-way repeated-measures ANOVA with treatment group and time as factors, followed by Tukey’s multiple-comparisons test. Terminal tumor weights in (E) were analyzed by one-way ANOVA followed by Tukey’s multiple-comparisons test. For (D), **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&lt; 0.01 and ***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&lt; 0.001 versus the si-NC plus cisplatin group, and #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&lt; 0.05 versus the si-SF plus saline group.</w:t>
      </w:r>
    </w:p>
    <w:p w14:paraId="46691F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FBD00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7CC8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419E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43C09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545C0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0E74D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B2123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0A785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91F41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482C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12489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57F6E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43BF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8863A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D3231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3E248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613DA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2C004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5271135" cy="1994535"/>
            <wp:effectExtent l="0" t="0" r="5715" b="5715"/>
            <wp:docPr id="4" name="图片 4" descr="sup fig 3-2026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 fig 3-2026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CE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S3. Supporting characterization of the SF3B4-responsive HOXA11-AS A5SS event.</w:t>
      </w:r>
    </w:p>
    <w:p w14:paraId="35746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(A) RNA-sequencing-derived gene-level expression of CDK19, EIF4B, MKNK2, ANXA2, AKT2, and HOXA11-AS in sh-NC and sh-SF KYSE450 cells. Expression values are presented as log2-transformed FPKM values.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(B) Sashimi plots showing HOXA11-AS A5SS junction usage in sh-NC and sh-SF KYSE450 cells. Genomic coordinates and transcript orientation are shown below the plots. Numbers on the splice-junction arcs indicate junction-spanning read counts.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Quantitative data are presented as mean ± SEM, and each dot represents an independent RNA-sequencing replicate. Gene-level expression in (A) was compared using unpaired two-tailed Student’s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-tests. ns, not significant.</w:t>
      </w:r>
    </w:p>
    <w:p w14:paraId="39A39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FC9B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F797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8D41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FEF1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AB04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94AC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415E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51B5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56F9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0763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DB21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70500" cy="8799195"/>
            <wp:effectExtent l="0" t="0" r="0" b="0"/>
            <wp:docPr id="5" name="图片 5" descr="sup fig 3.1-2026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 fig 3.1-2026-01"/>
                    <pic:cNvPicPr>
                      <a:picLocks noChangeAspect="1"/>
                    </pic:cNvPicPr>
                  </pic:nvPicPr>
                  <pic:blipFill>
                    <a:blip r:embed="rId7"/>
                    <a:srcRect b="2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9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B8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70500" cy="2346960"/>
            <wp:effectExtent l="0" t="0" r="6350" b="5715"/>
            <wp:docPr id="6" name="图片 6" descr="sup fig 3.1-2026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 fig 3.1-2026-01"/>
                    <pic:cNvPicPr>
                      <a:picLocks noChangeAspect="1"/>
                    </pic:cNvPicPr>
                  </pic:nvPicPr>
                  <pic:blipFill>
                    <a:blip r:embed="rId7"/>
                    <a:srcRect t="7898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CC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S4. Sequencing and experimental evaluation of additional candidate SF3B4-responsive splicing events.</w:t>
      </w:r>
    </w:p>
    <w:p w14:paraId="0DC1A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Sashimi plots, MISO-derived PSI estimates, and experimental evaluation of alternative splicing events involving (A) CDK19, exon skipping; (B) MKNK2, retained intron; (C) AKT2, complex alternative 5′ splice-site usage; (D) ANXA2, mutually exclusive exon usage; and (E) EIF4B, exon skipping. In each panel, the left graphs show splice-junction usage in sh-NC and sh-SF KYSE450 cells, with junction-spanning read counts indicated on the arcs. Genomic coordinates, transcript orientation, and event classifications are shown below the plots. The middle graphs show MISO-derived PSI estimates, ΔPSI values, and Bayes factors. The right graphs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show relative isoform abundance in KYSE150 and KYSE450 cells transfected with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si-NC, si-SF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, or si-SF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si-NC, control siRNA; si-SF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and si-SF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</w:rPr>
        <w:t>2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, two in</w:t>
      </w:r>
      <w:r>
        <w:rPr>
          <w:rFonts w:hint="default" w:ascii="Times New Roman" w:hAnsi="Times New Roman" w:cs="Times New Roman"/>
          <w:sz w:val="24"/>
          <w:szCs w:val="24"/>
        </w:rPr>
        <w:t>dependent SF3B4-targeting siRNAs.</w:t>
      </w:r>
    </w:p>
    <w:p w14:paraId="150D1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Quantitative data are presented as mean ± SEM, and each dot represents an independent biological replicate. Comparisons were performed separately for each cell line using one-way ANOVA followed by Dunnett’s multiple-comparisons test against si-NC. ns, not significant; *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&lt; 0.05; **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&lt; 0.01.</w:t>
      </w:r>
    </w:p>
    <w:p w14:paraId="50EFE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1CDD0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02D7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8CED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08E9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3516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71135" cy="4321175"/>
            <wp:effectExtent l="0" t="0" r="5715" b="3175"/>
            <wp:docPr id="1" name="图片 1" descr="sup fig 5-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 fig 5-1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22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S5. Supporting metabolic and gene-expression analyses of the SF3B4–HOX-L axis.</w:t>
      </w:r>
    </w:p>
    <w:p w14:paraId="261049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(A) Workflow for quantitative proteomic analysis of KYSE150 cells expressing HOX-L, HOX-S, or empty vector. Differentially abundant protein sets were generated for the HOX-L versus vector and HOX-L versus HOX-S comparisons.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(B–D) ECAR kinetic profiles corresponding to the metabolic parameters shown in Fig. 5B–D. Glucose, oligomycin, and 2-DG were added at the indicated time points.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</w:rPr>
        <w:t>) RNA-sequ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encing-derived expression levels of HK2, LDHA,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and PKM in sh-NC and sh-SF KYSE450 cells.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(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) Heatmap of selected differentially abundant proteins in HOX-L-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, HOX-S-,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and vector-expressing KYSE150 cells.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(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</w:rPr>
        <w:t>) Representative Annexin V/propidium iodide flow-cytometric plots corresponding to the apoptosis quantification shown in Fig. 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Quantitative data are presented as mean ± SEM, and each dot represents an independent biological experiment. RNA-sequencing-derived ex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pression values in (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) were compared using unpaired two-tailed Student’s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-test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>. ns, not significant; *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&lt; 0.05.</w:t>
      </w:r>
    </w:p>
    <w:p w14:paraId="0F4212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71135" cy="3371850"/>
            <wp:effectExtent l="0" t="0" r="5715" b="0"/>
            <wp:docPr id="7" name="图片 7" descr="sup fig 6-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 fig 6-1_画板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2B8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S6. Supporting pathway analyses of HOX-L-associated β-catenin signaling.</w:t>
      </w:r>
    </w:p>
    <w:p w14:paraId="21E149A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Gene Ontology biological-process enrichment analyses of differentially abundant proteins in the HOX-L versus vector and HOX-L versus HOX-S quantitative proteomic comparisons. Wnt-related biological processes are indicated.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(B) Representative immunofluorescence images of p-β-catenin (Ser675) in KYSE450 cells expressing HOX-L, HOX-S, or empty vector. Nuclei were counterstained with DAPI. Scale bars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50 μm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F3FB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FF4E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1547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A6996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2E88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5C7CA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DEA98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A6665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AD5B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F5862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D488F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71135" cy="1444625"/>
            <wp:effectExtent l="0" t="0" r="5715" b="3175"/>
            <wp:docPr id="8" name="图片 8" descr="sup fig 7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 fig 7_画板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9E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S7. Exploratory associations of SF3B4 and HOX-L expression with ESCC tumor volume.</w:t>
      </w:r>
    </w:p>
    <w:p w14:paraId="5FF33B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(A, B) Pearson correlation analyses of log2-transformed tumor volume with SF3B4 expression (A) and HOX-L expression (B) in primary ESCC tissues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 xml:space="preserve"> = 50). Solid lines indicate fitted linear regressions, and shaded areas indicate 95% confidence intervals. Pearson correlation coefficients and two-sided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 values are shown.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6304DA"/>
    <w:multiLevelType w:val="singleLevel"/>
    <w:tmpl w:val="EA6304DA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ED6AA765"/>
    <w:multiLevelType w:val="singleLevel"/>
    <w:tmpl w:val="ED6AA765"/>
    <w:lvl w:ilvl="0" w:tentative="0">
      <w:start w:val="1"/>
      <w:numFmt w:val="upperLetter"/>
      <w:suff w:val="space"/>
      <w:lvlText w:val="(%1)"/>
      <w:lvlJc w:val="left"/>
    </w:lvl>
  </w:abstractNum>
  <w:abstractNum w:abstractNumId="2">
    <w:nsid w:val="1989FE18"/>
    <w:multiLevelType w:val="singleLevel"/>
    <w:tmpl w:val="1989FE18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62D44"/>
    <w:rsid w:val="025B63E2"/>
    <w:rsid w:val="02A140D5"/>
    <w:rsid w:val="06201236"/>
    <w:rsid w:val="067C6A19"/>
    <w:rsid w:val="0B1E6AB9"/>
    <w:rsid w:val="0DD96A9D"/>
    <w:rsid w:val="156B521D"/>
    <w:rsid w:val="16390B2A"/>
    <w:rsid w:val="27652BB6"/>
    <w:rsid w:val="33462D44"/>
    <w:rsid w:val="49DE3C73"/>
    <w:rsid w:val="4D7C6751"/>
    <w:rsid w:val="51F75DB8"/>
    <w:rsid w:val="557B1DDA"/>
    <w:rsid w:val="571C5F29"/>
    <w:rsid w:val="576948FE"/>
    <w:rsid w:val="5A555BBE"/>
    <w:rsid w:val="5E1F727E"/>
    <w:rsid w:val="614507B1"/>
    <w:rsid w:val="6A5E14BD"/>
    <w:rsid w:val="707E2AEB"/>
    <w:rsid w:val="735B43E5"/>
    <w:rsid w:val="7F491A8F"/>
    <w:rsid w:val="7FCB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912</Words>
  <Characters>5651</Characters>
  <Lines>0</Lines>
  <Paragraphs>0</Paragraphs>
  <TotalTime>550</TotalTime>
  <ScaleCrop>false</ScaleCrop>
  <LinksUpToDate>false</LinksUpToDate>
  <CharactersWithSpaces>6549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2026-07-17T01:16:00Z</dcterms:created>
  <dc:creator>乱洒衰荷，颗颗珍珠雨</dc:creator>
  <cp:lastModifiedBy>乱洒衰荷，颗颗珍珠雨</cp:lastModifiedBy>
  <dcterms:modified xsi:type="dcterms:W3CDTF">2026-08-09T11:50:28Z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736237FD688E4F9B88A3EEB8FC5851D6_11</vt:lpwstr>
  </property>
  <property fmtid="{D5CDD505-2E9C-101B-9397-08002B2CF9AE}" pid="4" name="KSOTemplateDocerSaveRecord">
    <vt:lpwstr>eyJoZGlkIjoiNDBlYTYzNWUxMzczY2M3ZTA5ODQ4ZTI1ZjJhMjMzZWEiLCJ1c2VySWQiOiI4MTAyMzQzMDQifQ==</vt:lpwstr>
  </property>
</Properties>
</file>