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366" w:rsidRPr="00753366" w:rsidRDefault="00753366" w:rsidP="00753366">
      <w:pPr>
        <w:pStyle w:val="1"/>
        <w:rPr>
          <w:rFonts w:ascii="Times New Roman" w:eastAsia="Calibri" w:hAnsi="Times New Roman"/>
          <w:b/>
          <w:sz w:val="24"/>
          <w:szCs w:val="24"/>
        </w:rPr>
      </w:pPr>
      <w:r w:rsidRPr="00753366">
        <w:rPr>
          <w:rFonts w:ascii="Times New Roman" w:eastAsia="Calibri" w:hAnsi="Times New Roman"/>
          <w:b/>
          <w:sz w:val="24"/>
          <w:szCs w:val="24"/>
        </w:rPr>
        <w:t xml:space="preserve">Reference compounds </w:t>
      </w:r>
    </w:p>
    <w:p w:rsidR="00753366" w:rsidRPr="00753366" w:rsidRDefault="00753366" w:rsidP="00753366">
      <w:pPr>
        <w:pStyle w:val="1"/>
        <w:rPr>
          <w:rFonts w:ascii="Times New Roman" w:eastAsia="Calibri" w:hAnsi="Times New Roman"/>
          <w:bCs/>
          <w:sz w:val="24"/>
          <w:szCs w:val="24"/>
        </w:rPr>
      </w:pPr>
    </w:p>
    <w:p w:rsidR="00753366" w:rsidRPr="00753366" w:rsidRDefault="00753366" w:rsidP="00753366">
      <w:pPr>
        <w:pStyle w:val="1"/>
        <w:spacing w:line="360" w:lineRule="auto"/>
        <w:rPr>
          <w:rFonts w:ascii="Times New Roman" w:eastAsia="Calibri" w:hAnsi="Times New Roman"/>
          <w:bCs/>
          <w:sz w:val="24"/>
          <w:szCs w:val="24"/>
        </w:rPr>
      </w:pPr>
      <w:r w:rsidRPr="00753366">
        <w:rPr>
          <w:rFonts w:ascii="Times New Roman" w:eastAsia="Calibri" w:hAnsi="Times New Roman"/>
          <w:bCs/>
          <w:sz w:val="24"/>
          <w:szCs w:val="24"/>
        </w:rPr>
        <w:t>To validate the docking protocol and provide a comparative framework for evaluating the phytochemical compounds, two reference inhibitors, Allopurinol and Quercetin, were docked into the catalytic pocket of xanthine oxidase. Allopurinol is a clinically approved xanthine oxidase inhibitor widely used in the treatment of gout and hyperuricemia, while quercetin is a naturally occurring flavonoid previously reported to exhibit inhibitory activity against xanthine oxidase. The binding profiles of these compounds served as important benchmarks for comparison with the screened phytochemic</w:t>
      </w:r>
      <w:r w:rsidR="008C67E0">
        <w:rPr>
          <w:rFonts w:ascii="Times New Roman" w:eastAsia="Calibri" w:hAnsi="Times New Roman"/>
          <w:bCs/>
          <w:sz w:val="24"/>
          <w:szCs w:val="24"/>
        </w:rPr>
        <w:t>als.</w:t>
      </w:r>
    </w:p>
    <w:p w:rsidR="00753366" w:rsidRPr="00753366" w:rsidRDefault="00753366" w:rsidP="00753366">
      <w:pPr>
        <w:pStyle w:val="1"/>
        <w:keepNext/>
        <w:spacing w:line="360" w:lineRule="auto"/>
      </w:pPr>
      <w:r w:rsidRPr="00753366">
        <w:rPr>
          <w:noProof/>
        </w:rPr>
        <w:drawing>
          <wp:inline distT="0" distB="0" distL="0" distR="0" wp14:anchorId="5D385A6A" wp14:editId="55F18C64">
            <wp:extent cx="5943600" cy="4726305"/>
            <wp:effectExtent l="0" t="0" r="0" b="0"/>
            <wp:docPr id="8778499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726305"/>
                    </a:xfrm>
                    <a:prstGeom prst="rect">
                      <a:avLst/>
                    </a:prstGeom>
                    <a:noFill/>
                    <a:ln>
                      <a:noFill/>
                    </a:ln>
                  </pic:spPr>
                </pic:pic>
              </a:graphicData>
            </a:graphic>
          </wp:inline>
        </w:drawing>
      </w:r>
    </w:p>
    <w:p w:rsidR="00753366" w:rsidRPr="00753366" w:rsidRDefault="00753366" w:rsidP="00753366">
      <w:pPr>
        <w:pStyle w:val="a3"/>
        <w:jc w:val="both"/>
        <w:rPr>
          <w:rFonts w:ascii="Times New Roman" w:hAnsi="Times New Roman" w:cs="Times New Roman"/>
          <w:i w:val="0"/>
          <w:iCs w:val="0"/>
          <w:color w:val="auto"/>
          <w:sz w:val="22"/>
          <w:szCs w:val="22"/>
        </w:rPr>
      </w:pPr>
      <w:r w:rsidRPr="00753366">
        <w:rPr>
          <w:rFonts w:ascii="Times New Roman" w:hAnsi="Times New Roman" w:cs="Times New Roman"/>
          <w:b/>
          <w:bCs/>
          <w:i w:val="0"/>
          <w:iCs w:val="0"/>
          <w:color w:val="auto"/>
          <w:sz w:val="22"/>
          <w:szCs w:val="22"/>
        </w:rPr>
        <w:t xml:space="preserve">Figure </w:t>
      </w:r>
      <w:r w:rsidR="00B72D8C">
        <w:rPr>
          <w:rFonts w:ascii="Times New Roman" w:hAnsi="Times New Roman" w:cs="Times New Roman"/>
          <w:b/>
          <w:bCs/>
          <w:i w:val="0"/>
          <w:iCs w:val="0"/>
          <w:color w:val="auto"/>
          <w:sz w:val="22"/>
          <w:szCs w:val="22"/>
        </w:rPr>
        <w:t>S1</w:t>
      </w:r>
      <w:r w:rsidRPr="00753366">
        <w:rPr>
          <w:rFonts w:ascii="Times New Roman" w:hAnsi="Times New Roman" w:cs="Times New Roman"/>
          <w:i w:val="0"/>
          <w:iCs w:val="0"/>
          <w:color w:val="auto"/>
          <w:sz w:val="22"/>
          <w:szCs w:val="22"/>
        </w:rPr>
        <w:t xml:space="preserve"> Binding interactions of reference compounds within the catalytic pocket of xanthine oxidase. (A) Allopurinol and (B) Quercetin </w:t>
      </w:r>
    </w:p>
    <w:p w:rsidR="00753366" w:rsidRPr="00753366" w:rsidRDefault="00753366" w:rsidP="00753366">
      <w:pPr>
        <w:pStyle w:val="1"/>
        <w:spacing w:line="360" w:lineRule="auto"/>
        <w:rPr>
          <w:rFonts w:ascii="Times New Roman" w:eastAsia="Calibri" w:hAnsi="Times New Roman"/>
          <w:bCs/>
          <w:sz w:val="24"/>
          <w:szCs w:val="24"/>
        </w:rPr>
      </w:pPr>
      <w:r w:rsidRPr="00753366">
        <w:rPr>
          <w:rFonts w:ascii="Times New Roman" w:eastAsia="Calibri" w:hAnsi="Times New Roman"/>
          <w:bCs/>
          <w:sz w:val="24"/>
          <w:szCs w:val="24"/>
        </w:rPr>
        <w:t xml:space="preserve">Allopurinol (Figure </w:t>
      </w:r>
      <w:r w:rsidR="00B72D8C">
        <w:rPr>
          <w:rFonts w:ascii="Times New Roman" w:eastAsia="Calibri" w:hAnsi="Times New Roman"/>
          <w:bCs/>
          <w:sz w:val="24"/>
          <w:szCs w:val="24"/>
        </w:rPr>
        <w:t>S1</w:t>
      </w:r>
      <w:r w:rsidRPr="00753366">
        <w:rPr>
          <w:rFonts w:ascii="Times New Roman" w:eastAsia="Calibri" w:hAnsi="Times New Roman"/>
          <w:bCs/>
          <w:sz w:val="24"/>
          <w:szCs w:val="24"/>
        </w:rPr>
        <w:t>A) exhibited a Glide XP docking score of −6.782 kcal/</w:t>
      </w:r>
      <w:proofErr w:type="spellStart"/>
      <w:r w:rsidRPr="00753366">
        <w:rPr>
          <w:rFonts w:ascii="Times New Roman" w:eastAsia="Calibri" w:hAnsi="Times New Roman"/>
          <w:bCs/>
          <w:sz w:val="24"/>
          <w:szCs w:val="24"/>
        </w:rPr>
        <w:t>mol</w:t>
      </w:r>
      <w:proofErr w:type="spellEnd"/>
      <w:r w:rsidRPr="00753366">
        <w:rPr>
          <w:rFonts w:ascii="Times New Roman" w:eastAsia="Calibri" w:hAnsi="Times New Roman"/>
          <w:bCs/>
          <w:sz w:val="24"/>
          <w:szCs w:val="24"/>
        </w:rPr>
        <w:t xml:space="preserve"> and an MM-GBSA binding energy of −35.73 kcal/mol. The compound occupied the catalytic cavity near the molybdenum cofactor region and formed stabilizing interactions with several residues involved in </w:t>
      </w:r>
      <w:r w:rsidRPr="00753366">
        <w:rPr>
          <w:rFonts w:ascii="Times New Roman" w:eastAsia="Calibri" w:hAnsi="Times New Roman"/>
          <w:bCs/>
          <w:sz w:val="24"/>
          <w:szCs w:val="24"/>
        </w:rPr>
        <w:lastRenderedPageBreak/>
        <w:t>substrate recognition and catalysis. Despite exhibiting a comparatively moderate docking score, the highly favorable MM-GBSA value suggests stable energetic accommodation within the active site under solvent-corrected conditions. The relatively small purine-like scaffold of allopurinol enables efficient positioning within the catalytic pocket, allowing interactions with residues surrounding the molybdenum center that are essential for inhibition of xanthine oxidase activity. The discrepancy between docking score and MM-GBSA value further highlights the importance of complementary energetic analyses beyond docking alone when evaluat</w:t>
      </w:r>
      <w:r w:rsidR="00C968C9">
        <w:rPr>
          <w:rFonts w:ascii="Times New Roman" w:eastAsia="Calibri" w:hAnsi="Times New Roman"/>
          <w:bCs/>
          <w:sz w:val="24"/>
          <w:szCs w:val="24"/>
        </w:rPr>
        <w:t>ing inhibitor binding stability.</w:t>
      </w:r>
      <w:bookmarkStart w:id="0" w:name="_GoBack"/>
      <w:bookmarkEnd w:id="0"/>
    </w:p>
    <w:p w:rsidR="00753366" w:rsidRPr="00753366" w:rsidRDefault="00753366" w:rsidP="00753366">
      <w:pPr>
        <w:pStyle w:val="1"/>
        <w:spacing w:line="360" w:lineRule="auto"/>
        <w:rPr>
          <w:rFonts w:ascii="Times New Roman" w:eastAsia="Calibri" w:hAnsi="Times New Roman"/>
          <w:bCs/>
          <w:sz w:val="24"/>
          <w:szCs w:val="24"/>
        </w:rPr>
      </w:pPr>
    </w:p>
    <w:p w:rsidR="00753366" w:rsidRPr="00753366" w:rsidRDefault="00753366" w:rsidP="00753366">
      <w:pPr>
        <w:pStyle w:val="1"/>
        <w:spacing w:line="360" w:lineRule="auto"/>
        <w:rPr>
          <w:rFonts w:ascii="Times New Roman" w:eastAsia="Calibri" w:hAnsi="Times New Roman"/>
          <w:bCs/>
          <w:sz w:val="24"/>
          <w:szCs w:val="24"/>
        </w:rPr>
      </w:pPr>
      <w:r w:rsidRPr="00753366">
        <w:rPr>
          <w:rFonts w:ascii="Times New Roman" w:eastAsia="Calibri" w:hAnsi="Times New Roman"/>
          <w:bCs/>
          <w:sz w:val="24"/>
          <w:szCs w:val="24"/>
        </w:rPr>
        <w:t xml:space="preserve">Quercetin (Figure </w:t>
      </w:r>
      <w:r w:rsidR="00B72D8C">
        <w:rPr>
          <w:rFonts w:ascii="Times New Roman" w:eastAsia="Calibri" w:hAnsi="Times New Roman"/>
          <w:bCs/>
          <w:sz w:val="24"/>
          <w:szCs w:val="24"/>
        </w:rPr>
        <w:t>S1</w:t>
      </w:r>
      <w:r w:rsidRPr="00753366">
        <w:rPr>
          <w:rFonts w:ascii="Times New Roman" w:eastAsia="Calibri" w:hAnsi="Times New Roman"/>
          <w:bCs/>
          <w:sz w:val="24"/>
          <w:szCs w:val="24"/>
        </w:rPr>
        <w:t>B) demonstrated a substantially stronger docking score of −9.647 kcal/</w:t>
      </w:r>
      <w:proofErr w:type="spellStart"/>
      <w:r w:rsidRPr="00753366">
        <w:rPr>
          <w:rFonts w:ascii="Times New Roman" w:eastAsia="Calibri" w:hAnsi="Times New Roman"/>
          <w:bCs/>
          <w:sz w:val="24"/>
          <w:szCs w:val="24"/>
        </w:rPr>
        <w:t>mol</w:t>
      </w:r>
      <w:proofErr w:type="spellEnd"/>
      <w:r w:rsidRPr="00753366">
        <w:rPr>
          <w:rFonts w:ascii="Times New Roman" w:eastAsia="Calibri" w:hAnsi="Times New Roman"/>
          <w:bCs/>
          <w:sz w:val="24"/>
          <w:szCs w:val="24"/>
        </w:rPr>
        <w:t xml:space="preserve"> together with an MM-GBSA binding energy of −31.67 kcal/mol. The flavonoid scaffold adopted a stable orientation within the elongated substrate-binding channel and established multiple hydrogen bonding interactions with catalytic residues near the molybdenum cofactor region. In addition, the polyphenolic aromatic rings of quercetin occupied hydrophobic regions within the active site, allowing stabilization through π-related and van der Waals interactions. The presence of multiple hydroxyl groups facilitated extensive hydrogen bonding with polar residues, contributing to favorable binding affinity. The stronger docking performance of quercetin relative to allopurinol suggests that larger polyphenolic scaffolds may achieve improved geometric complementarity with the catalytic cavity of xanthine oxidase. Comparison of the phytochemical compounds with the reference inhibitors revealed that several screened ligands exhibited docking scores and MM-GBSA values comparable to or more favorable than those of allopurinol and quercetin. In particular, flavonoids, phenolic acids, and certain alkaloid derivatives demonstrated strong interaction patterns with catalytic residues such as Glu1261, Gln1040, Gln112, and residues surrounding the molybdenum cofactor region. These findings suggest that naturally occurring phytochemicals possessing polyphenolic and conjugated aromatic scaffolds may serve as promising structural templates for the development of novel xanthine oxidase inhibitors.</w:t>
      </w:r>
    </w:p>
    <w:p w:rsidR="00753366" w:rsidRDefault="00753366" w:rsidP="00753366">
      <w:pPr>
        <w:pStyle w:val="1"/>
        <w:rPr>
          <w:rFonts w:ascii="Times New Roman" w:eastAsia="Calibri" w:hAnsi="Times New Roman"/>
          <w:b/>
          <w:sz w:val="28"/>
          <w:szCs w:val="28"/>
        </w:rPr>
      </w:pPr>
    </w:p>
    <w:p w:rsidR="0018538A" w:rsidRDefault="0018538A" w:rsidP="00753366">
      <w:pPr>
        <w:pStyle w:val="1"/>
        <w:rPr>
          <w:rFonts w:ascii="Times New Roman" w:eastAsia="Calibri" w:hAnsi="Times New Roman"/>
          <w:b/>
          <w:sz w:val="28"/>
          <w:szCs w:val="28"/>
        </w:rPr>
      </w:pPr>
    </w:p>
    <w:p w:rsidR="007710FA" w:rsidRDefault="007710FA" w:rsidP="00753366">
      <w:pPr>
        <w:pStyle w:val="1"/>
        <w:rPr>
          <w:rFonts w:ascii="Times New Roman" w:eastAsia="Calibri" w:hAnsi="Times New Roman"/>
          <w:b/>
          <w:sz w:val="28"/>
          <w:szCs w:val="28"/>
        </w:rPr>
      </w:pPr>
    </w:p>
    <w:p w:rsidR="007710FA" w:rsidRDefault="007710FA" w:rsidP="00753366">
      <w:pPr>
        <w:pStyle w:val="1"/>
        <w:rPr>
          <w:rFonts w:ascii="Times New Roman" w:eastAsia="Calibri" w:hAnsi="Times New Roman"/>
          <w:b/>
          <w:sz w:val="28"/>
          <w:szCs w:val="28"/>
        </w:rPr>
      </w:pPr>
    </w:p>
    <w:p w:rsidR="007710FA" w:rsidRDefault="007710FA" w:rsidP="00753366">
      <w:pPr>
        <w:pStyle w:val="1"/>
        <w:rPr>
          <w:rFonts w:ascii="Times New Roman" w:eastAsia="Calibri" w:hAnsi="Times New Roman"/>
          <w:b/>
          <w:sz w:val="28"/>
          <w:szCs w:val="28"/>
        </w:rPr>
      </w:pPr>
    </w:p>
    <w:p w:rsidR="007710FA" w:rsidRDefault="007710FA" w:rsidP="00753366">
      <w:pPr>
        <w:pStyle w:val="1"/>
        <w:rPr>
          <w:rFonts w:ascii="Times New Roman" w:eastAsia="Calibri" w:hAnsi="Times New Roman"/>
          <w:b/>
          <w:sz w:val="28"/>
          <w:szCs w:val="28"/>
        </w:rPr>
      </w:pPr>
    </w:p>
    <w:p w:rsidR="0018538A" w:rsidRPr="007710FA" w:rsidRDefault="007710FA" w:rsidP="00753366">
      <w:pPr>
        <w:pStyle w:val="1"/>
        <w:rPr>
          <w:rFonts w:ascii="Times New Roman" w:eastAsia="Calibri" w:hAnsi="Times New Roman"/>
          <w:b/>
          <w:sz w:val="24"/>
          <w:szCs w:val="24"/>
        </w:rPr>
      </w:pPr>
      <w:r w:rsidRPr="007710FA">
        <w:rPr>
          <w:rFonts w:ascii="Times New Roman" w:eastAsia="Calibri" w:hAnsi="Times New Roman"/>
          <w:b/>
          <w:sz w:val="24"/>
          <w:szCs w:val="24"/>
        </w:rPr>
        <w:lastRenderedPageBreak/>
        <w:t>Statistical Analysis</w:t>
      </w:r>
    </w:p>
    <w:p w:rsidR="007710FA" w:rsidRPr="007710FA" w:rsidRDefault="007710FA" w:rsidP="00753366">
      <w:pPr>
        <w:pStyle w:val="1"/>
        <w:rPr>
          <w:rFonts w:ascii="Times New Roman" w:eastAsia="Calibri" w:hAnsi="Times New Roman" w:cs="Times New Roman"/>
          <w:sz w:val="24"/>
          <w:szCs w:val="24"/>
        </w:rPr>
      </w:pPr>
      <w:r w:rsidRPr="007710FA">
        <w:rPr>
          <w:rFonts w:ascii="Times New Roman" w:hAnsi="Times New Roman" w:cs="Times New Roman"/>
          <w:sz w:val="24"/>
          <w:szCs w:val="24"/>
        </w:rPr>
        <w:t>Welch's t-test was applied to assess statistically significant differences between the IC₅₀ values of the screened phytochemical compounds and the reference inhibitors, allopurinol and quercetin. Welch's t-test was selected over Student's t-test due to its robustness under conditions of unequal variances and sample sizes. A p-value threshold of &lt; 0.05 was considered statistically significant. Results are presented as mean ± standard deviation from triplicate independent experiments.</w:t>
      </w:r>
    </w:p>
    <w:p w:rsidR="000B1495" w:rsidRDefault="000B1495"/>
    <w:p w:rsidR="00814495" w:rsidRPr="0018538A" w:rsidRDefault="003E1379" w:rsidP="00814495">
      <w:pPr>
        <w:pStyle w:val="a3"/>
        <w:keepNext/>
        <w:rPr>
          <w:rFonts w:ascii="Times New Roman" w:hAnsi="Times New Roman" w:cs="Times New Roman"/>
          <w:sz w:val="24"/>
          <w:szCs w:val="24"/>
        </w:rPr>
      </w:pPr>
      <w:r>
        <w:rPr>
          <w:rFonts w:ascii="Times New Roman" w:hAnsi="Times New Roman" w:cs="Times New Roman"/>
          <w:color w:val="auto"/>
          <w:sz w:val="24"/>
          <w:szCs w:val="24"/>
        </w:rPr>
        <w:t>Table S1</w:t>
      </w:r>
      <w:r w:rsidR="0018538A" w:rsidRPr="0018538A">
        <w:rPr>
          <w:rFonts w:ascii="Times New Roman" w:hAnsi="Times New Roman" w:cs="Times New Roman"/>
          <w:color w:val="auto"/>
          <w:sz w:val="24"/>
          <w:szCs w:val="24"/>
        </w:rPr>
        <w:t>:</w:t>
      </w:r>
      <w:r w:rsidR="00814495" w:rsidRPr="0018538A">
        <w:rPr>
          <w:rFonts w:ascii="Times New Roman" w:hAnsi="Times New Roman" w:cs="Times New Roman"/>
          <w:color w:val="auto"/>
          <w:sz w:val="24"/>
          <w:szCs w:val="24"/>
        </w:rPr>
        <w:t xml:space="preserve"> Statistical analyses of IC50 values using Welch's t-test method</w:t>
      </w:r>
      <w:r w:rsidR="00814495" w:rsidRPr="0018538A">
        <w:rPr>
          <w:rFonts w:ascii="Times New Roman" w:hAnsi="Times New Roman" w:cs="Times New Roman"/>
          <w:sz w:val="24"/>
          <w:szCs w:val="24"/>
        </w:rPr>
        <w:t>.</w:t>
      </w:r>
    </w:p>
    <w:tbl>
      <w:tblPr>
        <w:tblStyle w:val="a4"/>
        <w:tblW w:w="0" w:type="auto"/>
        <w:tblLook w:val="04A0" w:firstRow="1" w:lastRow="0" w:firstColumn="1" w:lastColumn="0" w:noHBand="0" w:noVBand="1"/>
      </w:tblPr>
      <w:tblGrid>
        <w:gridCol w:w="3116"/>
        <w:gridCol w:w="3117"/>
        <w:gridCol w:w="3117"/>
      </w:tblGrid>
      <w:tr w:rsidR="00814495" w:rsidTr="00814495">
        <w:tc>
          <w:tcPr>
            <w:tcW w:w="3116" w:type="dxa"/>
          </w:tcPr>
          <w:p w:rsidR="00814495" w:rsidRPr="0018538A" w:rsidRDefault="00814495">
            <w:pPr>
              <w:rPr>
                <w:rFonts w:ascii="Times New Roman" w:hAnsi="Times New Roman" w:cs="Times New Roman"/>
                <w:b/>
                <w:sz w:val="24"/>
                <w:szCs w:val="24"/>
              </w:rPr>
            </w:pPr>
            <w:r w:rsidRPr="0018538A">
              <w:rPr>
                <w:rFonts w:ascii="Times New Roman" w:hAnsi="Times New Roman" w:cs="Times New Roman"/>
                <w:b/>
                <w:sz w:val="24"/>
                <w:szCs w:val="24"/>
              </w:rPr>
              <w:t>Compound</w:t>
            </w:r>
          </w:p>
        </w:tc>
        <w:tc>
          <w:tcPr>
            <w:tcW w:w="3117" w:type="dxa"/>
          </w:tcPr>
          <w:p w:rsidR="00814495" w:rsidRPr="0018538A" w:rsidRDefault="00814495">
            <w:pPr>
              <w:rPr>
                <w:rFonts w:ascii="Times New Roman" w:hAnsi="Times New Roman" w:cs="Times New Roman"/>
                <w:b/>
                <w:sz w:val="24"/>
                <w:szCs w:val="24"/>
              </w:rPr>
            </w:pPr>
            <w:r w:rsidRPr="0018538A">
              <w:rPr>
                <w:rFonts w:ascii="Times New Roman" w:hAnsi="Times New Roman" w:cs="Times New Roman"/>
                <w:b/>
                <w:sz w:val="24"/>
                <w:szCs w:val="24"/>
              </w:rPr>
              <w:t>P-value</w:t>
            </w:r>
          </w:p>
        </w:tc>
        <w:tc>
          <w:tcPr>
            <w:tcW w:w="3117" w:type="dxa"/>
          </w:tcPr>
          <w:p w:rsidR="00814495" w:rsidRPr="0018538A" w:rsidRDefault="00814495">
            <w:pPr>
              <w:rPr>
                <w:rFonts w:ascii="Times New Roman" w:hAnsi="Times New Roman" w:cs="Times New Roman"/>
                <w:b/>
                <w:sz w:val="24"/>
                <w:szCs w:val="24"/>
              </w:rPr>
            </w:pPr>
            <w:r w:rsidRPr="0018538A">
              <w:rPr>
                <w:rFonts w:ascii="Times New Roman" w:hAnsi="Times New Roman" w:cs="Times New Roman"/>
                <w:b/>
                <w:sz w:val="24"/>
                <w:szCs w:val="24"/>
              </w:rPr>
              <w:t>Significance</w:t>
            </w:r>
          </w:p>
        </w:tc>
      </w:tr>
      <w:tr w:rsidR="00814495" w:rsidTr="00814495">
        <w:tc>
          <w:tcPr>
            <w:tcW w:w="3116" w:type="dxa"/>
          </w:tcPr>
          <w:p w:rsidR="00814495" w:rsidRPr="00814495" w:rsidRDefault="00814495">
            <w:pPr>
              <w:rPr>
                <w:rFonts w:ascii="Times New Roman" w:hAnsi="Times New Roman" w:cs="Times New Roman"/>
                <w:sz w:val="24"/>
                <w:szCs w:val="24"/>
              </w:rPr>
            </w:pPr>
            <w:r w:rsidRPr="00814495">
              <w:rPr>
                <w:rFonts w:ascii="Times New Roman" w:hAnsi="Times New Roman" w:cs="Times New Roman"/>
                <w:sz w:val="24"/>
                <w:szCs w:val="24"/>
              </w:rPr>
              <w:t>Morin</w:t>
            </w:r>
          </w:p>
        </w:tc>
        <w:tc>
          <w:tcPr>
            <w:tcW w:w="3117" w:type="dxa"/>
          </w:tcPr>
          <w:p w:rsidR="00814495" w:rsidRPr="00814495" w:rsidRDefault="00814495">
            <w:pPr>
              <w:rPr>
                <w:rFonts w:ascii="Times New Roman" w:hAnsi="Times New Roman" w:cs="Times New Roman"/>
                <w:sz w:val="24"/>
                <w:szCs w:val="24"/>
              </w:rPr>
            </w:pPr>
            <w:r w:rsidRPr="00814495">
              <w:rPr>
                <w:rFonts w:ascii="Times New Roman" w:hAnsi="Times New Roman" w:cs="Times New Roman"/>
                <w:sz w:val="24"/>
                <w:szCs w:val="24"/>
              </w:rPr>
              <w:t>0.006173</w:t>
            </w:r>
          </w:p>
        </w:tc>
        <w:tc>
          <w:tcPr>
            <w:tcW w:w="3117" w:type="dxa"/>
          </w:tcPr>
          <w:p w:rsidR="00814495" w:rsidRPr="00814495" w:rsidRDefault="00814495">
            <w:pPr>
              <w:rPr>
                <w:rFonts w:ascii="Times New Roman" w:hAnsi="Times New Roman" w:cs="Times New Roman"/>
                <w:sz w:val="24"/>
                <w:szCs w:val="24"/>
              </w:rPr>
            </w:pPr>
            <w:r w:rsidRPr="00814495">
              <w:rPr>
                <w:rFonts w:ascii="Times New Roman" w:hAnsi="Times New Roman" w:cs="Times New Roman"/>
                <w:sz w:val="24"/>
                <w:szCs w:val="24"/>
              </w:rPr>
              <w:t>Significant</w:t>
            </w:r>
          </w:p>
        </w:tc>
      </w:tr>
      <w:tr w:rsidR="00814495" w:rsidTr="00814495">
        <w:tc>
          <w:tcPr>
            <w:tcW w:w="3116" w:type="dxa"/>
          </w:tcPr>
          <w:p w:rsidR="00814495" w:rsidRPr="00814495" w:rsidRDefault="00814495" w:rsidP="00814495">
            <w:pPr>
              <w:rPr>
                <w:rFonts w:ascii="Times New Roman" w:hAnsi="Times New Roman" w:cs="Times New Roman"/>
                <w:sz w:val="24"/>
                <w:szCs w:val="24"/>
              </w:rPr>
            </w:pPr>
            <w:proofErr w:type="spellStart"/>
            <w:r w:rsidRPr="00814495">
              <w:rPr>
                <w:rFonts w:ascii="Times New Roman" w:hAnsi="Times New Roman" w:cs="Times New Roman"/>
                <w:sz w:val="24"/>
                <w:szCs w:val="24"/>
              </w:rPr>
              <w:t>Oxyresveratrol</w:t>
            </w:r>
            <w:proofErr w:type="spellEnd"/>
          </w:p>
        </w:tc>
        <w:tc>
          <w:tcPr>
            <w:tcW w:w="3117" w:type="dxa"/>
          </w:tcPr>
          <w:p w:rsidR="00814495" w:rsidRPr="00814495" w:rsidRDefault="00814495" w:rsidP="00814495">
            <w:pPr>
              <w:rPr>
                <w:rFonts w:ascii="Times New Roman" w:hAnsi="Times New Roman" w:cs="Times New Roman"/>
                <w:sz w:val="24"/>
                <w:szCs w:val="24"/>
              </w:rPr>
            </w:pPr>
            <w:r w:rsidRPr="00814495">
              <w:rPr>
                <w:rFonts w:ascii="Times New Roman" w:hAnsi="Times New Roman" w:cs="Times New Roman"/>
                <w:sz w:val="24"/>
                <w:szCs w:val="24"/>
              </w:rPr>
              <w:t>0.000040</w:t>
            </w:r>
          </w:p>
        </w:tc>
        <w:tc>
          <w:tcPr>
            <w:tcW w:w="3117" w:type="dxa"/>
          </w:tcPr>
          <w:p w:rsidR="00814495" w:rsidRPr="00814495" w:rsidRDefault="00814495" w:rsidP="00814495">
            <w:pPr>
              <w:rPr>
                <w:rFonts w:ascii="Times New Roman" w:hAnsi="Times New Roman" w:cs="Times New Roman"/>
                <w:sz w:val="24"/>
                <w:szCs w:val="24"/>
              </w:rPr>
            </w:pPr>
            <w:r w:rsidRPr="00814495">
              <w:rPr>
                <w:rFonts w:ascii="Times New Roman" w:hAnsi="Times New Roman" w:cs="Times New Roman"/>
                <w:sz w:val="24"/>
                <w:szCs w:val="24"/>
              </w:rPr>
              <w:t>Significant</w:t>
            </w:r>
          </w:p>
        </w:tc>
      </w:tr>
      <w:tr w:rsidR="00814495" w:rsidTr="00814495">
        <w:tc>
          <w:tcPr>
            <w:tcW w:w="3116" w:type="dxa"/>
          </w:tcPr>
          <w:p w:rsidR="00814495" w:rsidRPr="00814495" w:rsidRDefault="00814495" w:rsidP="00814495">
            <w:pPr>
              <w:rPr>
                <w:rFonts w:ascii="Times New Roman" w:hAnsi="Times New Roman" w:cs="Times New Roman"/>
                <w:sz w:val="24"/>
                <w:szCs w:val="24"/>
              </w:rPr>
            </w:pPr>
            <w:proofErr w:type="spellStart"/>
            <w:r w:rsidRPr="00814495">
              <w:rPr>
                <w:rFonts w:ascii="Times New Roman" w:hAnsi="Times New Roman" w:cs="Times New Roman"/>
                <w:sz w:val="24"/>
                <w:szCs w:val="24"/>
              </w:rPr>
              <w:t>Digallic</w:t>
            </w:r>
            <w:proofErr w:type="spellEnd"/>
            <w:r w:rsidRPr="00814495">
              <w:rPr>
                <w:rFonts w:ascii="Times New Roman" w:hAnsi="Times New Roman" w:cs="Times New Roman"/>
                <w:sz w:val="24"/>
                <w:szCs w:val="24"/>
              </w:rPr>
              <w:t xml:space="preserve"> Acid</w:t>
            </w:r>
          </w:p>
        </w:tc>
        <w:tc>
          <w:tcPr>
            <w:tcW w:w="3117" w:type="dxa"/>
          </w:tcPr>
          <w:p w:rsidR="00814495" w:rsidRPr="00814495" w:rsidRDefault="00814495" w:rsidP="00814495">
            <w:pPr>
              <w:rPr>
                <w:rFonts w:ascii="Times New Roman" w:hAnsi="Times New Roman" w:cs="Times New Roman"/>
                <w:sz w:val="24"/>
                <w:szCs w:val="24"/>
              </w:rPr>
            </w:pPr>
            <w:r w:rsidRPr="00814495">
              <w:rPr>
                <w:rFonts w:ascii="Times New Roman" w:hAnsi="Times New Roman" w:cs="Times New Roman"/>
                <w:sz w:val="24"/>
                <w:szCs w:val="24"/>
              </w:rPr>
              <w:t>0.006343</w:t>
            </w:r>
          </w:p>
        </w:tc>
        <w:tc>
          <w:tcPr>
            <w:tcW w:w="3117" w:type="dxa"/>
          </w:tcPr>
          <w:p w:rsidR="00814495" w:rsidRPr="00814495" w:rsidRDefault="00814495" w:rsidP="00814495">
            <w:pPr>
              <w:rPr>
                <w:rFonts w:ascii="Times New Roman" w:hAnsi="Times New Roman" w:cs="Times New Roman"/>
                <w:sz w:val="24"/>
                <w:szCs w:val="24"/>
              </w:rPr>
            </w:pPr>
            <w:r w:rsidRPr="00814495">
              <w:rPr>
                <w:rFonts w:ascii="Times New Roman" w:hAnsi="Times New Roman" w:cs="Times New Roman"/>
                <w:sz w:val="24"/>
                <w:szCs w:val="24"/>
              </w:rPr>
              <w:t>Significant</w:t>
            </w:r>
          </w:p>
        </w:tc>
      </w:tr>
      <w:tr w:rsidR="00814495" w:rsidTr="00814495">
        <w:tc>
          <w:tcPr>
            <w:tcW w:w="3116" w:type="dxa"/>
          </w:tcPr>
          <w:p w:rsidR="00814495" w:rsidRPr="00814495" w:rsidRDefault="00814495" w:rsidP="00814495">
            <w:pPr>
              <w:rPr>
                <w:rFonts w:ascii="Times New Roman" w:hAnsi="Times New Roman" w:cs="Times New Roman"/>
                <w:sz w:val="24"/>
                <w:szCs w:val="24"/>
              </w:rPr>
            </w:pPr>
            <w:proofErr w:type="spellStart"/>
            <w:r w:rsidRPr="00814495">
              <w:rPr>
                <w:rFonts w:ascii="Times New Roman" w:hAnsi="Times New Roman" w:cs="Times New Roman"/>
                <w:sz w:val="24"/>
                <w:szCs w:val="24"/>
              </w:rPr>
              <w:t>Scopolin</w:t>
            </w:r>
            <w:proofErr w:type="spellEnd"/>
          </w:p>
        </w:tc>
        <w:tc>
          <w:tcPr>
            <w:tcW w:w="3117" w:type="dxa"/>
          </w:tcPr>
          <w:p w:rsidR="00814495" w:rsidRPr="00814495" w:rsidRDefault="00814495" w:rsidP="00814495">
            <w:pPr>
              <w:rPr>
                <w:rFonts w:ascii="Times New Roman" w:hAnsi="Times New Roman" w:cs="Times New Roman"/>
                <w:sz w:val="24"/>
                <w:szCs w:val="24"/>
              </w:rPr>
            </w:pPr>
            <w:r w:rsidRPr="00814495">
              <w:rPr>
                <w:rFonts w:ascii="Times New Roman" w:hAnsi="Times New Roman" w:cs="Times New Roman"/>
                <w:sz w:val="24"/>
                <w:szCs w:val="24"/>
              </w:rPr>
              <w:t>0.000079</w:t>
            </w:r>
          </w:p>
        </w:tc>
        <w:tc>
          <w:tcPr>
            <w:tcW w:w="3117" w:type="dxa"/>
          </w:tcPr>
          <w:p w:rsidR="00814495" w:rsidRPr="00814495" w:rsidRDefault="00814495" w:rsidP="00814495">
            <w:pPr>
              <w:rPr>
                <w:rFonts w:ascii="Times New Roman" w:hAnsi="Times New Roman" w:cs="Times New Roman"/>
                <w:sz w:val="24"/>
                <w:szCs w:val="24"/>
              </w:rPr>
            </w:pPr>
            <w:r w:rsidRPr="00814495">
              <w:rPr>
                <w:rFonts w:ascii="Times New Roman" w:hAnsi="Times New Roman" w:cs="Times New Roman"/>
                <w:sz w:val="24"/>
                <w:szCs w:val="24"/>
              </w:rPr>
              <w:t>Significant</w:t>
            </w:r>
          </w:p>
        </w:tc>
      </w:tr>
    </w:tbl>
    <w:p w:rsidR="00814495" w:rsidRPr="00753366" w:rsidRDefault="00814495"/>
    <w:sectPr w:rsidR="00814495" w:rsidRPr="00753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66"/>
    <w:rsid w:val="000B1495"/>
    <w:rsid w:val="0018538A"/>
    <w:rsid w:val="003E1379"/>
    <w:rsid w:val="00442A7C"/>
    <w:rsid w:val="007155C2"/>
    <w:rsid w:val="00753366"/>
    <w:rsid w:val="007710FA"/>
    <w:rsid w:val="00814495"/>
    <w:rsid w:val="008C67E0"/>
    <w:rsid w:val="00B72D8C"/>
    <w:rsid w:val="00BB6A02"/>
    <w:rsid w:val="00C968C9"/>
    <w:rsid w:val="00F33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AD302-40CC-49DD-9827-3A5EB62F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표준1"/>
    <w:link w:val="1Char"/>
    <w:rsid w:val="00753366"/>
    <w:pPr>
      <w:spacing w:after="0" w:line="240" w:lineRule="auto"/>
      <w:jc w:val="both"/>
    </w:pPr>
    <w:rPr>
      <w:rFonts w:ascii="Calibri" w:eastAsia="SimSun" w:hAnsi="Calibri" w:cs="Calibri"/>
      <w:kern w:val="2"/>
      <w:sz w:val="21"/>
      <w:szCs w:val="21"/>
    </w:rPr>
  </w:style>
  <w:style w:type="character" w:customStyle="1" w:styleId="1Char">
    <w:name w:val="표준1 Char"/>
    <w:basedOn w:val="a0"/>
    <w:link w:val="1"/>
    <w:rsid w:val="00753366"/>
    <w:rPr>
      <w:rFonts w:ascii="Calibri" w:eastAsia="SimSun" w:hAnsi="Calibri" w:cs="Calibri"/>
      <w:kern w:val="2"/>
      <w:sz w:val="21"/>
      <w:szCs w:val="21"/>
    </w:rPr>
  </w:style>
  <w:style w:type="paragraph" w:styleId="a3">
    <w:name w:val="caption"/>
    <w:basedOn w:val="a"/>
    <w:next w:val="a"/>
    <w:uiPriority w:val="35"/>
    <w:unhideWhenUsed/>
    <w:qFormat/>
    <w:rsid w:val="00753366"/>
    <w:pPr>
      <w:spacing w:after="200" w:line="240" w:lineRule="auto"/>
    </w:pPr>
    <w:rPr>
      <w:i/>
      <w:iCs/>
      <w:color w:val="44546A" w:themeColor="text2"/>
      <w:sz w:val="18"/>
      <w:szCs w:val="18"/>
    </w:rPr>
  </w:style>
  <w:style w:type="table" w:styleId="a4">
    <w:name w:val="Table Grid"/>
    <w:basedOn w:val="a1"/>
    <w:uiPriority w:val="39"/>
    <w:rsid w:val="00814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3</Pages>
  <Words>604</Words>
  <Characters>3446</Characters>
  <Application>Microsoft Office Word</Application>
  <DocSecurity>0</DocSecurity>
  <Lines>28</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korea</dc:creator>
  <cp:keywords/>
  <dc:description/>
  <cp:lastModifiedBy>korea</cp:lastModifiedBy>
  <cp:revision>10</cp:revision>
  <dcterms:created xsi:type="dcterms:W3CDTF">2026-05-11T10:12:00Z</dcterms:created>
  <dcterms:modified xsi:type="dcterms:W3CDTF">2026-06-01T14:46:00Z</dcterms:modified>
</cp:coreProperties>
</file>