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Calibri" w:cs="Calibri" w:eastAsia="Calibri" w:hAnsi="Calibri"/>
          <w:b/>
          <w:bCs/>
          <w:color w:val="1F3A5F"/>
          <w:sz w:val="36"/>
          <w:szCs w:val="36"/>
        </w:rPr>
        <w:t xml:space="preserve">Supplementary Materials</w:t>
      </w:r>
    </w:p>
    <w:p>
      <w:pPr>
        <w:spacing w:after="400"/>
        <w:jc w:val="center"/>
      </w:pPr>
      <w:r>
        <w:rPr>
          <w:rFonts w:ascii="Calibri" w:cs="Calibri" w:eastAsia="Calibri" w:hAnsi="Calibri"/>
          <w:i/>
          <w:iCs/>
          <w:color w:val="333333"/>
          <w:sz w:val="24"/>
          <w:szCs w:val="24"/>
        </w:rPr>
        <w:t xml:space="preserve">Long-term Outcomes of Pediatric Urethroplasty: A Systematic Review and Meta-analysis</w:t>
      </w:r>
    </w:p>
    <w:p>
      <w:pPr>
        <w:spacing w:after="200"/>
        <w:jc w:val="center"/>
      </w:pPr>
      <w:r>
        <w:rPr>
          <w:rFonts w:ascii="Calibri" w:cs="Calibri" w:eastAsia="Calibri" w:hAnsi="Calibri"/>
          <w:color w:val="555555"/>
          <w:sz w:val="22"/>
          <w:szCs w:val="22"/>
        </w:rPr>
        <w:t xml:space="preserve">Najar FA, Ganayee MA, Nabi U, Mufti GN</w:t>
      </w:r>
    </w:p>
    <w:p>
      <w:pPr>
        <w:spacing w:after="600"/>
        <w:jc w:val="center"/>
      </w:pPr>
      <w:r>
        <w:rPr>
          <w:rFonts w:ascii="Calibri" w:cs="Calibri" w:eastAsia="Calibri" w:hAnsi="Calibri"/>
          <w:i/>
          <w:iCs/>
          <w:color w:val="555555"/>
          <w:sz w:val="20"/>
          <w:szCs w:val="20"/>
        </w:rPr>
        <w:t xml:space="preserve">PROSPERO registration 05 August 2026</w:t>
      </w:r>
    </w:p>
    <w:p>
      <w:pPr>
        <w:spacing w:after="200" w:before="200"/>
      </w:pPr>
      <w:r>
        <w:rPr>
          <w:rFonts w:ascii="Calibri" w:cs="Calibri" w:eastAsia="Calibri" w:hAnsi="Calibri"/>
          <w:b/>
          <w:bCs/>
          <w:color w:val="1F3A5F"/>
          <w:sz w:val="26"/>
          <w:szCs w:val="26"/>
        </w:rPr>
        <w:t xml:space="preserve">Contents</w:t>
      </w:r>
    </w:p>
    <w:p>
      <w:pPr>
        <w:spacing w:after="100" w:line="280"/>
        <w:ind w:left="100"/>
      </w:pPr>
      <w:r>
        <w:rPr>
          <w:rFonts w:ascii="Calibri" w:cs="Calibri" w:eastAsia="Calibri" w:hAnsi="Calibri"/>
          <w:b/>
          <w:bCs/>
          <w:color w:val="1F3A5F"/>
          <w:sz w:val="22"/>
          <w:szCs w:val="22"/>
        </w:rPr>
        <w:t xml:space="preserve">Appendix S1  </w:t>
      </w:r>
      <w:r>
        <w:rPr>
          <w:rFonts w:ascii="Calibri" w:cs="Calibri" w:eastAsia="Calibri" w:hAnsi="Calibri"/>
          <w:sz w:val="22"/>
          <w:szCs w:val="22"/>
        </w:rPr>
        <w:t xml:space="preserve">Full electronic search strategies (PubMed, MEDLINE via Ovid, Embase, Scopus, CENTRAL) — closes PRISMA Item 7</w:t>
      </w:r>
    </w:p>
    <w:p>
      <w:pPr>
        <w:spacing w:after="100" w:line="280"/>
        <w:ind w:left="100"/>
      </w:pPr>
      <w:r>
        <w:rPr>
          <w:rFonts w:ascii="Calibri" w:cs="Calibri" w:eastAsia="Calibri" w:hAnsi="Calibri"/>
          <w:b/>
          <w:bCs/>
          <w:color w:val="1F3A5F"/>
          <w:sz w:val="22"/>
          <w:szCs w:val="22"/>
        </w:rPr>
        <w:t xml:space="preserve">Appendix S2  </w:t>
      </w:r>
      <w:r>
        <w:rPr>
          <w:rFonts w:ascii="Calibri" w:cs="Calibri" w:eastAsia="Calibri" w:hAnsi="Calibri"/>
          <w:sz w:val="22"/>
          <w:szCs w:val="22"/>
        </w:rPr>
        <w:t xml:space="preserve">List of studies excluded at full-text review with reasons (n = 182) — closes PRISMA Item 16b</w:t>
      </w:r>
    </w:p>
    <w:p>
      <w:pPr>
        <w:spacing w:after="100" w:line="280"/>
        <w:ind w:left="100"/>
      </w:pPr>
      <w:r>
        <w:rPr>
          <w:rFonts w:ascii="Calibri" w:cs="Calibri" w:eastAsia="Calibri" w:hAnsi="Calibri"/>
          <w:b/>
          <w:bCs/>
          <w:color w:val="1F3A5F"/>
          <w:sz w:val="22"/>
          <w:szCs w:val="22"/>
        </w:rPr>
        <w:t xml:space="preserve">Figure S1  </w:t>
      </w:r>
      <w:r>
        <w:rPr>
          <w:rFonts w:ascii="Calibri" w:cs="Calibri" w:eastAsia="Calibri" w:hAnsi="Calibri"/>
          <w:sz w:val="22"/>
          <w:szCs w:val="22"/>
        </w:rPr>
        <w:t xml:space="preserve">Traffic-light plot of Newcastle-Ottawa Scale risk-of-bias assessment — closes PRISMA Item 18</w:t>
      </w:r>
    </w:p>
    <w:p>
      <w:pPr>
        <w:spacing w:after="100" w:line="280"/>
        <w:ind w:left="100"/>
      </w:pPr>
      <w:r>
        <w:rPr>
          <w:rFonts w:ascii="Calibri" w:cs="Calibri" w:eastAsia="Calibri" w:hAnsi="Calibri"/>
          <w:b/>
          <w:bCs/>
          <w:color w:val="1F3A5F"/>
          <w:sz w:val="22"/>
          <w:szCs w:val="22"/>
        </w:rPr>
        <w:t xml:space="preserve">Appendix S3  </w:t>
      </w:r>
      <w:r>
        <w:rPr>
          <w:rFonts w:ascii="Calibri" w:cs="Calibri" w:eastAsia="Calibri" w:hAnsi="Calibri"/>
          <w:sz w:val="22"/>
          <w:szCs w:val="22"/>
        </w:rPr>
        <w:t xml:space="preserve">GRADE Summary of Findings table (post-hoc protocol amendment) — closes PRISMA Items 15 &amp; 22</w:t>
      </w:r>
    </w:p>
    <w:p>
      <w:pPr>
        <w:pStyle w:val="Heading1"/>
        <w:pageBreakBefore/>
        <w:spacing w:after="160" w:before="300"/>
      </w:pPr>
      <w:r>
        <w:rPr>
          <w:rFonts w:ascii="Calibri" w:cs="Calibri" w:eastAsia="Calibri" w:hAnsi="Calibri"/>
          <w:b/>
          <w:bCs/>
          <w:color w:val="1F3A5F"/>
          <w:sz w:val="28"/>
          <w:szCs w:val="28"/>
        </w:rPr>
        <w:t xml:space="preserve">Appendix S1. Full electronic search strategies</w:t>
      </w:r>
    </w:p>
    <w:p>
      <w:pPr>
        <w:spacing w:after="120" w:line="300"/>
        <w:jc w:val="both"/>
      </w:pPr>
      <w:r>
        <w:rPr>
          <w:rFonts w:ascii="Calibri" w:cs="Calibri" w:eastAsia="Calibri" w:hAnsi="Calibri"/>
          <w:sz w:val="22"/>
          <w:szCs w:val="22"/>
        </w:rPr>
        <w:t xml:space="preserve">The systematic literature search was performed on 31 December 2024. Search strategies were adapted for each database while maintaining conceptual equivalence. Three conceptual blocks were combined with Boolean AND: (1) the intervention or condition (hypospadias, urethral stricture, urethroplasty, urethral reconstruction); (2) the population (paediatric); and (3) the temporal or outcome dimension (long-term follow-up, outcomes, complications, reoperation). No date restriction on the start date was applied. Results were limited to English-language, human, and peer-reviewed publications where those filters were available.</w:t>
      </w:r>
    </w:p>
    <w:p>
      <w:pPr>
        <w:spacing w:after="100" w:before="220"/>
      </w:pPr>
      <w:r>
        <w:rPr>
          <w:rFonts w:ascii="Calibri" w:cs="Calibri" w:eastAsia="Calibri" w:hAnsi="Calibri"/>
          <w:b/>
          <w:bCs/>
          <w:color w:val="333333"/>
          <w:sz w:val="22"/>
          <w:szCs w:val="22"/>
        </w:rPr>
        <w:t xml:space="preserve">S1.1 PubMed / MEDLINE (via PubMed interface)  —  1,124 records</w:t>
      </w:r>
    </w:p>
    <w:p>
      <w:pPr>
        <w:shd w:fill="F5F5F5" w:val="clear"/>
        <w:spacing w:after="20" w:line="260"/>
        <w:ind w:left="100"/>
      </w:pPr>
      <w:r>
        <w:rPr>
          <w:rFonts w:ascii="Consolas" w:cs="Consolas" w:eastAsia="Consolas" w:hAnsi="Consolas"/>
          <w:color w:val="111111"/>
          <w:sz w:val="18"/>
          <w:szCs w:val="18"/>
        </w:rPr>
        <w:t xml:space="preserve">Search date: 31 December 2024</w:t>
      </w:r>
    </w:p>
    <w:p>
      <w:pPr>
        <w:shd w:fill="F5F5F5" w:val="clear"/>
        <w:spacing w:after="20" w:line="260"/>
        <w:ind w:left="100"/>
      </w:pPr>
      <w:r>
        <w:rPr>
          <w:rFonts w:ascii="Consolas" w:cs="Consolas" w:eastAsia="Consolas" w:hAnsi="Consolas"/>
          <w:color w:val="111111"/>
          <w:sz w:val="18"/>
          <w:szCs w:val="18"/>
        </w:rPr>
        <w:t xml:space="preserve">Filters: English; Humans</w:t>
      </w:r>
    </w:p>
    <w:p>
      <w:pPr>
        <w:shd w:fill="F5F5F5" w:val="clear"/>
        <w:spacing w:after="20" w:line="260"/>
        <w:ind w:left="100"/>
      </w:pPr>
      <w:r>
        <w:rPr>
          <w:rFonts w:ascii="Consolas" w:cs="Consolas" w:eastAsia="Consolas" w:hAnsi="Consolas"/>
          <w:color w:val="111111"/>
          <w:sz w:val="18"/>
          <w:szCs w:val="18"/>
        </w:rPr>
        <w:t xml:space="preserve"> </w:t>
      </w:r>
    </w:p>
    <w:p>
      <w:pPr>
        <w:shd w:fill="F5F5F5" w:val="clear"/>
        <w:spacing w:after="20" w:line="260"/>
        <w:ind w:left="100"/>
      </w:pPr>
      <w:r>
        <w:rPr>
          <w:rFonts w:ascii="Consolas" w:cs="Consolas" w:eastAsia="Consolas" w:hAnsi="Consolas"/>
          <w:color w:val="111111"/>
          <w:sz w:val="18"/>
          <w:szCs w:val="18"/>
        </w:rPr>
        <w:t xml:space="preserve">#1  "Hypospadias"[MeSH Terms] OR hypospadias[Title/Abstract]</w:t>
      </w:r>
    </w:p>
    <w:p>
      <w:pPr>
        <w:shd w:fill="F5F5F5" w:val="clear"/>
        <w:spacing w:after="20" w:line="260"/>
        <w:ind w:left="100"/>
      </w:pPr>
      <w:r>
        <w:rPr>
          <w:rFonts w:ascii="Consolas" w:cs="Consolas" w:eastAsia="Consolas" w:hAnsi="Consolas"/>
          <w:color w:val="111111"/>
          <w:sz w:val="18"/>
          <w:szCs w:val="18"/>
        </w:rPr>
        <w:t xml:space="preserve">#2  "Urethral Stricture"[MeSH Terms] OR "urethral stricture"[Title/Abstract]</w:t>
      </w:r>
    </w:p>
    <w:p>
      <w:pPr>
        <w:shd w:fill="F5F5F5" w:val="clear"/>
        <w:spacing w:after="20" w:line="260"/>
        <w:ind w:left="100"/>
      </w:pPr>
      <w:r>
        <w:rPr>
          <w:rFonts w:ascii="Consolas" w:cs="Consolas" w:eastAsia="Consolas" w:hAnsi="Consolas"/>
          <w:color w:val="111111"/>
          <w:sz w:val="18"/>
          <w:szCs w:val="18"/>
        </w:rPr>
        <w:t xml:space="preserve">#3  urethroplasty[Title/Abstract] OR "urethral reconstruction"[Title/Abstract]</w:t>
      </w:r>
    </w:p>
    <w:p>
      <w:pPr>
        <w:shd w:fill="F5F5F5" w:val="clear"/>
        <w:spacing w:after="20" w:line="260"/>
        <w:ind w:left="100"/>
      </w:pPr>
      <w:r>
        <w:rPr>
          <w:rFonts w:ascii="Consolas" w:cs="Consolas" w:eastAsia="Consolas" w:hAnsi="Consolas"/>
          <w:color w:val="111111"/>
          <w:sz w:val="18"/>
          <w:szCs w:val="18"/>
        </w:rPr>
        <w:t xml:space="preserve">#4  #1 OR #2 OR #3</w:t>
      </w:r>
    </w:p>
    <w:p>
      <w:pPr>
        <w:shd w:fill="F5F5F5" w:val="clear"/>
        <w:spacing w:after="20" w:line="260"/>
        <w:ind w:left="100"/>
      </w:pPr>
      <w:r>
        <w:rPr>
          <w:rFonts w:ascii="Consolas" w:cs="Consolas" w:eastAsia="Consolas" w:hAnsi="Consolas"/>
          <w:color w:val="111111"/>
          <w:sz w:val="18"/>
          <w:szCs w:val="18"/>
        </w:rPr>
        <w:t xml:space="preserve"> </w:t>
      </w:r>
    </w:p>
    <w:p>
      <w:pPr>
        <w:shd w:fill="F5F5F5" w:val="clear"/>
        <w:spacing w:after="20" w:line="260"/>
        <w:ind w:left="100"/>
      </w:pPr>
      <w:r>
        <w:rPr>
          <w:rFonts w:ascii="Consolas" w:cs="Consolas" w:eastAsia="Consolas" w:hAnsi="Consolas"/>
          <w:color w:val="111111"/>
          <w:sz w:val="18"/>
          <w:szCs w:val="18"/>
        </w:rPr>
        <w:t xml:space="preserve">#5  "Child"[MeSH Terms] OR "Infant"[MeSH Terms] OR "Adolescent"[MeSH Terms]</w:t>
      </w:r>
    </w:p>
    <w:p>
      <w:pPr>
        <w:shd w:fill="F5F5F5" w:val="clear"/>
        <w:spacing w:after="20" w:line="260"/>
        <w:ind w:left="100"/>
      </w:pPr>
      <w:r>
        <w:rPr>
          <w:rFonts w:ascii="Consolas" w:cs="Consolas" w:eastAsia="Consolas" w:hAnsi="Consolas"/>
          <w:color w:val="111111"/>
          <w:sz w:val="18"/>
          <w:szCs w:val="18"/>
        </w:rPr>
        <w:t xml:space="preserve">#6  "Pediatrics"[MeSH Terms]</w:t>
      </w:r>
    </w:p>
    <w:p>
      <w:pPr>
        <w:shd w:fill="F5F5F5" w:val="clear"/>
        <w:spacing w:after="20" w:line="260"/>
        <w:ind w:left="100"/>
      </w:pPr>
      <w:r>
        <w:rPr>
          <w:rFonts w:ascii="Consolas" w:cs="Consolas" w:eastAsia="Consolas" w:hAnsi="Consolas"/>
          <w:color w:val="111111"/>
          <w:sz w:val="18"/>
          <w:szCs w:val="18"/>
        </w:rPr>
        <w:t xml:space="preserve">#7  (pediatric[Title/Abstract] OR paediatric[Title/Abstract] OR children[Title/Abstract]</w:t>
      </w:r>
    </w:p>
    <w:p>
      <w:pPr>
        <w:shd w:fill="F5F5F5" w:val="clear"/>
        <w:spacing w:after="20" w:line="260"/>
        <w:ind w:left="100"/>
      </w:pPr>
      <w:r>
        <w:rPr>
          <w:rFonts w:ascii="Consolas" w:cs="Consolas" w:eastAsia="Consolas" w:hAnsi="Consolas"/>
          <w:color w:val="111111"/>
          <w:sz w:val="18"/>
          <w:szCs w:val="18"/>
        </w:rPr>
        <w:t xml:space="preserve">     OR infant*[Title/Abstract] OR adolescen*[Title/Abstract])</w:t>
      </w:r>
    </w:p>
    <w:p>
      <w:pPr>
        <w:shd w:fill="F5F5F5" w:val="clear"/>
        <w:spacing w:after="20" w:line="260"/>
        <w:ind w:left="100"/>
      </w:pPr>
      <w:r>
        <w:rPr>
          <w:rFonts w:ascii="Consolas" w:cs="Consolas" w:eastAsia="Consolas" w:hAnsi="Consolas"/>
          <w:color w:val="111111"/>
          <w:sz w:val="18"/>
          <w:szCs w:val="18"/>
        </w:rPr>
        <w:t xml:space="preserve">#8  #5 OR #6 OR #7</w:t>
      </w:r>
    </w:p>
    <w:p>
      <w:pPr>
        <w:shd w:fill="F5F5F5" w:val="clear"/>
        <w:spacing w:after="20" w:line="260"/>
        <w:ind w:left="100"/>
      </w:pPr>
      <w:r>
        <w:rPr>
          <w:rFonts w:ascii="Consolas" w:cs="Consolas" w:eastAsia="Consolas" w:hAnsi="Consolas"/>
          <w:color w:val="111111"/>
          <w:sz w:val="18"/>
          <w:szCs w:val="18"/>
        </w:rPr>
        <w:t xml:space="preserve"> </w:t>
      </w:r>
    </w:p>
    <w:p>
      <w:pPr>
        <w:shd w:fill="F5F5F5" w:val="clear"/>
        <w:spacing w:after="20" w:line="260"/>
        <w:ind w:left="100"/>
      </w:pPr>
      <w:r>
        <w:rPr>
          <w:rFonts w:ascii="Consolas" w:cs="Consolas" w:eastAsia="Consolas" w:hAnsi="Consolas"/>
          <w:color w:val="111111"/>
          <w:sz w:val="18"/>
          <w:szCs w:val="18"/>
        </w:rPr>
        <w:t xml:space="preserve">#9  "Follow-Up Studies"[MeSH Terms]</w:t>
      </w:r>
    </w:p>
    <w:p>
      <w:pPr>
        <w:shd w:fill="F5F5F5" w:val="clear"/>
        <w:spacing w:after="20" w:line="260"/>
        <w:ind w:left="100"/>
      </w:pPr>
      <w:r>
        <w:rPr>
          <w:rFonts w:ascii="Consolas" w:cs="Consolas" w:eastAsia="Consolas" w:hAnsi="Consolas"/>
          <w:color w:val="111111"/>
          <w:sz w:val="18"/>
          <w:szCs w:val="18"/>
        </w:rPr>
        <w:t xml:space="preserve">#10 ("long-term"[Title/Abstract] OR "long term"[Title/Abstract])</w:t>
      </w:r>
    </w:p>
    <w:p>
      <w:pPr>
        <w:shd w:fill="F5F5F5" w:val="clear"/>
        <w:spacing w:after="20" w:line="260"/>
        <w:ind w:left="100"/>
      </w:pPr>
      <w:r>
        <w:rPr>
          <w:rFonts w:ascii="Consolas" w:cs="Consolas" w:eastAsia="Consolas" w:hAnsi="Consolas"/>
          <w:color w:val="111111"/>
          <w:sz w:val="18"/>
          <w:szCs w:val="18"/>
        </w:rPr>
        <w:t xml:space="preserve">#11 (outcome*[Title/Abstract] OR complication*[Title/Abstract] OR reoperation[Title/Abstract]</w:t>
      </w:r>
    </w:p>
    <w:p>
      <w:pPr>
        <w:shd w:fill="F5F5F5" w:val="clear"/>
        <w:spacing w:after="20" w:line="260"/>
        <w:ind w:left="100"/>
      </w:pPr>
      <w:r>
        <w:rPr>
          <w:rFonts w:ascii="Consolas" w:cs="Consolas" w:eastAsia="Consolas" w:hAnsi="Consolas"/>
          <w:color w:val="111111"/>
          <w:sz w:val="18"/>
          <w:szCs w:val="18"/>
        </w:rPr>
        <w:t xml:space="preserve">     OR "re-operation"[Title/Abstract] OR fistula*[Title/Abstract] OR stricture*[Title/Abstract])</w:t>
      </w:r>
    </w:p>
    <w:p>
      <w:pPr>
        <w:shd w:fill="F5F5F5" w:val="clear"/>
        <w:spacing w:after="20" w:line="260"/>
        <w:ind w:left="100"/>
      </w:pPr>
      <w:r>
        <w:rPr>
          <w:rFonts w:ascii="Consolas" w:cs="Consolas" w:eastAsia="Consolas" w:hAnsi="Consolas"/>
          <w:color w:val="111111"/>
          <w:sz w:val="18"/>
          <w:szCs w:val="18"/>
        </w:rPr>
        <w:t xml:space="preserve">#12 #9 OR #10 OR #11</w:t>
      </w:r>
    </w:p>
    <w:p>
      <w:pPr>
        <w:shd w:fill="F5F5F5" w:val="clear"/>
        <w:spacing w:after="20" w:line="260"/>
        <w:ind w:left="100"/>
      </w:pPr>
      <w:r>
        <w:rPr>
          <w:rFonts w:ascii="Consolas" w:cs="Consolas" w:eastAsia="Consolas" w:hAnsi="Consolas"/>
          <w:color w:val="111111"/>
          <w:sz w:val="18"/>
          <w:szCs w:val="18"/>
        </w:rPr>
        <w:t xml:space="preserve"> </w:t>
      </w:r>
    </w:p>
    <w:p>
      <w:pPr>
        <w:shd w:fill="F5F5F5" w:val="clear"/>
        <w:spacing w:after="20" w:line="260"/>
        <w:ind w:left="100"/>
      </w:pPr>
      <w:r>
        <w:rPr>
          <w:rFonts w:ascii="Consolas" w:cs="Consolas" w:eastAsia="Consolas" w:hAnsi="Consolas"/>
          <w:color w:val="111111"/>
          <w:sz w:val="18"/>
          <w:szCs w:val="18"/>
        </w:rPr>
        <w:t xml:space="preserve">#13 #4 AND #8 AND #12</w:t>
      </w:r>
    </w:p>
    <w:p>
      <w:pPr>
        <w:shd w:fill="F5F5F5" w:val="clear"/>
        <w:spacing w:after="20" w:line="260"/>
        <w:ind w:left="100"/>
      </w:pPr>
      <w:r>
        <w:rPr>
          <w:rFonts w:ascii="Consolas" w:cs="Consolas" w:eastAsia="Consolas" w:hAnsi="Consolas"/>
          <w:color w:val="111111"/>
          <w:sz w:val="18"/>
          <w:szCs w:val="18"/>
        </w:rPr>
        <w:t xml:space="preserve">#14 #13 AND (English[Language] AND Humans[MeSH Terms])</w:t>
      </w:r>
    </w:p>
    <w:p>
      <w:pPr>
        <w:spacing w:after="100" w:before="220"/>
      </w:pPr>
      <w:r>
        <w:rPr>
          <w:rFonts w:ascii="Calibri" w:cs="Calibri" w:eastAsia="Calibri" w:hAnsi="Calibri"/>
          <w:b/>
          <w:bCs/>
          <w:color w:val="333333"/>
          <w:sz w:val="22"/>
          <w:szCs w:val="22"/>
        </w:rPr>
        <w:t xml:space="preserve">S1.2 MEDLINE (Ovid interface)  —  892 records</w:t>
      </w:r>
    </w:p>
    <w:p>
      <w:pPr>
        <w:shd w:fill="F5F5F5" w:val="clear"/>
        <w:spacing w:after="20" w:line="260"/>
        <w:ind w:left="100"/>
      </w:pPr>
      <w:r>
        <w:rPr>
          <w:rFonts w:ascii="Consolas" w:cs="Consolas" w:eastAsia="Consolas" w:hAnsi="Consolas"/>
          <w:color w:val="111111"/>
          <w:sz w:val="18"/>
          <w:szCs w:val="18"/>
        </w:rPr>
        <w:t xml:space="preserve">Search date: 31 December 2024</w:t>
      </w:r>
    </w:p>
    <w:p>
      <w:pPr>
        <w:shd w:fill="F5F5F5" w:val="clear"/>
        <w:spacing w:after="20" w:line="260"/>
        <w:ind w:left="100"/>
      </w:pPr>
      <w:r>
        <w:rPr>
          <w:rFonts w:ascii="Consolas" w:cs="Consolas" w:eastAsia="Consolas" w:hAnsi="Consolas"/>
          <w:color w:val="111111"/>
          <w:sz w:val="18"/>
          <w:szCs w:val="18"/>
        </w:rPr>
        <w:t xml:space="preserve"> </w:t>
      </w:r>
    </w:p>
    <w:p>
      <w:pPr>
        <w:shd w:fill="F5F5F5" w:val="clear"/>
        <w:spacing w:after="20" w:line="260"/>
        <w:ind w:left="100"/>
      </w:pPr>
      <w:r>
        <w:rPr>
          <w:rFonts w:ascii="Consolas" w:cs="Consolas" w:eastAsia="Consolas" w:hAnsi="Consolas"/>
          <w:color w:val="111111"/>
          <w:sz w:val="18"/>
          <w:szCs w:val="18"/>
        </w:rPr>
        <w:t xml:space="preserve">1.  exp Hypospadias/</w:t>
      </w:r>
    </w:p>
    <w:p>
      <w:pPr>
        <w:shd w:fill="F5F5F5" w:val="clear"/>
        <w:spacing w:after="20" w:line="260"/>
        <w:ind w:left="100"/>
      </w:pPr>
      <w:r>
        <w:rPr>
          <w:rFonts w:ascii="Consolas" w:cs="Consolas" w:eastAsia="Consolas" w:hAnsi="Consolas"/>
          <w:color w:val="111111"/>
          <w:sz w:val="18"/>
          <w:szCs w:val="18"/>
        </w:rPr>
        <w:t xml:space="preserve">2.  hypospadias.ti,ab.</w:t>
      </w:r>
    </w:p>
    <w:p>
      <w:pPr>
        <w:shd w:fill="F5F5F5" w:val="clear"/>
        <w:spacing w:after="20" w:line="260"/>
        <w:ind w:left="100"/>
      </w:pPr>
      <w:r>
        <w:rPr>
          <w:rFonts w:ascii="Consolas" w:cs="Consolas" w:eastAsia="Consolas" w:hAnsi="Consolas"/>
          <w:color w:val="111111"/>
          <w:sz w:val="18"/>
          <w:szCs w:val="18"/>
        </w:rPr>
        <w:t xml:space="preserve">3.  exp Urethral Stricture/</w:t>
      </w:r>
    </w:p>
    <w:p>
      <w:pPr>
        <w:shd w:fill="F5F5F5" w:val="clear"/>
        <w:spacing w:after="20" w:line="260"/>
        <w:ind w:left="100"/>
      </w:pPr>
      <w:r>
        <w:rPr>
          <w:rFonts w:ascii="Consolas" w:cs="Consolas" w:eastAsia="Consolas" w:hAnsi="Consolas"/>
          <w:color w:val="111111"/>
          <w:sz w:val="18"/>
          <w:szCs w:val="18"/>
        </w:rPr>
        <w:t xml:space="preserve">4.  (urethral adj2 stricture).ti,ab.</w:t>
      </w:r>
    </w:p>
    <w:p>
      <w:pPr>
        <w:shd w:fill="F5F5F5" w:val="clear"/>
        <w:spacing w:after="20" w:line="260"/>
        <w:ind w:left="100"/>
      </w:pPr>
      <w:r>
        <w:rPr>
          <w:rFonts w:ascii="Consolas" w:cs="Consolas" w:eastAsia="Consolas" w:hAnsi="Consolas"/>
          <w:color w:val="111111"/>
          <w:sz w:val="18"/>
          <w:szCs w:val="18"/>
        </w:rPr>
        <w:t xml:space="preserve">5.  urethroplasty.ti,ab.</w:t>
      </w:r>
    </w:p>
    <w:p>
      <w:pPr>
        <w:shd w:fill="F5F5F5" w:val="clear"/>
        <w:spacing w:after="20" w:line="260"/>
        <w:ind w:left="100"/>
      </w:pPr>
      <w:r>
        <w:rPr>
          <w:rFonts w:ascii="Consolas" w:cs="Consolas" w:eastAsia="Consolas" w:hAnsi="Consolas"/>
          <w:color w:val="111111"/>
          <w:sz w:val="18"/>
          <w:szCs w:val="18"/>
        </w:rPr>
        <w:t xml:space="preserve">6.  (urethral adj2 reconstruction).ti,ab.</w:t>
      </w:r>
    </w:p>
    <w:p>
      <w:pPr>
        <w:shd w:fill="F5F5F5" w:val="clear"/>
        <w:spacing w:after="20" w:line="260"/>
        <w:ind w:left="100"/>
      </w:pPr>
      <w:r>
        <w:rPr>
          <w:rFonts w:ascii="Consolas" w:cs="Consolas" w:eastAsia="Consolas" w:hAnsi="Consolas"/>
          <w:color w:val="111111"/>
          <w:sz w:val="18"/>
          <w:szCs w:val="18"/>
        </w:rPr>
        <w:t xml:space="preserve">7.  or/1-6</w:t>
      </w:r>
    </w:p>
    <w:p>
      <w:pPr>
        <w:shd w:fill="F5F5F5" w:val="clear"/>
        <w:spacing w:after="20" w:line="260"/>
        <w:ind w:left="100"/>
      </w:pPr>
      <w:r>
        <w:rPr>
          <w:rFonts w:ascii="Consolas" w:cs="Consolas" w:eastAsia="Consolas" w:hAnsi="Consolas"/>
          <w:color w:val="111111"/>
          <w:sz w:val="18"/>
          <w:szCs w:val="18"/>
        </w:rPr>
        <w:t xml:space="preserve"> </w:t>
      </w:r>
    </w:p>
    <w:p>
      <w:pPr>
        <w:shd w:fill="F5F5F5" w:val="clear"/>
        <w:spacing w:after="20" w:line="260"/>
        <w:ind w:left="100"/>
      </w:pPr>
      <w:r>
        <w:rPr>
          <w:rFonts w:ascii="Consolas" w:cs="Consolas" w:eastAsia="Consolas" w:hAnsi="Consolas"/>
          <w:color w:val="111111"/>
          <w:sz w:val="18"/>
          <w:szCs w:val="18"/>
        </w:rPr>
        <w:t xml:space="preserve">8.  exp Child/</w:t>
      </w:r>
    </w:p>
    <w:p>
      <w:pPr>
        <w:shd w:fill="F5F5F5" w:val="clear"/>
        <w:spacing w:after="20" w:line="260"/>
        <w:ind w:left="100"/>
      </w:pPr>
      <w:r>
        <w:rPr>
          <w:rFonts w:ascii="Consolas" w:cs="Consolas" w:eastAsia="Consolas" w:hAnsi="Consolas"/>
          <w:color w:val="111111"/>
          <w:sz w:val="18"/>
          <w:szCs w:val="18"/>
        </w:rPr>
        <w:t xml:space="preserve">9.  exp Infant/</w:t>
      </w:r>
    </w:p>
    <w:p>
      <w:pPr>
        <w:shd w:fill="F5F5F5" w:val="clear"/>
        <w:spacing w:after="20" w:line="260"/>
        <w:ind w:left="100"/>
      </w:pPr>
      <w:r>
        <w:rPr>
          <w:rFonts w:ascii="Consolas" w:cs="Consolas" w:eastAsia="Consolas" w:hAnsi="Consolas"/>
          <w:color w:val="111111"/>
          <w:sz w:val="18"/>
          <w:szCs w:val="18"/>
        </w:rPr>
        <w:t xml:space="preserve">10. exp Adolescent/</w:t>
      </w:r>
    </w:p>
    <w:p>
      <w:pPr>
        <w:shd w:fill="F5F5F5" w:val="clear"/>
        <w:spacing w:after="20" w:line="260"/>
        <w:ind w:left="100"/>
      </w:pPr>
      <w:r>
        <w:rPr>
          <w:rFonts w:ascii="Consolas" w:cs="Consolas" w:eastAsia="Consolas" w:hAnsi="Consolas"/>
          <w:color w:val="111111"/>
          <w:sz w:val="18"/>
          <w:szCs w:val="18"/>
        </w:rPr>
        <w:t xml:space="preserve">11. exp Pediatrics/</w:t>
      </w:r>
    </w:p>
    <w:p>
      <w:pPr>
        <w:shd w:fill="F5F5F5" w:val="clear"/>
        <w:spacing w:after="20" w:line="260"/>
        <w:ind w:left="100"/>
      </w:pPr>
      <w:r>
        <w:rPr>
          <w:rFonts w:ascii="Consolas" w:cs="Consolas" w:eastAsia="Consolas" w:hAnsi="Consolas"/>
          <w:color w:val="111111"/>
          <w:sz w:val="18"/>
          <w:szCs w:val="18"/>
        </w:rPr>
        <w:t xml:space="preserve">12. (pediatric or paediatric or children or infant* or adolescen*).ti,ab.</w:t>
      </w:r>
    </w:p>
    <w:p>
      <w:pPr>
        <w:shd w:fill="F5F5F5" w:val="clear"/>
        <w:spacing w:after="20" w:line="260"/>
        <w:ind w:left="100"/>
      </w:pPr>
      <w:r>
        <w:rPr>
          <w:rFonts w:ascii="Consolas" w:cs="Consolas" w:eastAsia="Consolas" w:hAnsi="Consolas"/>
          <w:color w:val="111111"/>
          <w:sz w:val="18"/>
          <w:szCs w:val="18"/>
        </w:rPr>
        <w:t xml:space="preserve">13. or/8-12</w:t>
      </w:r>
    </w:p>
    <w:p>
      <w:pPr>
        <w:shd w:fill="F5F5F5" w:val="clear"/>
        <w:spacing w:after="20" w:line="260"/>
        <w:ind w:left="100"/>
      </w:pPr>
      <w:r>
        <w:rPr>
          <w:rFonts w:ascii="Consolas" w:cs="Consolas" w:eastAsia="Consolas" w:hAnsi="Consolas"/>
          <w:color w:val="111111"/>
          <w:sz w:val="18"/>
          <w:szCs w:val="18"/>
        </w:rPr>
        <w:t xml:space="preserve"> </w:t>
      </w:r>
    </w:p>
    <w:p>
      <w:pPr>
        <w:shd w:fill="F5F5F5" w:val="clear"/>
        <w:spacing w:after="20" w:line="260"/>
        <w:ind w:left="100"/>
      </w:pPr>
      <w:r>
        <w:rPr>
          <w:rFonts w:ascii="Consolas" w:cs="Consolas" w:eastAsia="Consolas" w:hAnsi="Consolas"/>
          <w:color w:val="111111"/>
          <w:sz w:val="18"/>
          <w:szCs w:val="18"/>
        </w:rPr>
        <w:t xml:space="preserve">14. exp Follow-Up Studies/</w:t>
      </w:r>
    </w:p>
    <w:p>
      <w:pPr>
        <w:shd w:fill="F5F5F5" w:val="clear"/>
        <w:spacing w:after="20" w:line="260"/>
        <w:ind w:left="100"/>
      </w:pPr>
      <w:r>
        <w:rPr>
          <w:rFonts w:ascii="Consolas" w:cs="Consolas" w:eastAsia="Consolas" w:hAnsi="Consolas"/>
          <w:color w:val="111111"/>
          <w:sz w:val="18"/>
          <w:szCs w:val="18"/>
        </w:rPr>
        <w:t xml:space="preserve">15. ("long-term" or "long term").ti,ab.</w:t>
      </w:r>
    </w:p>
    <w:p>
      <w:pPr>
        <w:shd w:fill="F5F5F5" w:val="clear"/>
        <w:spacing w:after="20" w:line="260"/>
        <w:ind w:left="100"/>
      </w:pPr>
      <w:r>
        <w:rPr>
          <w:rFonts w:ascii="Consolas" w:cs="Consolas" w:eastAsia="Consolas" w:hAnsi="Consolas"/>
          <w:color w:val="111111"/>
          <w:sz w:val="18"/>
          <w:szCs w:val="18"/>
        </w:rPr>
        <w:t xml:space="preserve">16. (outcome* or complication* or reoperation or "re-operation" or fistula* or stricture*).ti,ab.</w:t>
      </w:r>
    </w:p>
    <w:p>
      <w:pPr>
        <w:shd w:fill="F5F5F5" w:val="clear"/>
        <w:spacing w:after="20" w:line="260"/>
        <w:ind w:left="100"/>
      </w:pPr>
      <w:r>
        <w:rPr>
          <w:rFonts w:ascii="Consolas" w:cs="Consolas" w:eastAsia="Consolas" w:hAnsi="Consolas"/>
          <w:color w:val="111111"/>
          <w:sz w:val="18"/>
          <w:szCs w:val="18"/>
        </w:rPr>
        <w:t xml:space="preserve">17. or/14-16</w:t>
      </w:r>
    </w:p>
    <w:p>
      <w:pPr>
        <w:shd w:fill="F5F5F5" w:val="clear"/>
        <w:spacing w:after="20" w:line="260"/>
        <w:ind w:left="100"/>
      </w:pPr>
      <w:r>
        <w:rPr>
          <w:rFonts w:ascii="Consolas" w:cs="Consolas" w:eastAsia="Consolas" w:hAnsi="Consolas"/>
          <w:color w:val="111111"/>
          <w:sz w:val="18"/>
          <w:szCs w:val="18"/>
        </w:rPr>
        <w:t xml:space="preserve"> </w:t>
      </w:r>
    </w:p>
    <w:p>
      <w:pPr>
        <w:shd w:fill="F5F5F5" w:val="clear"/>
        <w:spacing w:after="20" w:line="260"/>
        <w:ind w:left="100"/>
      </w:pPr>
      <w:r>
        <w:rPr>
          <w:rFonts w:ascii="Consolas" w:cs="Consolas" w:eastAsia="Consolas" w:hAnsi="Consolas"/>
          <w:color w:val="111111"/>
          <w:sz w:val="18"/>
          <w:szCs w:val="18"/>
        </w:rPr>
        <w:t xml:space="preserve">18. 7 and 13 and 17</w:t>
      </w:r>
    </w:p>
    <w:p>
      <w:pPr>
        <w:shd w:fill="F5F5F5" w:val="clear"/>
        <w:spacing w:after="20" w:line="260"/>
        <w:ind w:left="100"/>
      </w:pPr>
      <w:r>
        <w:rPr>
          <w:rFonts w:ascii="Consolas" w:cs="Consolas" w:eastAsia="Consolas" w:hAnsi="Consolas"/>
          <w:color w:val="111111"/>
          <w:sz w:val="18"/>
          <w:szCs w:val="18"/>
        </w:rPr>
        <w:t xml:space="preserve">19. limit 18 to (english language and humans)</w:t>
      </w:r>
    </w:p>
    <w:p>
      <w:pPr>
        <w:spacing w:after="120" w:line="300"/>
        <w:jc w:val="both"/>
      </w:pPr>
      <w:r>
        <w:rPr>
          <w:rFonts w:ascii="Calibri" w:cs="Calibri" w:eastAsia="Calibri" w:hAnsi="Calibri"/>
          <w:i/>
          <w:iCs/>
          <w:sz w:val="20"/>
          <w:szCs w:val="20"/>
        </w:rPr>
        <w:t xml:space="preserve">Note: Because PubMed indexes MEDLINE content, a de-duplication step was performed after export to remove records retrieved via both interfaces (see Figure 1, main text).</w:t>
      </w:r>
    </w:p>
    <w:p>
      <w:pPr>
        <w:spacing w:after="100" w:before="220"/>
      </w:pPr>
      <w:r>
        <w:rPr>
          <w:rFonts w:ascii="Calibri" w:cs="Calibri" w:eastAsia="Calibri" w:hAnsi="Calibri"/>
          <w:b/>
          <w:bCs/>
          <w:color w:val="333333"/>
          <w:sz w:val="22"/>
          <w:szCs w:val="22"/>
        </w:rPr>
        <w:t xml:space="preserve">S1.3 Embase (Elsevier)  —  892 records</w:t>
      </w:r>
    </w:p>
    <w:p>
      <w:pPr>
        <w:shd w:fill="F5F5F5" w:val="clear"/>
        <w:spacing w:after="20" w:line="260"/>
        <w:ind w:left="100"/>
      </w:pPr>
      <w:r>
        <w:rPr>
          <w:rFonts w:ascii="Consolas" w:cs="Consolas" w:eastAsia="Consolas" w:hAnsi="Consolas"/>
          <w:color w:val="111111"/>
          <w:sz w:val="18"/>
          <w:szCs w:val="18"/>
        </w:rPr>
        <w:t xml:space="preserve">Search date: 31 December 2024</w:t>
      </w:r>
    </w:p>
    <w:p>
      <w:pPr>
        <w:shd w:fill="F5F5F5" w:val="clear"/>
        <w:spacing w:after="20" w:line="260"/>
        <w:ind w:left="100"/>
      </w:pPr>
      <w:r>
        <w:rPr>
          <w:rFonts w:ascii="Consolas" w:cs="Consolas" w:eastAsia="Consolas" w:hAnsi="Consolas"/>
          <w:color w:val="111111"/>
          <w:sz w:val="18"/>
          <w:szCs w:val="18"/>
        </w:rPr>
        <w:t xml:space="preserve"> </w:t>
      </w:r>
    </w:p>
    <w:p>
      <w:pPr>
        <w:shd w:fill="F5F5F5" w:val="clear"/>
        <w:spacing w:after="20" w:line="260"/>
        <w:ind w:left="100"/>
      </w:pPr>
      <w:r>
        <w:rPr>
          <w:rFonts w:ascii="Consolas" w:cs="Consolas" w:eastAsia="Consolas" w:hAnsi="Consolas"/>
          <w:color w:val="111111"/>
          <w:sz w:val="18"/>
          <w:szCs w:val="18"/>
        </w:rPr>
        <w:t xml:space="preserve">#1  'hypospadias'/exp OR hypospadias:ti,ab</w:t>
      </w:r>
    </w:p>
    <w:p>
      <w:pPr>
        <w:shd w:fill="F5F5F5" w:val="clear"/>
        <w:spacing w:after="20" w:line="260"/>
        <w:ind w:left="100"/>
      </w:pPr>
      <w:r>
        <w:rPr>
          <w:rFonts w:ascii="Consolas" w:cs="Consolas" w:eastAsia="Consolas" w:hAnsi="Consolas"/>
          <w:color w:val="111111"/>
          <w:sz w:val="18"/>
          <w:szCs w:val="18"/>
        </w:rPr>
        <w:t xml:space="preserve">#2  'urethra stricture'/exp OR 'urethral stricture':ti,ab</w:t>
      </w:r>
    </w:p>
    <w:p>
      <w:pPr>
        <w:shd w:fill="F5F5F5" w:val="clear"/>
        <w:spacing w:after="20" w:line="260"/>
        <w:ind w:left="100"/>
      </w:pPr>
      <w:r>
        <w:rPr>
          <w:rFonts w:ascii="Consolas" w:cs="Consolas" w:eastAsia="Consolas" w:hAnsi="Consolas"/>
          <w:color w:val="111111"/>
          <w:sz w:val="18"/>
          <w:szCs w:val="18"/>
        </w:rPr>
        <w:t xml:space="preserve">#3  urethroplasty:ti,ab OR 'urethra reconstruction':ti,ab</w:t>
      </w:r>
    </w:p>
    <w:p>
      <w:pPr>
        <w:shd w:fill="F5F5F5" w:val="clear"/>
        <w:spacing w:after="20" w:line="260"/>
        <w:ind w:left="100"/>
      </w:pPr>
      <w:r>
        <w:rPr>
          <w:rFonts w:ascii="Consolas" w:cs="Consolas" w:eastAsia="Consolas" w:hAnsi="Consolas"/>
          <w:color w:val="111111"/>
          <w:sz w:val="18"/>
          <w:szCs w:val="18"/>
        </w:rPr>
        <w:t xml:space="preserve">#4  #1 OR #2 OR #3</w:t>
      </w:r>
    </w:p>
    <w:p>
      <w:pPr>
        <w:shd w:fill="F5F5F5" w:val="clear"/>
        <w:spacing w:after="20" w:line="260"/>
        <w:ind w:left="100"/>
      </w:pPr>
      <w:r>
        <w:rPr>
          <w:rFonts w:ascii="Consolas" w:cs="Consolas" w:eastAsia="Consolas" w:hAnsi="Consolas"/>
          <w:color w:val="111111"/>
          <w:sz w:val="18"/>
          <w:szCs w:val="18"/>
        </w:rPr>
        <w:t xml:space="preserve"> </w:t>
      </w:r>
    </w:p>
    <w:p>
      <w:pPr>
        <w:shd w:fill="F5F5F5" w:val="clear"/>
        <w:spacing w:after="20" w:line="260"/>
        <w:ind w:left="100"/>
      </w:pPr>
      <w:r>
        <w:rPr>
          <w:rFonts w:ascii="Consolas" w:cs="Consolas" w:eastAsia="Consolas" w:hAnsi="Consolas"/>
          <w:color w:val="111111"/>
          <w:sz w:val="18"/>
          <w:szCs w:val="18"/>
        </w:rPr>
        <w:t xml:space="preserve">#5  'child'/exp OR 'infant'/exp OR 'adolescent'/exp OR 'pediatrics'/exp</w:t>
      </w:r>
    </w:p>
    <w:p>
      <w:pPr>
        <w:shd w:fill="F5F5F5" w:val="clear"/>
        <w:spacing w:after="20" w:line="260"/>
        <w:ind w:left="100"/>
      </w:pPr>
      <w:r>
        <w:rPr>
          <w:rFonts w:ascii="Consolas" w:cs="Consolas" w:eastAsia="Consolas" w:hAnsi="Consolas"/>
          <w:color w:val="111111"/>
          <w:sz w:val="18"/>
          <w:szCs w:val="18"/>
        </w:rPr>
        <w:t xml:space="preserve">#6  (pediatric OR paediatric OR children OR infant* OR adolescen*):ti,ab</w:t>
      </w:r>
    </w:p>
    <w:p>
      <w:pPr>
        <w:shd w:fill="F5F5F5" w:val="clear"/>
        <w:spacing w:after="20" w:line="260"/>
        <w:ind w:left="100"/>
      </w:pPr>
      <w:r>
        <w:rPr>
          <w:rFonts w:ascii="Consolas" w:cs="Consolas" w:eastAsia="Consolas" w:hAnsi="Consolas"/>
          <w:color w:val="111111"/>
          <w:sz w:val="18"/>
          <w:szCs w:val="18"/>
        </w:rPr>
        <w:t xml:space="preserve">#7  #5 OR #6</w:t>
      </w:r>
    </w:p>
    <w:p>
      <w:pPr>
        <w:shd w:fill="F5F5F5" w:val="clear"/>
        <w:spacing w:after="20" w:line="260"/>
        <w:ind w:left="100"/>
      </w:pPr>
      <w:r>
        <w:rPr>
          <w:rFonts w:ascii="Consolas" w:cs="Consolas" w:eastAsia="Consolas" w:hAnsi="Consolas"/>
          <w:color w:val="111111"/>
          <w:sz w:val="18"/>
          <w:szCs w:val="18"/>
        </w:rPr>
        <w:t xml:space="preserve"> </w:t>
      </w:r>
    </w:p>
    <w:p>
      <w:pPr>
        <w:shd w:fill="F5F5F5" w:val="clear"/>
        <w:spacing w:after="20" w:line="260"/>
        <w:ind w:left="100"/>
      </w:pPr>
      <w:r>
        <w:rPr>
          <w:rFonts w:ascii="Consolas" w:cs="Consolas" w:eastAsia="Consolas" w:hAnsi="Consolas"/>
          <w:color w:val="111111"/>
          <w:sz w:val="18"/>
          <w:szCs w:val="18"/>
        </w:rPr>
        <w:t xml:space="preserve">#8  'follow up'/exp</w:t>
      </w:r>
    </w:p>
    <w:p>
      <w:pPr>
        <w:shd w:fill="F5F5F5" w:val="clear"/>
        <w:spacing w:after="20" w:line="260"/>
        <w:ind w:left="100"/>
      </w:pPr>
      <w:r>
        <w:rPr>
          <w:rFonts w:ascii="Consolas" w:cs="Consolas" w:eastAsia="Consolas" w:hAnsi="Consolas"/>
          <w:color w:val="111111"/>
          <w:sz w:val="18"/>
          <w:szCs w:val="18"/>
        </w:rPr>
        <w:t xml:space="preserve">#9  ('long-term' OR 'long term'):ti,ab</w:t>
      </w:r>
    </w:p>
    <w:p>
      <w:pPr>
        <w:shd w:fill="F5F5F5" w:val="clear"/>
        <w:spacing w:after="20" w:line="260"/>
        <w:ind w:left="100"/>
      </w:pPr>
      <w:r>
        <w:rPr>
          <w:rFonts w:ascii="Consolas" w:cs="Consolas" w:eastAsia="Consolas" w:hAnsi="Consolas"/>
          <w:color w:val="111111"/>
          <w:sz w:val="18"/>
          <w:szCs w:val="18"/>
        </w:rPr>
        <w:t xml:space="preserve">#10 (outcome* OR complication* OR reoperation OR fistula* OR stricture*):ti,ab</w:t>
      </w:r>
    </w:p>
    <w:p>
      <w:pPr>
        <w:shd w:fill="F5F5F5" w:val="clear"/>
        <w:spacing w:after="20" w:line="260"/>
        <w:ind w:left="100"/>
      </w:pPr>
      <w:r>
        <w:rPr>
          <w:rFonts w:ascii="Consolas" w:cs="Consolas" w:eastAsia="Consolas" w:hAnsi="Consolas"/>
          <w:color w:val="111111"/>
          <w:sz w:val="18"/>
          <w:szCs w:val="18"/>
        </w:rPr>
        <w:t xml:space="preserve">#11 #8 OR #9 OR #10</w:t>
      </w:r>
    </w:p>
    <w:p>
      <w:pPr>
        <w:shd w:fill="F5F5F5" w:val="clear"/>
        <w:spacing w:after="20" w:line="260"/>
        <w:ind w:left="100"/>
      </w:pPr>
      <w:r>
        <w:rPr>
          <w:rFonts w:ascii="Consolas" w:cs="Consolas" w:eastAsia="Consolas" w:hAnsi="Consolas"/>
          <w:color w:val="111111"/>
          <w:sz w:val="18"/>
          <w:szCs w:val="18"/>
        </w:rPr>
        <w:t xml:space="preserve"> </w:t>
      </w:r>
    </w:p>
    <w:p>
      <w:pPr>
        <w:shd w:fill="F5F5F5" w:val="clear"/>
        <w:spacing w:after="20" w:line="260"/>
        <w:ind w:left="100"/>
      </w:pPr>
      <w:r>
        <w:rPr>
          <w:rFonts w:ascii="Consolas" w:cs="Consolas" w:eastAsia="Consolas" w:hAnsi="Consolas"/>
          <w:color w:val="111111"/>
          <w:sz w:val="18"/>
          <w:szCs w:val="18"/>
        </w:rPr>
        <w:t xml:space="preserve">#12 #4 AND #7 AND #11</w:t>
      </w:r>
    </w:p>
    <w:p>
      <w:pPr>
        <w:shd w:fill="F5F5F5" w:val="clear"/>
        <w:spacing w:after="20" w:line="260"/>
        <w:ind w:left="100"/>
      </w:pPr>
      <w:r>
        <w:rPr>
          <w:rFonts w:ascii="Consolas" w:cs="Consolas" w:eastAsia="Consolas" w:hAnsi="Consolas"/>
          <w:color w:val="111111"/>
          <w:sz w:val="18"/>
          <w:szCs w:val="18"/>
        </w:rPr>
        <w:t xml:space="preserve">#13 #12 AND [english]/lim AND [humans]/lim AND [embase]/lim</w:t>
      </w:r>
    </w:p>
    <w:p>
      <w:pPr>
        <w:spacing w:after="100" w:before="220"/>
      </w:pPr>
      <w:r>
        <w:rPr>
          <w:rFonts w:ascii="Calibri" w:cs="Calibri" w:eastAsia="Calibri" w:hAnsi="Calibri"/>
          <w:b/>
          <w:bCs/>
          <w:color w:val="333333"/>
          <w:sz w:val="22"/>
          <w:szCs w:val="22"/>
        </w:rPr>
        <w:t xml:space="preserve">S1.4 Scopus  —  528 records</w:t>
      </w:r>
    </w:p>
    <w:p>
      <w:pPr>
        <w:shd w:fill="F5F5F5" w:val="clear"/>
        <w:spacing w:after="20" w:line="260"/>
        <w:ind w:left="100"/>
      </w:pPr>
      <w:r>
        <w:rPr>
          <w:rFonts w:ascii="Consolas" w:cs="Consolas" w:eastAsia="Consolas" w:hAnsi="Consolas"/>
          <w:color w:val="111111"/>
          <w:sz w:val="18"/>
          <w:szCs w:val="18"/>
        </w:rPr>
        <w:t xml:space="preserve">Search date: 31 December 2024</w:t>
      </w:r>
    </w:p>
    <w:p>
      <w:pPr>
        <w:shd w:fill="F5F5F5" w:val="clear"/>
        <w:spacing w:after="20" w:line="260"/>
        <w:ind w:left="100"/>
      </w:pPr>
      <w:r>
        <w:rPr>
          <w:rFonts w:ascii="Consolas" w:cs="Consolas" w:eastAsia="Consolas" w:hAnsi="Consolas"/>
          <w:color w:val="111111"/>
          <w:sz w:val="18"/>
          <w:szCs w:val="18"/>
        </w:rPr>
        <w:t xml:space="preserve"> </w:t>
      </w:r>
    </w:p>
    <w:p>
      <w:pPr>
        <w:shd w:fill="F5F5F5" w:val="clear"/>
        <w:spacing w:after="20" w:line="260"/>
        <w:ind w:left="100"/>
      </w:pPr>
      <w:r>
        <w:rPr>
          <w:rFonts w:ascii="Consolas" w:cs="Consolas" w:eastAsia="Consolas" w:hAnsi="Consolas"/>
          <w:color w:val="111111"/>
          <w:sz w:val="18"/>
          <w:szCs w:val="18"/>
        </w:rPr>
        <w:t xml:space="preserve">TITLE-ABS-KEY ( hypospadias OR "urethral stricture" OR urethroplasty</w:t>
      </w:r>
    </w:p>
    <w:p>
      <w:pPr>
        <w:shd w:fill="F5F5F5" w:val="clear"/>
        <w:spacing w:after="20" w:line="260"/>
        <w:ind w:left="100"/>
      </w:pPr>
      <w:r>
        <w:rPr>
          <w:rFonts w:ascii="Consolas" w:cs="Consolas" w:eastAsia="Consolas" w:hAnsi="Consolas"/>
          <w:color w:val="111111"/>
          <w:sz w:val="18"/>
          <w:szCs w:val="18"/>
        </w:rPr>
        <w:t xml:space="preserve">                OR "urethral reconstruction" )</w:t>
      </w:r>
    </w:p>
    <w:p>
      <w:pPr>
        <w:shd w:fill="F5F5F5" w:val="clear"/>
        <w:spacing w:after="20" w:line="260"/>
        <w:ind w:left="100"/>
      </w:pPr>
      <w:r>
        <w:rPr>
          <w:rFonts w:ascii="Consolas" w:cs="Consolas" w:eastAsia="Consolas" w:hAnsi="Consolas"/>
          <w:color w:val="111111"/>
          <w:sz w:val="18"/>
          <w:szCs w:val="18"/>
        </w:rPr>
        <w:t xml:space="preserve">AND TITLE-ABS-KEY ( pediatric OR paediatric OR children OR infant*</w:t>
      </w:r>
    </w:p>
    <w:p>
      <w:pPr>
        <w:shd w:fill="F5F5F5" w:val="clear"/>
        <w:spacing w:after="20" w:line="260"/>
        <w:ind w:left="100"/>
      </w:pPr>
      <w:r>
        <w:rPr>
          <w:rFonts w:ascii="Consolas" w:cs="Consolas" w:eastAsia="Consolas" w:hAnsi="Consolas"/>
          <w:color w:val="111111"/>
          <w:sz w:val="18"/>
          <w:szCs w:val="18"/>
        </w:rPr>
        <w:t xml:space="preserve">                    OR adolescen* )</w:t>
      </w:r>
    </w:p>
    <w:p>
      <w:pPr>
        <w:shd w:fill="F5F5F5" w:val="clear"/>
        <w:spacing w:after="20" w:line="260"/>
        <w:ind w:left="100"/>
      </w:pPr>
      <w:r>
        <w:rPr>
          <w:rFonts w:ascii="Consolas" w:cs="Consolas" w:eastAsia="Consolas" w:hAnsi="Consolas"/>
          <w:color w:val="111111"/>
          <w:sz w:val="18"/>
          <w:szCs w:val="18"/>
        </w:rPr>
        <w:t xml:space="preserve">AND TITLE-ABS-KEY ( "long-term" OR "long term" OR outcome* OR complication*</w:t>
      </w:r>
    </w:p>
    <w:p>
      <w:pPr>
        <w:shd w:fill="F5F5F5" w:val="clear"/>
        <w:spacing w:after="20" w:line="260"/>
        <w:ind w:left="100"/>
      </w:pPr>
      <w:r>
        <w:rPr>
          <w:rFonts w:ascii="Consolas" w:cs="Consolas" w:eastAsia="Consolas" w:hAnsi="Consolas"/>
          <w:color w:val="111111"/>
          <w:sz w:val="18"/>
          <w:szCs w:val="18"/>
        </w:rPr>
        <w:t xml:space="preserve">                    OR reoperation OR fistula* OR stricture* )</w:t>
      </w:r>
    </w:p>
    <w:p>
      <w:pPr>
        <w:shd w:fill="F5F5F5" w:val="clear"/>
        <w:spacing w:after="20" w:line="260"/>
        <w:ind w:left="100"/>
      </w:pPr>
      <w:r>
        <w:rPr>
          <w:rFonts w:ascii="Consolas" w:cs="Consolas" w:eastAsia="Consolas" w:hAnsi="Consolas"/>
          <w:color w:val="111111"/>
          <w:sz w:val="18"/>
          <w:szCs w:val="18"/>
        </w:rPr>
        <w:t xml:space="preserve">AND ( LIMIT-TO ( LANGUAGE , "English" ) )</w:t>
      </w:r>
    </w:p>
    <w:p>
      <w:pPr>
        <w:shd w:fill="F5F5F5" w:val="clear"/>
        <w:spacing w:after="20" w:line="260"/>
        <w:ind w:left="100"/>
      </w:pPr>
      <w:r>
        <w:rPr>
          <w:rFonts w:ascii="Consolas" w:cs="Consolas" w:eastAsia="Consolas" w:hAnsi="Consolas"/>
          <w:color w:val="111111"/>
          <w:sz w:val="18"/>
          <w:szCs w:val="18"/>
        </w:rPr>
        <w:t xml:space="preserve">AND ( LIMIT-TO ( DOCTYPE , "ar" ) OR LIMIT-TO ( DOCTYPE , "re" ) )</w:t>
      </w:r>
    </w:p>
    <w:p>
      <w:pPr>
        <w:spacing w:after="100" w:before="220"/>
      </w:pPr>
      <w:r>
        <w:rPr>
          <w:rFonts w:ascii="Calibri" w:cs="Calibri" w:eastAsia="Calibri" w:hAnsi="Calibri"/>
          <w:b/>
          <w:bCs/>
          <w:color w:val="333333"/>
          <w:sz w:val="22"/>
          <w:szCs w:val="22"/>
        </w:rPr>
        <w:t xml:space="preserve">S1.5 CENTRAL — Cochrane Central Register of Controlled Trials  —  303 records</w:t>
      </w:r>
    </w:p>
    <w:p>
      <w:pPr>
        <w:shd w:fill="F5F5F5" w:val="clear"/>
        <w:spacing w:after="20" w:line="260"/>
        <w:ind w:left="100"/>
      </w:pPr>
      <w:r>
        <w:rPr>
          <w:rFonts w:ascii="Consolas" w:cs="Consolas" w:eastAsia="Consolas" w:hAnsi="Consolas"/>
          <w:color w:val="111111"/>
          <w:sz w:val="18"/>
          <w:szCs w:val="18"/>
        </w:rPr>
        <w:t xml:space="preserve">Search date: 31 December 2024</w:t>
      </w:r>
    </w:p>
    <w:p>
      <w:pPr>
        <w:shd w:fill="F5F5F5" w:val="clear"/>
        <w:spacing w:after="20" w:line="260"/>
        <w:ind w:left="100"/>
      </w:pPr>
      <w:r>
        <w:rPr>
          <w:rFonts w:ascii="Consolas" w:cs="Consolas" w:eastAsia="Consolas" w:hAnsi="Consolas"/>
          <w:color w:val="111111"/>
          <w:sz w:val="18"/>
          <w:szCs w:val="18"/>
        </w:rPr>
        <w:t xml:space="preserve">Interface: Cochrane Library / Wiley</w:t>
      </w:r>
    </w:p>
    <w:p>
      <w:pPr>
        <w:shd w:fill="F5F5F5" w:val="clear"/>
        <w:spacing w:after="20" w:line="260"/>
        <w:ind w:left="100"/>
      </w:pPr>
      <w:r>
        <w:rPr>
          <w:rFonts w:ascii="Consolas" w:cs="Consolas" w:eastAsia="Consolas" w:hAnsi="Consolas"/>
          <w:color w:val="111111"/>
          <w:sz w:val="18"/>
          <w:szCs w:val="18"/>
        </w:rPr>
        <w:t xml:space="preserve"> </w:t>
      </w:r>
    </w:p>
    <w:p>
      <w:pPr>
        <w:shd w:fill="F5F5F5" w:val="clear"/>
        <w:spacing w:after="20" w:line="260"/>
        <w:ind w:left="100"/>
      </w:pPr>
      <w:r>
        <w:rPr>
          <w:rFonts w:ascii="Consolas" w:cs="Consolas" w:eastAsia="Consolas" w:hAnsi="Consolas"/>
          <w:color w:val="111111"/>
          <w:sz w:val="18"/>
          <w:szCs w:val="18"/>
        </w:rPr>
        <w:t xml:space="preserve">#1  MeSH descriptor: [Hypospadias] explode all trees</w:t>
      </w:r>
    </w:p>
    <w:p>
      <w:pPr>
        <w:shd w:fill="F5F5F5" w:val="clear"/>
        <w:spacing w:after="20" w:line="260"/>
        <w:ind w:left="100"/>
      </w:pPr>
      <w:r>
        <w:rPr>
          <w:rFonts w:ascii="Consolas" w:cs="Consolas" w:eastAsia="Consolas" w:hAnsi="Consolas"/>
          <w:color w:val="111111"/>
          <w:sz w:val="18"/>
          <w:szCs w:val="18"/>
        </w:rPr>
        <w:t xml:space="preserve">#2  MeSH descriptor: [Urethral Stricture] explode all trees</w:t>
      </w:r>
    </w:p>
    <w:p>
      <w:pPr>
        <w:shd w:fill="F5F5F5" w:val="clear"/>
        <w:spacing w:after="20" w:line="260"/>
        <w:ind w:left="100"/>
      </w:pPr>
      <w:r>
        <w:rPr>
          <w:rFonts w:ascii="Consolas" w:cs="Consolas" w:eastAsia="Consolas" w:hAnsi="Consolas"/>
          <w:color w:val="111111"/>
          <w:sz w:val="18"/>
          <w:szCs w:val="18"/>
        </w:rPr>
        <w:t xml:space="preserve">#3  (hypospadias OR "urethral stricture" OR urethroplasty</w:t>
      </w:r>
    </w:p>
    <w:p>
      <w:pPr>
        <w:shd w:fill="F5F5F5" w:val="clear"/>
        <w:spacing w:after="20" w:line="260"/>
        <w:ind w:left="100"/>
      </w:pPr>
      <w:r>
        <w:rPr>
          <w:rFonts w:ascii="Consolas" w:cs="Consolas" w:eastAsia="Consolas" w:hAnsi="Consolas"/>
          <w:color w:val="111111"/>
          <w:sz w:val="18"/>
          <w:szCs w:val="18"/>
        </w:rPr>
        <w:t xml:space="preserve">     OR "urethral reconstruction"):ti,ab,kw</w:t>
      </w:r>
    </w:p>
    <w:p>
      <w:pPr>
        <w:shd w:fill="F5F5F5" w:val="clear"/>
        <w:spacing w:after="20" w:line="260"/>
        <w:ind w:left="100"/>
      </w:pPr>
      <w:r>
        <w:rPr>
          <w:rFonts w:ascii="Consolas" w:cs="Consolas" w:eastAsia="Consolas" w:hAnsi="Consolas"/>
          <w:color w:val="111111"/>
          <w:sz w:val="18"/>
          <w:szCs w:val="18"/>
        </w:rPr>
        <w:t xml:space="preserve">#4  #1 OR #2 OR #3</w:t>
      </w:r>
    </w:p>
    <w:p>
      <w:pPr>
        <w:shd w:fill="F5F5F5" w:val="clear"/>
        <w:spacing w:after="20" w:line="260"/>
        <w:ind w:left="100"/>
      </w:pPr>
      <w:r>
        <w:rPr>
          <w:rFonts w:ascii="Consolas" w:cs="Consolas" w:eastAsia="Consolas" w:hAnsi="Consolas"/>
          <w:color w:val="111111"/>
          <w:sz w:val="18"/>
          <w:szCs w:val="18"/>
        </w:rPr>
        <w:t xml:space="preserve"> </w:t>
      </w:r>
    </w:p>
    <w:p>
      <w:pPr>
        <w:shd w:fill="F5F5F5" w:val="clear"/>
        <w:spacing w:after="20" w:line="260"/>
        <w:ind w:left="100"/>
      </w:pPr>
      <w:r>
        <w:rPr>
          <w:rFonts w:ascii="Consolas" w:cs="Consolas" w:eastAsia="Consolas" w:hAnsi="Consolas"/>
          <w:color w:val="111111"/>
          <w:sz w:val="18"/>
          <w:szCs w:val="18"/>
        </w:rPr>
        <w:t xml:space="preserve">#5  MeSH descriptor: [Child] explode all trees</w:t>
      </w:r>
    </w:p>
    <w:p>
      <w:pPr>
        <w:shd w:fill="F5F5F5" w:val="clear"/>
        <w:spacing w:after="20" w:line="260"/>
        <w:ind w:left="100"/>
      </w:pPr>
      <w:r>
        <w:rPr>
          <w:rFonts w:ascii="Consolas" w:cs="Consolas" w:eastAsia="Consolas" w:hAnsi="Consolas"/>
          <w:color w:val="111111"/>
          <w:sz w:val="18"/>
          <w:szCs w:val="18"/>
        </w:rPr>
        <w:t xml:space="preserve">#6  MeSH descriptor: [Infant] explode all trees</w:t>
      </w:r>
    </w:p>
    <w:p>
      <w:pPr>
        <w:shd w:fill="F5F5F5" w:val="clear"/>
        <w:spacing w:after="20" w:line="260"/>
        <w:ind w:left="100"/>
      </w:pPr>
      <w:r>
        <w:rPr>
          <w:rFonts w:ascii="Consolas" w:cs="Consolas" w:eastAsia="Consolas" w:hAnsi="Consolas"/>
          <w:color w:val="111111"/>
          <w:sz w:val="18"/>
          <w:szCs w:val="18"/>
        </w:rPr>
        <w:t xml:space="preserve">#7  MeSH descriptor: [Adolescent] explode all trees</w:t>
      </w:r>
    </w:p>
    <w:p>
      <w:pPr>
        <w:shd w:fill="F5F5F5" w:val="clear"/>
        <w:spacing w:after="20" w:line="260"/>
        <w:ind w:left="100"/>
      </w:pPr>
      <w:r>
        <w:rPr>
          <w:rFonts w:ascii="Consolas" w:cs="Consolas" w:eastAsia="Consolas" w:hAnsi="Consolas"/>
          <w:color w:val="111111"/>
          <w:sz w:val="18"/>
          <w:szCs w:val="18"/>
        </w:rPr>
        <w:t xml:space="preserve">#8  (pediatric OR paediatric OR children OR infant* OR adolescen*):ti,ab,kw</w:t>
      </w:r>
    </w:p>
    <w:p>
      <w:pPr>
        <w:shd w:fill="F5F5F5" w:val="clear"/>
        <w:spacing w:after="20" w:line="260"/>
        <w:ind w:left="100"/>
      </w:pPr>
      <w:r>
        <w:rPr>
          <w:rFonts w:ascii="Consolas" w:cs="Consolas" w:eastAsia="Consolas" w:hAnsi="Consolas"/>
          <w:color w:val="111111"/>
          <w:sz w:val="18"/>
          <w:szCs w:val="18"/>
        </w:rPr>
        <w:t xml:space="preserve">#9  #5 OR #6 OR #7 OR #8</w:t>
      </w:r>
    </w:p>
    <w:p>
      <w:pPr>
        <w:shd w:fill="F5F5F5" w:val="clear"/>
        <w:spacing w:after="20" w:line="260"/>
        <w:ind w:left="100"/>
      </w:pPr>
      <w:r>
        <w:rPr>
          <w:rFonts w:ascii="Consolas" w:cs="Consolas" w:eastAsia="Consolas" w:hAnsi="Consolas"/>
          <w:color w:val="111111"/>
          <w:sz w:val="18"/>
          <w:szCs w:val="18"/>
        </w:rPr>
        <w:t xml:space="preserve"> </w:t>
      </w:r>
    </w:p>
    <w:p>
      <w:pPr>
        <w:shd w:fill="F5F5F5" w:val="clear"/>
        <w:spacing w:after="20" w:line="260"/>
        <w:ind w:left="100"/>
      </w:pPr>
      <w:r>
        <w:rPr>
          <w:rFonts w:ascii="Consolas" w:cs="Consolas" w:eastAsia="Consolas" w:hAnsi="Consolas"/>
          <w:color w:val="111111"/>
          <w:sz w:val="18"/>
          <w:szCs w:val="18"/>
        </w:rPr>
        <w:t xml:space="preserve">#10 ("long-term" OR outcome* OR complication* OR reoperation</w:t>
      </w:r>
    </w:p>
    <w:p>
      <w:pPr>
        <w:shd w:fill="F5F5F5" w:val="clear"/>
        <w:spacing w:after="20" w:line="260"/>
        <w:ind w:left="100"/>
      </w:pPr>
      <w:r>
        <w:rPr>
          <w:rFonts w:ascii="Consolas" w:cs="Consolas" w:eastAsia="Consolas" w:hAnsi="Consolas"/>
          <w:color w:val="111111"/>
          <w:sz w:val="18"/>
          <w:szCs w:val="18"/>
        </w:rPr>
        <w:t xml:space="preserve">     OR fistula* OR stricture*):ti,ab,kw</w:t>
      </w:r>
    </w:p>
    <w:p>
      <w:pPr>
        <w:shd w:fill="F5F5F5" w:val="clear"/>
        <w:spacing w:after="20" w:line="260"/>
        <w:ind w:left="100"/>
      </w:pPr>
      <w:r>
        <w:rPr>
          <w:rFonts w:ascii="Consolas" w:cs="Consolas" w:eastAsia="Consolas" w:hAnsi="Consolas"/>
          <w:color w:val="111111"/>
          <w:sz w:val="18"/>
          <w:szCs w:val="18"/>
        </w:rPr>
        <w:t xml:space="preserve"> </w:t>
      </w:r>
    </w:p>
    <w:p>
      <w:pPr>
        <w:shd w:fill="F5F5F5" w:val="clear"/>
        <w:spacing w:after="20" w:line="260"/>
        <w:ind w:left="100"/>
      </w:pPr>
      <w:r>
        <w:rPr>
          <w:rFonts w:ascii="Consolas" w:cs="Consolas" w:eastAsia="Consolas" w:hAnsi="Consolas"/>
          <w:color w:val="111111"/>
          <w:sz w:val="18"/>
          <w:szCs w:val="18"/>
        </w:rPr>
        <w:t xml:space="preserve">#11 #4 AND #9 AND #10</w:t>
      </w:r>
    </w:p>
    <w:p>
      <w:pPr>
        <w:spacing w:after="100" w:before="220"/>
      </w:pPr>
      <w:r>
        <w:rPr>
          <w:rFonts w:ascii="Calibri" w:cs="Calibri" w:eastAsia="Calibri" w:hAnsi="Calibri"/>
          <w:b/>
          <w:bCs/>
          <w:color w:val="333333"/>
          <w:sz w:val="22"/>
          <w:szCs w:val="22"/>
        </w:rPr>
        <w:t xml:space="preserve">S1.6 Hand-searching  —  42 additional records</w:t>
      </w:r>
    </w:p>
    <w:p>
      <w:pPr>
        <w:spacing w:after="120" w:line="300"/>
        <w:jc w:val="both"/>
      </w:pPr>
      <w:r>
        <w:rPr>
          <w:rFonts w:ascii="Calibri" w:cs="Calibri" w:eastAsia="Calibri" w:hAnsi="Calibri"/>
          <w:sz w:val="22"/>
          <w:szCs w:val="22"/>
        </w:rPr>
        <w:t xml:space="preserve">Reference lists of all included studies and of relevant narrative and systematic reviews were hand-searched by two reviewers (FAN, MAG). An additional 42 potentially relevant records were identified through this method and combined with the database yield for de-duplication.</w:t>
      </w:r>
    </w:p>
    <w:p>
      <w:pPr>
        <w:pStyle w:val="Heading1"/>
        <w:pageBreakBefore/>
        <w:spacing w:after="160" w:before="300"/>
      </w:pPr>
      <w:r>
        <w:rPr>
          <w:rFonts w:ascii="Calibri" w:cs="Calibri" w:eastAsia="Calibri" w:hAnsi="Calibri"/>
          <w:b/>
          <w:bCs/>
          <w:color w:val="1F3A5F"/>
          <w:sz w:val="28"/>
          <w:szCs w:val="28"/>
        </w:rPr>
        <w:t xml:space="preserve">Appendix S2. Studies excluded at full-text review (n = 182)</w:t>
      </w:r>
    </w:p>
    <w:p>
      <w:pPr>
        <w:spacing w:after="120" w:line="300"/>
        <w:jc w:val="both"/>
      </w:pPr>
      <w:r>
        <w:rPr>
          <w:rFonts w:ascii="Calibri" w:cs="Calibri" w:eastAsia="Calibri" w:hAnsi="Calibri"/>
          <w:sz w:val="22"/>
          <w:szCs w:val="22"/>
        </w:rPr>
        <w:t xml:space="preserve">The following table summarises the reasons for exclusion of the 182 full-text articles that were assessed for eligibility but did not meet inclusion criteria. Exclusions are grouped by primary reason; where multiple exclusion criteria applied, only the most decisive is listed. Representative examples are provided for each category; the complete numbered list of exclusions is available on request from the corresponding author.</w:t>
      </w:r>
    </w:p>
    <w:p>
      <w:pPr>
        <w:spacing w:after="100" w:before="200"/>
        <w:jc w:val="left"/>
      </w:pPr>
      <w:r>
        <w:rPr>
          <w:rFonts w:ascii="Calibri" w:cs="Calibri" w:eastAsia="Calibri" w:hAnsi="Calibri"/>
          <w:b/>
          <w:bCs/>
          <w:color w:val="1F3A5F"/>
          <w:sz w:val="22"/>
          <w:szCs w:val="22"/>
        </w:rPr>
        <w:t xml:space="preserve">Table S2a.</w:t>
      </w:r>
      <w:r>
        <w:rPr>
          <w:rFonts w:ascii="Calibri" w:cs="Calibri" w:eastAsia="Calibri" w:hAnsi="Calibri"/>
          <w:i/>
          <w:iCs/>
          <w:color w:val="333333"/>
          <w:sz w:val="22"/>
          <w:szCs w:val="22"/>
        </w:rPr>
        <w:t xml:space="preserve"> Summary of reasons for exclusion at full-text review.</w:t>
      </w:r>
    </w:p>
    <w:tbl>
      <w:tblPr>
        <w:tblW w:type="auto" w:w="100"/>
        <w:tblBorders>
          <w:top w:val="single" w:color="888888" w:sz="6"/>
          <w:left w:val="single" w:color="888888" w:sz="6"/>
          <w:bottom w:val="single" w:color="888888" w:sz="6"/>
          <w:right w:val="single" w:color="888888" w:sz="6"/>
          <w:insideH w:val="single" w:color="888888" w:sz="6"/>
          <w:insideV w:val="single" w:color="888888" w:sz="6"/>
        </w:tblBorders>
      </w:tblPr>
      <w:tblGrid>
        <w:gridCol w:w="6800"/>
        <w:gridCol w:w="1500"/>
        <w:gridCol w:w="2500"/>
      </w:tblGrid>
      <w:tr>
        <w:tc>
          <w:tcPr>
            <w:tcW w:type="dxa" w:w="6800"/>
            <w:shd w:fill="1F3A5F" w:val="clear"/>
            <w:tcMar>
              <w:top w:type="dxa" w:w="60"/>
              <w:left w:type="dxa" w:w="90"/>
              <w:bottom w:type="dxa" w:w="60"/>
              <w:right w:type="dxa" w:w="90"/>
            </w:tcMar>
            <w:vAlign w:val="center"/>
          </w:tcPr>
          <w:p>
            <w:pPr>
              <w:spacing w:after="0"/>
              <w:jc w:val="left"/>
            </w:pPr>
            <w:r>
              <w:rPr>
                <w:rFonts w:ascii="Calibri" w:cs="Calibri" w:eastAsia="Calibri" w:hAnsi="Calibri"/>
                <w:b/>
                <w:bCs/>
                <w:color w:val="FFFFFF"/>
                <w:sz w:val="18"/>
                <w:szCs w:val="18"/>
              </w:rPr>
              <w:t xml:space="preserve">Exclusion reason</w:t>
            </w:r>
          </w:p>
        </w:tc>
        <w:tc>
          <w:tcPr>
            <w:tcW w:type="dxa" w:w="1500"/>
            <w:shd w:fill="1F3A5F" w:val="clear"/>
            <w:tcMar>
              <w:top w:type="dxa" w:w="60"/>
              <w:left w:type="dxa" w:w="90"/>
              <w:bottom w:type="dxa" w:w="60"/>
              <w:right w:type="dxa" w:w="90"/>
            </w:tcMar>
            <w:vAlign w:val="center"/>
          </w:tcPr>
          <w:p>
            <w:pPr>
              <w:spacing w:after="0"/>
              <w:jc w:val="left"/>
            </w:pPr>
            <w:r>
              <w:rPr>
                <w:rFonts w:ascii="Calibri" w:cs="Calibri" w:eastAsia="Calibri" w:hAnsi="Calibri"/>
                <w:b/>
                <w:bCs/>
                <w:color w:val="FFFFFF"/>
                <w:sz w:val="18"/>
                <w:szCs w:val="18"/>
              </w:rPr>
              <w:t xml:space="preserve">n</w:t>
            </w:r>
          </w:p>
        </w:tc>
        <w:tc>
          <w:tcPr>
            <w:tcW w:type="dxa" w:w="2500"/>
            <w:shd w:fill="1F3A5F" w:val="clear"/>
            <w:tcMar>
              <w:top w:type="dxa" w:w="60"/>
              <w:left w:type="dxa" w:w="90"/>
              <w:bottom w:type="dxa" w:w="60"/>
              <w:right w:type="dxa" w:w="90"/>
            </w:tcMar>
            <w:vAlign w:val="center"/>
          </w:tcPr>
          <w:p>
            <w:pPr>
              <w:spacing w:after="0"/>
              <w:jc w:val="left"/>
            </w:pPr>
            <w:r>
              <w:rPr>
                <w:rFonts w:ascii="Calibri" w:cs="Calibri" w:eastAsia="Calibri" w:hAnsi="Calibri"/>
                <w:b/>
                <w:bCs/>
                <w:color w:val="FFFFFF"/>
                <w:sz w:val="18"/>
                <w:szCs w:val="18"/>
              </w:rPr>
              <w:t xml:space="preserve">% of exclusions</w:t>
            </w:r>
          </w:p>
        </w:tc>
      </w:tr>
      <w:tr>
        <w:tc>
          <w:tcPr>
            <w:tcW w:type="dxa" w:w="68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Follow-up &lt; 24 months</w:t>
            </w:r>
          </w:p>
        </w:tc>
        <w:tc>
          <w:tcPr>
            <w:tcW w:type="dxa" w:w="15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51</w:t>
            </w:r>
          </w:p>
        </w:tc>
        <w:tc>
          <w:tcPr>
            <w:tcW w:type="dxa" w:w="25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28.0</w:t>
            </w:r>
          </w:p>
        </w:tc>
      </w:tr>
      <w:tr>
        <w:tc>
          <w:tcPr>
            <w:tcW w:type="dxa" w:w="68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Exclusively adult population (≥ 18 y at surgery)</w:t>
            </w:r>
          </w:p>
        </w:tc>
        <w:tc>
          <w:tcPr>
            <w:tcW w:type="dxa" w:w="15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47</w:t>
            </w:r>
          </w:p>
        </w:tc>
        <w:tc>
          <w:tcPr>
            <w:tcW w:type="dxa" w:w="25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25.8</w:t>
            </w:r>
          </w:p>
        </w:tc>
      </w:tr>
      <w:tr>
        <w:tc>
          <w:tcPr>
            <w:tcW w:type="dxa" w:w="68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Case reports, narrative reviews, editorials, letters</w:t>
            </w:r>
          </w:p>
        </w:tc>
        <w:tc>
          <w:tcPr>
            <w:tcW w:type="dxa" w:w="15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38</w:t>
            </w:r>
          </w:p>
        </w:tc>
        <w:tc>
          <w:tcPr>
            <w:tcW w:type="dxa" w:w="25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20.9</w:t>
            </w:r>
          </w:p>
        </w:tc>
      </w:tr>
      <w:tr>
        <w:tc>
          <w:tcPr>
            <w:tcW w:type="dxa" w:w="68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Insufficient or non-extractable outcome data</w:t>
            </w:r>
          </w:p>
        </w:tc>
        <w:tc>
          <w:tcPr>
            <w:tcW w:type="dxa" w:w="15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29</w:t>
            </w:r>
          </w:p>
        </w:tc>
        <w:tc>
          <w:tcPr>
            <w:tcW w:type="dxa" w:w="25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15.9</w:t>
            </w:r>
          </w:p>
        </w:tc>
      </w:tr>
      <w:tr>
        <w:tc>
          <w:tcPr>
            <w:tcW w:type="dxa" w:w="68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Non-English publication</w:t>
            </w:r>
          </w:p>
        </w:tc>
        <w:tc>
          <w:tcPr>
            <w:tcW w:type="dxa" w:w="15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17</w:t>
            </w:r>
          </w:p>
        </w:tc>
        <w:tc>
          <w:tcPr>
            <w:tcW w:type="dxa" w:w="25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9.3</w:t>
            </w:r>
          </w:p>
        </w:tc>
      </w:tr>
      <w:tr>
        <w:tc>
          <w:tcPr>
            <w:tcW w:type="dxa" w:w="6800"/>
            <w:tcMar>
              <w:top w:type="dxa" w:w="60"/>
              <w:left w:type="dxa" w:w="90"/>
              <w:bottom w:type="dxa" w:w="60"/>
              <w:right w:type="dxa" w:w="90"/>
            </w:tcMar>
            <w:vAlign w:val="center"/>
          </w:tcPr>
          <w:p>
            <w:pPr>
              <w:spacing w:after="0"/>
              <w:jc w:val="left"/>
            </w:pPr>
            <w:r>
              <w:rPr>
                <w:rFonts w:ascii="Calibri" w:cs="Calibri" w:eastAsia="Calibri" w:hAnsi="Calibri"/>
                <w:b/>
                <w:bCs/>
                <w:color w:val="111111"/>
                <w:sz w:val="18"/>
                <w:szCs w:val="18"/>
              </w:rPr>
              <w:t xml:space="preserve">Total</w:t>
            </w:r>
          </w:p>
        </w:tc>
        <w:tc>
          <w:tcPr>
            <w:tcW w:type="dxa" w:w="1500"/>
            <w:tcMar>
              <w:top w:type="dxa" w:w="60"/>
              <w:left w:type="dxa" w:w="90"/>
              <w:bottom w:type="dxa" w:w="60"/>
              <w:right w:type="dxa" w:w="90"/>
            </w:tcMar>
            <w:vAlign w:val="center"/>
          </w:tcPr>
          <w:p>
            <w:pPr>
              <w:spacing w:after="0"/>
              <w:jc w:val="center"/>
            </w:pPr>
            <w:r>
              <w:rPr>
                <w:rFonts w:ascii="Calibri" w:cs="Calibri" w:eastAsia="Calibri" w:hAnsi="Calibri"/>
                <w:b/>
                <w:bCs/>
                <w:color w:val="111111"/>
                <w:sz w:val="18"/>
                <w:szCs w:val="18"/>
              </w:rPr>
              <w:t xml:space="preserve">182</w:t>
            </w:r>
          </w:p>
        </w:tc>
        <w:tc>
          <w:tcPr>
            <w:tcW w:type="dxa" w:w="2500"/>
            <w:tcMar>
              <w:top w:type="dxa" w:w="60"/>
              <w:left w:type="dxa" w:w="90"/>
              <w:bottom w:type="dxa" w:w="60"/>
              <w:right w:type="dxa" w:w="90"/>
            </w:tcMar>
            <w:vAlign w:val="center"/>
          </w:tcPr>
          <w:p>
            <w:pPr>
              <w:spacing w:after="0"/>
              <w:jc w:val="center"/>
            </w:pPr>
            <w:r>
              <w:rPr>
                <w:rFonts w:ascii="Calibri" w:cs="Calibri" w:eastAsia="Calibri" w:hAnsi="Calibri"/>
                <w:b/>
                <w:bCs/>
                <w:color w:val="111111"/>
                <w:sz w:val="18"/>
                <w:szCs w:val="18"/>
              </w:rPr>
              <w:t xml:space="preserve">100.0</w:t>
            </w:r>
          </w:p>
        </w:tc>
      </w:tr>
    </w:tbl>
    <w:p>
      <w:pPr>
        <w:spacing w:after="100" w:before="200"/>
        <w:jc w:val="left"/>
      </w:pPr>
      <w:r>
        <w:rPr>
          <w:rFonts w:ascii="Calibri" w:cs="Calibri" w:eastAsia="Calibri" w:hAnsi="Calibri"/>
          <w:b/>
          <w:bCs/>
          <w:color w:val="1F3A5F"/>
          <w:sz w:val="22"/>
          <w:szCs w:val="22"/>
        </w:rPr>
        <w:t xml:space="preserve">Table S2b.</w:t>
      </w:r>
      <w:r>
        <w:rPr>
          <w:rFonts w:ascii="Calibri" w:cs="Calibri" w:eastAsia="Calibri" w:hAnsi="Calibri"/>
          <w:i/>
          <w:iCs/>
          <w:color w:val="333333"/>
          <w:sz w:val="22"/>
          <w:szCs w:val="22"/>
        </w:rPr>
        <w:t xml:space="preserve"> Representative examples of excluded studies with the specific reason for exclusion.</w:t>
      </w:r>
    </w:p>
    <w:tbl>
      <w:tblPr>
        <w:tblW w:type="auto" w:w="100"/>
        <w:tblBorders>
          <w:top w:val="single" w:color="888888" w:sz="6"/>
          <w:left w:val="single" w:color="888888" w:sz="6"/>
          <w:bottom w:val="single" w:color="888888" w:sz="6"/>
          <w:right w:val="single" w:color="888888" w:sz="6"/>
          <w:insideH w:val="single" w:color="888888" w:sz="6"/>
          <w:insideV w:val="single" w:color="888888" w:sz="6"/>
        </w:tblBorders>
      </w:tblPr>
      <w:tblGrid>
        <w:gridCol w:w="800"/>
        <w:gridCol w:w="3400"/>
        <w:gridCol w:w="6600"/>
      </w:tblGrid>
      <w:tr>
        <w:tc>
          <w:tcPr>
            <w:tcW w:type="dxa" w:w="800"/>
            <w:shd w:fill="1F3A5F" w:val="clear"/>
            <w:tcMar>
              <w:top w:type="dxa" w:w="60"/>
              <w:left w:type="dxa" w:w="90"/>
              <w:bottom w:type="dxa" w:w="60"/>
              <w:right w:type="dxa" w:w="90"/>
            </w:tcMar>
            <w:vAlign w:val="center"/>
          </w:tcPr>
          <w:p>
            <w:pPr>
              <w:spacing w:after="0"/>
              <w:jc w:val="left"/>
            </w:pPr>
            <w:r>
              <w:rPr>
                <w:rFonts w:ascii="Calibri" w:cs="Calibri" w:eastAsia="Calibri" w:hAnsi="Calibri"/>
                <w:b/>
                <w:bCs/>
                <w:color w:val="FFFFFF"/>
                <w:sz w:val="18"/>
                <w:szCs w:val="18"/>
              </w:rPr>
              <w:t xml:space="preserve">#</w:t>
            </w:r>
          </w:p>
        </w:tc>
        <w:tc>
          <w:tcPr>
            <w:tcW w:type="dxa" w:w="3400"/>
            <w:shd w:fill="1F3A5F" w:val="clear"/>
            <w:tcMar>
              <w:top w:type="dxa" w:w="60"/>
              <w:left w:type="dxa" w:w="90"/>
              <w:bottom w:type="dxa" w:w="60"/>
              <w:right w:type="dxa" w:w="90"/>
            </w:tcMar>
            <w:vAlign w:val="center"/>
          </w:tcPr>
          <w:p>
            <w:pPr>
              <w:spacing w:after="0"/>
              <w:jc w:val="left"/>
            </w:pPr>
            <w:r>
              <w:rPr>
                <w:rFonts w:ascii="Calibri" w:cs="Calibri" w:eastAsia="Calibri" w:hAnsi="Calibri"/>
                <w:b/>
                <w:bCs/>
                <w:color w:val="FFFFFF"/>
                <w:sz w:val="18"/>
                <w:szCs w:val="18"/>
              </w:rPr>
              <w:t xml:space="preserve">First author, year</w:t>
            </w:r>
          </w:p>
        </w:tc>
        <w:tc>
          <w:tcPr>
            <w:tcW w:type="dxa" w:w="6600"/>
            <w:shd w:fill="1F3A5F" w:val="clear"/>
            <w:tcMar>
              <w:top w:type="dxa" w:w="60"/>
              <w:left w:type="dxa" w:w="90"/>
              <w:bottom w:type="dxa" w:w="60"/>
              <w:right w:type="dxa" w:w="90"/>
            </w:tcMar>
            <w:vAlign w:val="center"/>
          </w:tcPr>
          <w:p>
            <w:pPr>
              <w:spacing w:after="0"/>
              <w:jc w:val="left"/>
            </w:pPr>
            <w:r>
              <w:rPr>
                <w:rFonts w:ascii="Calibri" w:cs="Calibri" w:eastAsia="Calibri" w:hAnsi="Calibri"/>
                <w:b/>
                <w:bCs/>
                <w:color w:val="FFFFFF"/>
                <w:sz w:val="18"/>
                <w:szCs w:val="18"/>
              </w:rPr>
              <w:t xml:space="preserve">Reason for exclusion</w:t>
            </w:r>
          </w:p>
        </w:tc>
      </w:tr>
      <w:tr>
        <w:tc>
          <w:tcPr>
            <w:tcW w:type="dxa" w:w="10800"/>
            <w:gridSpan w:val="3"/>
            <w:shd w:fill="DCE6F1" w:val="clear"/>
            <w:tcMar>
              <w:top w:type="dxa" w:w="80"/>
              <w:left w:type="dxa" w:w="100"/>
              <w:bottom w:type="dxa" w:w="80"/>
              <w:right w:type="dxa" w:w="100"/>
            </w:tcMar>
            <w:vAlign w:val="center"/>
          </w:tcPr>
          <w:p>
            <w:pPr>
              <w:spacing w:after="0"/>
            </w:pPr>
            <w:r>
              <w:rPr>
                <w:rFonts w:ascii="Calibri" w:cs="Calibri" w:eastAsia="Calibri" w:hAnsi="Calibri"/>
                <w:b/>
                <w:bCs/>
                <w:color w:val="1F3A5F"/>
                <w:sz w:val="20"/>
                <w:szCs w:val="20"/>
              </w:rPr>
              <w:t xml:space="preserve">Follow-up &lt; 24 months (n = 51; examples)</w:t>
            </w:r>
          </w:p>
        </w:tc>
      </w:tr>
      <w:tr>
        <w:tc>
          <w:tcPr>
            <w:tcW w:type="dxa" w:w="8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1</w:t>
            </w:r>
          </w:p>
        </w:tc>
        <w:tc>
          <w:tcPr>
            <w:tcW w:type="dxa" w:w="34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Braga LH et al., 2007</w:t>
            </w:r>
          </w:p>
        </w:tc>
        <w:tc>
          <w:tcPr>
            <w:tcW w:type="dxa" w:w="6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Mean follow-up 8.4 months</w:t>
            </w:r>
          </w:p>
        </w:tc>
      </w:tr>
      <w:tr>
        <w:tc>
          <w:tcPr>
            <w:tcW w:type="dxa" w:w="8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2</w:t>
            </w:r>
          </w:p>
        </w:tc>
        <w:tc>
          <w:tcPr>
            <w:tcW w:type="dxa" w:w="34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El-Sherbiny MT, 2004</w:t>
            </w:r>
          </w:p>
        </w:tc>
        <w:tc>
          <w:tcPr>
            <w:tcW w:type="dxa" w:w="6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Reported only 6-month outcomes</w:t>
            </w:r>
          </w:p>
        </w:tc>
      </w:tr>
      <w:tr>
        <w:tc>
          <w:tcPr>
            <w:tcW w:type="dxa" w:w="8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3</w:t>
            </w:r>
          </w:p>
        </w:tc>
        <w:tc>
          <w:tcPr>
            <w:tcW w:type="dxa" w:w="34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Elicevik M et al., 2007</w:t>
            </w:r>
          </w:p>
        </w:tc>
        <w:tc>
          <w:tcPr>
            <w:tcW w:type="dxa" w:w="6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Median follow-up 14 months</w:t>
            </w:r>
          </w:p>
        </w:tc>
      </w:tr>
      <w:tr>
        <w:tc>
          <w:tcPr>
            <w:tcW w:type="dxa" w:w="8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4</w:t>
            </w:r>
          </w:p>
        </w:tc>
        <w:tc>
          <w:tcPr>
            <w:tcW w:type="dxa" w:w="34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Kajbafzadeh AM et al., 2010</w:t>
            </w:r>
          </w:p>
        </w:tc>
        <w:tc>
          <w:tcPr>
            <w:tcW w:type="dxa" w:w="6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Follow-up range 3–18 months</w:t>
            </w:r>
          </w:p>
        </w:tc>
      </w:tr>
      <w:tr>
        <w:tc>
          <w:tcPr>
            <w:tcW w:type="dxa" w:w="8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5</w:t>
            </w:r>
          </w:p>
        </w:tc>
        <w:tc>
          <w:tcPr>
            <w:tcW w:type="dxa" w:w="34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Chrzan R et al., 2009</w:t>
            </w:r>
          </w:p>
        </w:tc>
        <w:tc>
          <w:tcPr>
            <w:tcW w:type="dxa" w:w="6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Follow-up &lt; 24 months for majority of cohort</w:t>
            </w:r>
          </w:p>
        </w:tc>
      </w:tr>
      <w:tr>
        <w:tc>
          <w:tcPr>
            <w:tcW w:type="dxa" w:w="10800"/>
            <w:gridSpan w:val="3"/>
            <w:shd w:fill="DCE6F1" w:val="clear"/>
            <w:tcMar>
              <w:top w:type="dxa" w:w="80"/>
              <w:left w:type="dxa" w:w="100"/>
              <w:bottom w:type="dxa" w:w="80"/>
              <w:right w:type="dxa" w:w="100"/>
            </w:tcMar>
            <w:vAlign w:val="center"/>
          </w:tcPr>
          <w:p>
            <w:pPr>
              <w:spacing w:after="0"/>
            </w:pPr>
            <w:r>
              <w:rPr>
                <w:rFonts w:ascii="Calibri" w:cs="Calibri" w:eastAsia="Calibri" w:hAnsi="Calibri"/>
                <w:b/>
                <w:bCs/>
                <w:color w:val="1F3A5F"/>
                <w:sz w:val="20"/>
                <w:szCs w:val="20"/>
              </w:rPr>
              <w:t xml:space="preserve">Exclusively adult population (n = 47; examples)</w:t>
            </w:r>
          </w:p>
        </w:tc>
      </w:tr>
      <w:tr>
        <w:tc>
          <w:tcPr>
            <w:tcW w:type="dxa" w:w="8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6</w:t>
            </w:r>
          </w:p>
        </w:tc>
        <w:tc>
          <w:tcPr>
            <w:tcW w:type="dxa" w:w="34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Andrich DE et al., 2003</w:t>
            </w:r>
          </w:p>
        </w:tc>
        <w:tc>
          <w:tcPr>
            <w:tcW w:type="dxa" w:w="6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All patients ≥ 18 years at surgery</w:t>
            </w:r>
          </w:p>
        </w:tc>
      </w:tr>
      <w:tr>
        <w:tc>
          <w:tcPr>
            <w:tcW w:type="dxa" w:w="8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7</w:t>
            </w:r>
          </w:p>
        </w:tc>
        <w:tc>
          <w:tcPr>
            <w:tcW w:type="dxa" w:w="34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Barbagli G et al., 2005</w:t>
            </w:r>
          </w:p>
        </w:tc>
        <w:tc>
          <w:tcPr>
            <w:tcW w:type="dxa" w:w="6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Adult bulbar urethroplasty series</w:t>
            </w:r>
          </w:p>
        </w:tc>
      </w:tr>
      <w:tr>
        <w:tc>
          <w:tcPr>
            <w:tcW w:type="dxa" w:w="8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8</w:t>
            </w:r>
          </w:p>
        </w:tc>
        <w:tc>
          <w:tcPr>
            <w:tcW w:type="dxa" w:w="34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Palminteri E et al., 2008</w:t>
            </w:r>
          </w:p>
        </w:tc>
        <w:tc>
          <w:tcPr>
            <w:tcW w:type="dxa" w:w="6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Mean age 42 years; no paediatric subset</w:t>
            </w:r>
          </w:p>
        </w:tc>
      </w:tr>
      <w:tr>
        <w:tc>
          <w:tcPr>
            <w:tcW w:type="dxa" w:w="8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9</w:t>
            </w:r>
          </w:p>
        </w:tc>
        <w:tc>
          <w:tcPr>
            <w:tcW w:type="dxa" w:w="34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Kulkarni S et al., 2009</w:t>
            </w:r>
          </w:p>
        </w:tc>
        <w:tc>
          <w:tcPr>
            <w:tcW w:type="dxa" w:w="6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Adult panurethral stricture series</w:t>
            </w:r>
          </w:p>
        </w:tc>
      </w:tr>
      <w:tr>
        <w:tc>
          <w:tcPr>
            <w:tcW w:type="dxa" w:w="8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10</w:t>
            </w:r>
          </w:p>
        </w:tc>
        <w:tc>
          <w:tcPr>
            <w:tcW w:type="dxa" w:w="34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Elliott SP et al., 2013</w:t>
            </w:r>
          </w:p>
        </w:tc>
        <w:tc>
          <w:tcPr>
            <w:tcW w:type="dxa" w:w="6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Adult reconstructive urology cohort</w:t>
            </w:r>
          </w:p>
        </w:tc>
      </w:tr>
      <w:tr>
        <w:tc>
          <w:tcPr>
            <w:tcW w:type="dxa" w:w="10800"/>
            <w:gridSpan w:val="3"/>
            <w:shd w:fill="DCE6F1" w:val="clear"/>
            <w:tcMar>
              <w:top w:type="dxa" w:w="80"/>
              <w:left w:type="dxa" w:w="100"/>
              <w:bottom w:type="dxa" w:w="80"/>
              <w:right w:type="dxa" w:w="100"/>
            </w:tcMar>
            <w:vAlign w:val="center"/>
          </w:tcPr>
          <w:p>
            <w:pPr>
              <w:spacing w:after="0"/>
            </w:pPr>
            <w:r>
              <w:rPr>
                <w:rFonts w:ascii="Calibri" w:cs="Calibri" w:eastAsia="Calibri" w:hAnsi="Calibri"/>
                <w:b/>
                <w:bCs/>
                <w:color w:val="1F3A5F"/>
                <w:sz w:val="20"/>
                <w:szCs w:val="20"/>
              </w:rPr>
              <w:t xml:space="preserve">Case reports, narrative reviews, editorials (n = 38; examples)</w:t>
            </w:r>
          </w:p>
        </w:tc>
      </w:tr>
      <w:tr>
        <w:tc>
          <w:tcPr>
            <w:tcW w:type="dxa" w:w="8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11</w:t>
            </w:r>
          </w:p>
        </w:tc>
        <w:tc>
          <w:tcPr>
            <w:tcW w:type="dxa" w:w="34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Bracka A, 2008</w:t>
            </w:r>
          </w:p>
        </w:tc>
        <w:tc>
          <w:tcPr>
            <w:tcW w:type="dxa" w:w="6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Narrative review of hypospadias techniques</w:t>
            </w:r>
          </w:p>
        </w:tc>
      </w:tr>
      <w:tr>
        <w:tc>
          <w:tcPr>
            <w:tcW w:type="dxa" w:w="8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12</w:t>
            </w:r>
          </w:p>
        </w:tc>
        <w:tc>
          <w:tcPr>
            <w:tcW w:type="dxa" w:w="34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Snodgrass W, 2013</w:t>
            </w:r>
          </w:p>
        </w:tc>
        <w:tc>
          <w:tcPr>
            <w:tcW w:type="dxa" w:w="6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Expert commentary; no original data</w:t>
            </w:r>
          </w:p>
        </w:tc>
      </w:tr>
      <w:tr>
        <w:tc>
          <w:tcPr>
            <w:tcW w:type="dxa" w:w="8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13</w:t>
            </w:r>
          </w:p>
        </w:tc>
        <w:tc>
          <w:tcPr>
            <w:tcW w:type="dxa" w:w="34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Cook A et al., 2005</w:t>
            </w:r>
          </w:p>
        </w:tc>
        <w:tc>
          <w:tcPr>
            <w:tcW w:type="dxa" w:w="6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Editorial on hypospadias outcomes</w:t>
            </w:r>
          </w:p>
        </w:tc>
      </w:tr>
      <w:tr>
        <w:tc>
          <w:tcPr>
            <w:tcW w:type="dxa" w:w="8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14</w:t>
            </w:r>
          </w:p>
        </w:tc>
        <w:tc>
          <w:tcPr>
            <w:tcW w:type="dxa" w:w="34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Duckett JW, 1996</w:t>
            </w:r>
          </w:p>
        </w:tc>
        <w:tc>
          <w:tcPr>
            <w:tcW w:type="dxa" w:w="6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Narrative review; historical perspective</w:t>
            </w:r>
          </w:p>
        </w:tc>
      </w:tr>
      <w:tr>
        <w:tc>
          <w:tcPr>
            <w:tcW w:type="dxa" w:w="8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15</w:t>
            </w:r>
          </w:p>
        </w:tc>
        <w:tc>
          <w:tcPr>
            <w:tcW w:type="dxa" w:w="34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Manzoni G, 2014</w:t>
            </w:r>
          </w:p>
        </w:tc>
        <w:tc>
          <w:tcPr>
            <w:tcW w:type="dxa" w:w="6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Letter to editor; opinion piece</w:t>
            </w:r>
          </w:p>
        </w:tc>
      </w:tr>
      <w:tr>
        <w:tc>
          <w:tcPr>
            <w:tcW w:type="dxa" w:w="10800"/>
            <w:gridSpan w:val="3"/>
            <w:shd w:fill="DCE6F1" w:val="clear"/>
            <w:tcMar>
              <w:top w:type="dxa" w:w="80"/>
              <w:left w:type="dxa" w:w="100"/>
              <w:bottom w:type="dxa" w:w="80"/>
              <w:right w:type="dxa" w:w="100"/>
            </w:tcMar>
            <w:vAlign w:val="center"/>
          </w:tcPr>
          <w:p>
            <w:pPr>
              <w:spacing w:after="0"/>
            </w:pPr>
            <w:r>
              <w:rPr>
                <w:rFonts w:ascii="Calibri" w:cs="Calibri" w:eastAsia="Calibri" w:hAnsi="Calibri"/>
                <w:b/>
                <w:bCs/>
                <w:color w:val="1F3A5F"/>
                <w:sz w:val="20"/>
                <w:szCs w:val="20"/>
              </w:rPr>
              <w:t xml:space="preserve">Insufficient or non-extractable outcome data (n = 29; examples)</w:t>
            </w:r>
          </w:p>
        </w:tc>
      </w:tr>
      <w:tr>
        <w:tc>
          <w:tcPr>
            <w:tcW w:type="dxa" w:w="8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16</w:t>
            </w:r>
          </w:p>
        </w:tc>
        <w:tc>
          <w:tcPr>
            <w:tcW w:type="dxa" w:w="34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Aoki K et al., 2008</w:t>
            </w:r>
          </w:p>
        </w:tc>
        <w:tc>
          <w:tcPr>
            <w:tcW w:type="dxa" w:w="6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Denominators for complication rates not reported</w:t>
            </w:r>
          </w:p>
        </w:tc>
      </w:tr>
      <w:tr>
        <w:tc>
          <w:tcPr>
            <w:tcW w:type="dxa" w:w="8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17</w:t>
            </w:r>
          </w:p>
        </w:tc>
        <w:tc>
          <w:tcPr>
            <w:tcW w:type="dxa" w:w="34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Djordjevic ML et al., 2006</w:t>
            </w:r>
          </w:p>
        </w:tc>
        <w:tc>
          <w:tcPr>
            <w:tcW w:type="dxa" w:w="6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Combined paediatric and adult data non-separable</w:t>
            </w:r>
          </w:p>
        </w:tc>
      </w:tr>
      <w:tr>
        <w:tc>
          <w:tcPr>
            <w:tcW w:type="dxa" w:w="8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18</w:t>
            </w:r>
          </w:p>
        </w:tc>
        <w:tc>
          <w:tcPr>
            <w:tcW w:type="dxa" w:w="34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Shanberg AM et al., 2001</w:t>
            </w:r>
          </w:p>
        </w:tc>
        <w:tc>
          <w:tcPr>
            <w:tcW w:type="dxa" w:w="6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Outcomes reported per procedure, not per patient</w:t>
            </w:r>
          </w:p>
        </w:tc>
      </w:tr>
      <w:tr>
        <w:tc>
          <w:tcPr>
            <w:tcW w:type="dxa" w:w="8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19</w:t>
            </w:r>
          </w:p>
        </w:tc>
        <w:tc>
          <w:tcPr>
            <w:tcW w:type="dxa" w:w="34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Perlmutter AE et al., 2006</w:t>
            </w:r>
          </w:p>
        </w:tc>
        <w:tc>
          <w:tcPr>
            <w:tcW w:type="dxa" w:w="6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Complications reported as composite; not extractable</w:t>
            </w:r>
          </w:p>
        </w:tc>
      </w:tr>
      <w:tr>
        <w:tc>
          <w:tcPr>
            <w:tcW w:type="dxa" w:w="8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20</w:t>
            </w:r>
          </w:p>
        </w:tc>
        <w:tc>
          <w:tcPr>
            <w:tcW w:type="dxa" w:w="34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Cook A et al., 2005</w:t>
            </w:r>
          </w:p>
        </w:tc>
        <w:tc>
          <w:tcPr>
            <w:tcW w:type="dxa" w:w="6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Aggregated multi-technique data without breakdown</w:t>
            </w:r>
          </w:p>
        </w:tc>
      </w:tr>
      <w:tr>
        <w:tc>
          <w:tcPr>
            <w:tcW w:type="dxa" w:w="10800"/>
            <w:gridSpan w:val="3"/>
            <w:shd w:fill="DCE6F1" w:val="clear"/>
            <w:tcMar>
              <w:top w:type="dxa" w:w="80"/>
              <w:left w:type="dxa" w:w="100"/>
              <w:bottom w:type="dxa" w:w="80"/>
              <w:right w:type="dxa" w:w="100"/>
            </w:tcMar>
            <w:vAlign w:val="center"/>
          </w:tcPr>
          <w:p>
            <w:pPr>
              <w:spacing w:after="0"/>
            </w:pPr>
            <w:r>
              <w:rPr>
                <w:rFonts w:ascii="Calibri" w:cs="Calibri" w:eastAsia="Calibri" w:hAnsi="Calibri"/>
                <w:b/>
                <w:bCs/>
                <w:color w:val="1F3A5F"/>
                <w:sz w:val="20"/>
                <w:szCs w:val="20"/>
              </w:rPr>
              <w:t xml:space="preserve">Non-English publication (n = 17; examples)</w:t>
            </w:r>
          </w:p>
        </w:tc>
      </w:tr>
      <w:tr>
        <w:tc>
          <w:tcPr>
            <w:tcW w:type="dxa" w:w="8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21</w:t>
            </w:r>
          </w:p>
        </w:tc>
        <w:tc>
          <w:tcPr>
            <w:tcW w:type="dxa" w:w="34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Kajiwara M et al., 2005</w:t>
            </w:r>
          </w:p>
        </w:tc>
        <w:tc>
          <w:tcPr>
            <w:tcW w:type="dxa" w:w="6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Japanese-language publication</w:t>
            </w:r>
          </w:p>
        </w:tc>
      </w:tr>
      <w:tr>
        <w:tc>
          <w:tcPr>
            <w:tcW w:type="dxa" w:w="8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22</w:t>
            </w:r>
          </w:p>
        </w:tc>
        <w:tc>
          <w:tcPr>
            <w:tcW w:type="dxa" w:w="34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Riedmiller H et al., 2001</w:t>
            </w:r>
          </w:p>
        </w:tc>
        <w:tc>
          <w:tcPr>
            <w:tcW w:type="dxa" w:w="6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German-language publication</w:t>
            </w:r>
          </w:p>
        </w:tc>
      </w:tr>
      <w:tr>
        <w:tc>
          <w:tcPr>
            <w:tcW w:type="dxa" w:w="8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23</w:t>
            </w:r>
          </w:p>
        </w:tc>
        <w:tc>
          <w:tcPr>
            <w:tcW w:type="dxa" w:w="34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Xu YM et al., 2009</w:t>
            </w:r>
          </w:p>
        </w:tc>
        <w:tc>
          <w:tcPr>
            <w:tcW w:type="dxa" w:w="6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Chinese-language publication</w:t>
            </w:r>
          </w:p>
        </w:tc>
      </w:tr>
      <w:tr>
        <w:tc>
          <w:tcPr>
            <w:tcW w:type="dxa" w:w="8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24</w:t>
            </w:r>
          </w:p>
        </w:tc>
        <w:tc>
          <w:tcPr>
            <w:tcW w:type="dxa" w:w="34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Marte A et al., 2007</w:t>
            </w:r>
          </w:p>
        </w:tc>
        <w:tc>
          <w:tcPr>
            <w:tcW w:type="dxa" w:w="6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Italian-language publication</w:t>
            </w:r>
          </w:p>
        </w:tc>
      </w:tr>
      <w:tr>
        <w:tc>
          <w:tcPr>
            <w:tcW w:type="dxa" w:w="8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25</w:t>
            </w:r>
          </w:p>
        </w:tc>
        <w:tc>
          <w:tcPr>
            <w:tcW w:type="dxa" w:w="34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Levy JB et al., 1997</w:t>
            </w:r>
          </w:p>
        </w:tc>
        <w:tc>
          <w:tcPr>
            <w:tcW w:type="dxa" w:w="6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French-language publication</w:t>
            </w:r>
          </w:p>
        </w:tc>
      </w:tr>
    </w:tbl>
    <w:p>
      <w:pPr>
        <w:spacing w:after="240" w:line="300"/>
        <w:jc w:val="both"/>
      </w:pPr>
      <w:r>
        <w:rPr>
          <w:rFonts w:ascii="Calibri" w:cs="Calibri" w:eastAsia="Calibri" w:hAnsi="Calibri"/>
          <w:i/>
          <w:iCs/>
          <w:sz w:val="20"/>
          <w:szCs w:val="20"/>
        </w:rPr>
        <w:t xml:space="preserve">Notes: Table S2b lists 25 illustrative examples from the 182 excluded studies. The complete list — with full reference details and specific exclusion rationale for each of the remaining 157 studies — is maintained in the review team's data-extraction spreadsheet and can be obtained from the corresponding author on reasonable request.</w:t>
      </w:r>
    </w:p>
    <w:p>
      <w:pPr>
        <w:pStyle w:val="Heading1"/>
        <w:pageBreakBefore/>
        <w:spacing w:after="160" w:before="300"/>
      </w:pPr>
      <w:r>
        <w:rPr>
          <w:rFonts w:ascii="Calibri" w:cs="Calibri" w:eastAsia="Calibri" w:hAnsi="Calibri"/>
          <w:b/>
          <w:bCs/>
          <w:color w:val="1F3A5F"/>
          <w:sz w:val="28"/>
          <w:szCs w:val="28"/>
        </w:rPr>
        <w:t xml:space="preserve">Figure S1. Risk-of-bias assessment — traffic-light plot</w:t>
      </w:r>
    </w:p>
    <w:p>
      <w:pPr>
        <w:spacing w:after="120" w:line="300"/>
        <w:jc w:val="both"/>
      </w:pPr>
      <w:r>
        <w:rPr>
          <w:rFonts w:ascii="Calibri" w:cs="Calibri" w:eastAsia="Calibri" w:hAnsi="Calibri"/>
          <w:sz w:val="22"/>
          <w:szCs w:val="22"/>
        </w:rPr>
        <w:t xml:space="preserve">Risk of bias for each of the 22 included studies was assessed using the Newcastle-Ottawa Scale (NOS) for cohort studies. The scale rates studies across three domains — Selection (maximum 4 stars), Comparability (maximum 2 stars), and Outcome (maximum 3 stars) — for a maximum total score of 9. Traffic-light coding reflects the proportion of the maximum score achieved in each domain: green (≥ 75%, low risk of bias); amber (50–74%, some concerns); red (&lt; 50%, high risk of bias). Two reviewers (FAN, UN) independently rated each study, with discrepancies resolved by consensus with a third reviewer (GNM).</w:t>
      </w:r>
    </w:p>
    <w:p>
      <w:pPr>
        <w:spacing w:after="120" w:before="200"/>
        <w:jc w:val="center"/>
      </w:pPr>
      <w:r>
        <w:drawing>
          <wp:inline distT="0" distB="0" distL="0" distR="0">
            <wp:extent cx="4953000" cy="438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953000" cy="4381500"/>
                    </a:xfrm>
                    <a:prstGeom prst="rect">
                      <a:avLst/>
                    </a:prstGeom>
                  </pic:spPr>
                </pic:pic>
              </a:graphicData>
            </a:graphic>
          </wp:inline>
        </w:drawing>
      </w:r>
    </w:p>
    <w:p>
      <w:pPr>
        <w:spacing w:after="100" w:before="220"/>
      </w:pPr>
      <w:r>
        <w:rPr>
          <w:rFonts w:ascii="Calibri" w:cs="Calibri" w:eastAsia="Calibri" w:hAnsi="Calibri"/>
          <w:b/>
          <w:bCs/>
          <w:color w:val="333333"/>
          <w:sz w:val="22"/>
          <w:szCs w:val="22"/>
        </w:rPr>
        <w:t xml:space="preserve">Interpretation</w:t>
      </w:r>
    </w:p>
    <w:p>
      <w:pPr>
        <w:spacing w:after="120" w:line="300"/>
        <w:jc w:val="both"/>
      </w:pPr>
      <w:r>
        <w:rPr>
          <w:rFonts w:ascii="Calibri" w:cs="Calibri" w:eastAsia="Calibri" w:hAnsi="Calibri"/>
          <w:sz w:val="22"/>
          <w:szCs w:val="22"/>
        </w:rPr>
        <w:t xml:space="preserve">Fourteen of the 22 included studies (63.6%) achieved a total NOS score of ≥ 7 out of 9 and were classified as high quality. Seven studies (31.8%) scored 5–6, corresponding to moderate quality, and one study (4.5%) scored below 5 (low quality). The Selection domain was the strongest across the included body of evidence — 20 of 22 studies (90.9%) achieved either 3 or 4 stars, reflecting well-defined cohorts drawn from representative populations. The Comparability domain was the weakest, with only 10 of 22 studies (45.5%) achieving both available stars, largely because prospective adjustment for hypospadias severity and prior surgical history was infrequent in retrospective series. The Outcome domain was intermediate, with 15 of 22 studies (68.2%) achieving the full 3 stars — most commonly limited by incomplete follow-up in the smaller retrospective cohorts.</w:t>
      </w:r>
    </w:p>
    <w:p>
      <w:pPr>
        <w:spacing w:after="120" w:line="300"/>
        <w:jc w:val="both"/>
      </w:pPr>
      <w:r>
        <w:rPr>
          <w:rFonts w:ascii="Calibri" w:cs="Calibri" w:eastAsia="Calibri" w:hAnsi="Calibri"/>
          <w:sz w:val="22"/>
          <w:szCs w:val="22"/>
        </w:rPr>
        <w:t xml:space="preserve">Sensitivity analysis restricted to the 14 high-quality studies (NOS ≥ 7) yielded a pooled long-term complication rate of 21.8% (95% CI 19.4–24.5), which is closely comparable to the primary pooled estimate of 22.9% derived from all 18 quantitatively synthesised studies. This supports the robustness of the main finding to study-level risk of bias.</w:t>
      </w:r>
    </w:p>
    <w:p>
      <w:pPr>
        <w:pStyle w:val="Heading1"/>
        <w:pageBreakBefore/>
        <w:spacing w:after="160" w:before="300"/>
      </w:pPr>
      <w:r>
        <w:rPr>
          <w:rFonts w:ascii="Calibri" w:cs="Calibri" w:eastAsia="Calibri" w:hAnsi="Calibri"/>
          <w:b/>
          <w:bCs/>
          <w:color w:val="1F3A5F"/>
          <w:sz w:val="28"/>
          <w:szCs w:val="28"/>
        </w:rPr>
        <w:t xml:space="preserve">Appendix S3. GRADE Summary of Findings table</w:t>
      </w:r>
    </w:p>
    <w:p>
      <w:pPr>
        <w:pBdr>
          <w:left w:val="single" w:color="D97706" w:sz="24"/>
        </w:pBdr>
        <w:shd w:fill="FFF4E5" w:val="clear"/>
        <w:spacing w:after="200" w:before="100" w:line="300"/>
        <w:ind w:left="200" w:right="200"/>
      </w:pPr>
      <w:r>
        <w:rPr>
          <w:rFonts w:ascii="Calibri" w:cs="Calibri" w:eastAsia="Calibri" w:hAnsi="Calibri"/>
          <w:b/>
          <w:bCs/>
          <w:color w:val="8B4A00"/>
          <w:sz w:val="22"/>
          <w:szCs w:val="22"/>
        </w:rPr>
        <w:t xml:space="preserve">Protocol amendment. </w:t>
      </w:r>
      <w:r>
        <w:rPr>
          <w:rFonts w:ascii="Calibri" w:cs="Calibri" w:eastAsia="Calibri" w:hAnsi="Calibri"/>
          <w:color w:val="111111"/>
          <w:sz w:val="22"/>
          <w:szCs w:val="22"/>
        </w:rPr>
        <w:t xml:space="preserve">The original PROSPERO registration (CRD4202XXXXXX, 05 August 2026) stated that certainty of findings would not be formally assessed. Following peer-review recommendation and to conform with PRISMA 2020 Items 15 and 22, a post-hoc decision was taken by the review team to add a GRADE Summary of Findings table for the pre-specified critical outcomes. This amendment does not alter the eligibility criteria, search strategy, data-extraction plan, or synthesis methods. The change was made before results were finalised and is reported here transparently.</w:t>
      </w:r>
    </w:p>
    <w:p>
      <w:pPr>
        <w:spacing w:after="120" w:line="300"/>
        <w:jc w:val="both"/>
      </w:pPr>
      <w:r>
        <w:rPr>
          <w:rFonts w:ascii="Calibri" w:cs="Calibri" w:eastAsia="Calibri" w:hAnsi="Calibri"/>
          <w:sz w:val="22"/>
          <w:szCs w:val="22"/>
        </w:rPr>
        <w:t xml:space="preserve">Certainty of evidence was rated for each critical and important outcome using the GRADE (Grading of Recommendations, Assessment, Development and Evaluations) framework. Because the included studies were overwhelmingly observational (17 retrospective cohorts, 3 prospective cohorts, 2 randomised trials), the starting certainty was low, and each outcome was then re-evaluated across five domains — risk of bias, inconsistency, indirectness, imprecision, and publication bias — to determine the final certainty rating (High, Moderate, Low, or Very Low).</w:t>
      </w:r>
    </w:p>
    <w:p>
      <w:pPr>
        <w:spacing w:after="100" w:before="200"/>
        <w:jc w:val="left"/>
      </w:pPr>
      <w:r>
        <w:rPr>
          <w:rFonts w:ascii="Calibri" w:cs="Calibri" w:eastAsia="Calibri" w:hAnsi="Calibri"/>
          <w:b/>
          <w:bCs/>
          <w:color w:val="1F3A5F"/>
          <w:sz w:val="22"/>
          <w:szCs w:val="22"/>
        </w:rPr>
        <w:t xml:space="preserve">Table S3.</w:t>
      </w:r>
      <w:r>
        <w:rPr>
          <w:rFonts w:ascii="Calibri" w:cs="Calibri" w:eastAsia="Calibri" w:hAnsi="Calibri"/>
          <w:i/>
          <w:iCs/>
          <w:color w:val="333333"/>
          <w:sz w:val="22"/>
          <w:szCs w:val="22"/>
        </w:rPr>
        <w:t xml:space="preserve"> GRADE Summary of Findings for critical and important outcomes of pediatric urethroplasty.</w:t>
      </w:r>
    </w:p>
    <w:tbl>
      <w:tblPr>
        <w:tblW w:type="auto" w:w="100"/>
        <w:tblBorders>
          <w:top w:val="single" w:color="888888" w:sz="6"/>
          <w:left w:val="single" w:color="888888" w:sz="6"/>
          <w:bottom w:val="single" w:color="888888" w:sz="6"/>
          <w:right w:val="single" w:color="888888" w:sz="6"/>
          <w:insideH w:val="single" w:color="888888" w:sz="6"/>
          <w:insideV w:val="single" w:color="888888" w:sz="6"/>
        </w:tblBorders>
      </w:tblPr>
      <w:tblGrid>
        <w:gridCol w:w="1600"/>
        <w:gridCol w:w="900"/>
        <w:gridCol w:w="1100"/>
        <w:gridCol w:w="900"/>
        <w:gridCol w:w="900"/>
        <w:gridCol w:w="900"/>
        <w:gridCol w:w="900"/>
        <w:gridCol w:w="900"/>
        <w:gridCol w:w="1500"/>
      </w:tblGrid>
      <w:tr>
        <w:tc>
          <w:tcPr>
            <w:tcW w:type="dxa" w:w="1600"/>
            <w:shd w:fill="1F3A5F" w:val="clear"/>
            <w:tcMar>
              <w:top w:type="dxa" w:w="60"/>
              <w:left w:type="dxa" w:w="90"/>
              <w:bottom w:type="dxa" w:w="60"/>
              <w:right w:type="dxa" w:w="90"/>
            </w:tcMar>
            <w:vAlign w:val="center"/>
          </w:tcPr>
          <w:p>
            <w:pPr>
              <w:spacing w:after="0"/>
              <w:jc w:val="left"/>
            </w:pPr>
            <w:r>
              <w:rPr>
                <w:rFonts w:ascii="Calibri" w:cs="Calibri" w:eastAsia="Calibri" w:hAnsi="Calibri"/>
                <w:b/>
                <w:bCs/>
                <w:color w:val="FFFFFF"/>
                <w:sz w:val="18"/>
                <w:szCs w:val="18"/>
              </w:rPr>
              <w:t xml:space="preserve">Outcome</w:t>
            </w:r>
          </w:p>
        </w:tc>
        <w:tc>
          <w:tcPr>
            <w:tcW w:type="dxa" w:w="900"/>
            <w:shd w:fill="1F3A5F" w:val="clear"/>
            <w:tcMar>
              <w:top w:type="dxa" w:w="60"/>
              <w:left w:type="dxa" w:w="90"/>
              <w:bottom w:type="dxa" w:w="60"/>
              <w:right w:type="dxa" w:w="90"/>
            </w:tcMar>
            <w:vAlign w:val="center"/>
          </w:tcPr>
          <w:p>
            <w:pPr>
              <w:spacing w:after="0"/>
              <w:jc w:val="left"/>
            </w:pPr>
            <w:r>
              <w:rPr>
                <w:rFonts w:ascii="Calibri" w:cs="Calibri" w:eastAsia="Calibri" w:hAnsi="Calibri"/>
                <w:b/>
                <w:bCs/>
                <w:color w:val="FFFFFF"/>
                <w:sz w:val="18"/>
                <w:szCs w:val="18"/>
              </w:rPr>
              <w:t xml:space="preserve">Studies (patients)</w:t>
            </w:r>
          </w:p>
        </w:tc>
        <w:tc>
          <w:tcPr>
            <w:tcW w:type="dxa" w:w="1100"/>
            <w:shd w:fill="1F3A5F" w:val="clear"/>
            <w:tcMar>
              <w:top w:type="dxa" w:w="60"/>
              <w:left w:type="dxa" w:w="90"/>
              <w:bottom w:type="dxa" w:w="60"/>
              <w:right w:type="dxa" w:w="90"/>
            </w:tcMar>
            <w:vAlign w:val="center"/>
          </w:tcPr>
          <w:p>
            <w:pPr>
              <w:spacing w:after="0"/>
              <w:jc w:val="left"/>
            </w:pPr>
            <w:r>
              <w:rPr>
                <w:rFonts w:ascii="Calibri" w:cs="Calibri" w:eastAsia="Calibri" w:hAnsi="Calibri"/>
                <w:b/>
                <w:bCs/>
                <w:color w:val="FFFFFF"/>
                <w:sz w:val="18"/>
                <w:szCs w:val="18"/>
              </w:rPr>
              <w:t xml:space="preserve">Pooled effect [95% CI]</w:t>
            </w:r>
          </w:p>
        </w:tc>
        <w:tc>
          <w:tcPr>
            <w:tcW w:type="dxa" w:w="900"/>
            <w:shd w:fill="1F3A5F" w:val="clear"/>
            <w:tcMar>
              <w:top w:type="dxa" w:w="60"/>
              <w:left w:type="dxa" w:w="90"/>
              <w:bottom w:type="dxa" w:w="60"/>
              <w:right w:type="dxa" w:w="90"/>
            </w:tcMar>
            <w:vAlign w:val="center"/>
          </w:tcPr>
          <w:p>
            <w:pPr>
              <w:spacing w:after="0"/>
              <w:jc w:val="left"/>
            </w:pPr>
            <w:r>
              <w:rPr>
                <w:rFonts w:ascii="Calibri" w:cs="Calibri" w:eastAsia="Calibri" w:hAnsi="Calibri"/>
                <w:b/>
                <w:bCs/>
                <w:color w:val="FFFFFF"/>
                <w:sz w:val="18"/>
                <w:szCs w:val="18"/>
              </w:rPr>
              <w:t xml:space="preserve">Risk of bias</w:t>
            </w:r>
          </w:p>
        </w:tc>
        <w:tc>
          <w:tcPr>
            <w:tcW w:type="dxa" w:w="900"/>
            <w:shd w:fill="1F3A5F" w:val="clear"/>
            <w:tcMar>
              <w:top w:type="dxa" w:w="60"/>
              <w:left w:type="dxa" w:w="90"/>
              <w:bottom w:type="dxa" w:w="60"/>
              <w:right w:type="dxa" w:w="90"/>
            </w:tcMar>
            <w:vAlign w:val="center"/>
          </w:tcPr>
          <w:p>
            <w:pPr>
              <w:spacing w:after="0"/>
              <w:jc w:val="left"/>
            </w:pPr>
            <w:r>
              <w:rPr>
                <w:rFonts w:ascii="Calibri" w:cs="Calibri" w:eastAsia="Calibri" w:hAnsi="Calibri"/>
                <w:b/>
                <w:bCs/>
                <w:color w:val="FFFFFF"/>
                <w:sz w:val="18"/>
                <w:szCs w:val="18"/>
              </w:rPr>
              <w:t xml:space="preserve">Inconsistency</w:t>
            </w:r>
          </w:p>
        </w:tc>
        <w:tc>
          <w:tcPr>
            <w:tcW w:type="dxa" w:w="900"/>
            <w:shd w:fill="1F3A5F" w:val="clear"/>
            <w:tcMar>
              <w:top w:type="dxa" w:w="60"/>
              <w:left w:type="dxa" w:w="90"/>
              <w:bottom w:type="dxa" w:w="60"/>
              <w:right w:type="dxa" w:w="90"/>
            </w:tcMar>
            <w:vAlign w:val="center"/>
          </w:tcPr>
          <w:p>
            <w:pPr>
              <w:spacing w:after="0"/>
              <w:jc w:val="left"/>
            </w:pPr>
            <w:r>
              <w:rPr>
                <w:rFonts w:ascii="Calibri" w:cs="Calibri" w:eastAsia="Calibri" w:hAnsi="Calibri"/>
                <w:b/>
                <w:bCs/>
                <w:color w:val="FFFFFF"/>
                <w:sz w:val="18"/>
                <w:szCs w:val="18"/>
              </w:rPr>
              <w:t xml:space="preserve">Indirectness</w:t>
            </w:r>
          </w:p>
        </w:tc>
        <w:tc>
          <w:tcPr>
            <w:tcW w:type="dxa" w:w="900"/>
            <w:shd w:fill="1F3A5F" w:val="clear"/>
            <w:tcMar>
              <w:top w:type="dxa" w:w="60"/>
              <w:left w:type="dxa" w:w="90"/>
              <w:bottom w:type="dxa" w:w="60"/>
              <w:right w:type="dxa" w:w="90"/>
            </w:tcMar>
            <w:vAlign w:val="center"/>
          </w:tcPr>
          <w:p>
            <w:pPr>
              <w:spacing w:after="0"/>
              <w:jc w:val="left"/>
            </w:pPr>
            <w:r>
              <w:rPr>
                <w:rFonts w:ascii="Calibri" w:cs="Calibri" w:eastAsia="Calibri" w:hAnsi="Calibri"/>
                <w:b/>
                <w:bCs/>
                <w:color w:val="FFFFFF"/>
                <w:sz w:val="18"/>
                <w:szCs w:val="18"/>
              </w:rPr>
              <w:t xml:space="preserve">Imprecision</w:t>
            </w:r>
          </w:p>
        </w:tc>
        <w:tc>
          <w:tcPr>
            <w:tcW w:type="dxa" w:w="900"/>
            <w:shd w:fill="1F3A5F" w:val="clear"/>
            <w:tcMar>
              <w:top w:type="dxa" w:w="60"/>
              <w:left w:type="dxa" w:w="90"/>
              <w:bottom w:type="dxa" w:w="60"/>
              <w:right w:type="dxa" w:w="90"/>
            </w:tcMar>
            <w:vAlign w:val="center"/>
          </w:tcPr>
          <w:p>
            <w:pPr>
              <w:spacing w:after="0"/>
              <w:jc w:val="left"/>
            </w:pPr>
            <w:r>
              <w:rPr>
                <w:rFonts w:ascii="Calibri" w:cs="Calibri" w:eastAsia="Calibri" w:hAnsi="Calibri"/>
                <w:b/>
                <w:bCs/>
                <w:color w:val="FFFFFF"/>
                <w:sz w:val="18"/>
                <w:szCs w:val="18"/>
              </w:rPr>
              <w:t xml:space="preserve">Publication bias</w:t>
            </w:r>
          </w:p>
        </w:tc>
        <w:tc>
          <w:tcPr>
            <w:tcW w:type="dxa" w:w="1500"/>
            <w:shd w:fill="1F3A5F" w:val="clear"/>
            <w:tcMar>
              <w:top w:type="dxa" w:w="60"/>
              <w:left w:type="dxa" w:w="90"/>
              <w:bottom w:type="dxa" w:w="60"/>
              <w:right w:type="dxa" w:w="90"/>
            </w:tcMar>
            <w:vAlign w:val="center"/>
          </w:tcPr>
          <w:p>
            <w:pPr>
              <w:spacing w:after="0"/>
              <w:jc w:val="left"/>
            </w:pPr>
            <w:r>
              <w:rPr>
                <w:rFonts w:ascii="Calibri" w:cs="Calibri" w:eastAsia="Calibri" w:hAnsi="Calibri"/>
                <w:b/>
                <w:bCs/>
                <w:color w:val="FFFFFF"/>
                <w:sz w:val="18"/>
                <w:szCs w:val="18"/>
              </w:rPr>
              <w:t xml:space="preserve">Certainty (GRADE)</w:t>
            </w:r>
          </w:p>
        </w:tc>
      </w:tr>
      <w:tr>
        <w:tc>
          <w:tcPr>
            <w:tcW w:type="dxa" w:w="1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Overall long-term complication rate</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18 (3,842)</w:t>
            </w:r>
          </w:p>
        </w:tc>
        <w:tc>
          <w:tcPr>
            <w:tcW w:type="dxa" w:w="11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22.9% [20.8–25.2]</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Not serious</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B54545"/>
                <w:sz w:val="18"/>
                <w:szCs w:val="18"/>
              </w:rPr>
              <w:t xml:space="preserve">Serious¹</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Not serious</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Not serious</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Undetected</w:t>
            </w:r>
          </w:p>
        </w:tc>
        <w:tc>
          <w:tcPr>
            <w:tcW w:type="dxa" w:w="1500"/>
            <w:shd w:fill="FFF4E5" w:val="clear"/>
            <w:tcMar>
              <w:top w:type="dxa" w:w="60"/>
              <w:left w:type="dxa" w:w="90"/>
              <w:bottom w:type="dxa" w:w="60"/>
              <w:right w:type="dxa" w:w="90"/>
            </w:tcMar>
            <w:vAlign w:val="center"/>
          </w:tcPr>
          <w:p>
            <w:pPr>
              <w:spacing w:after="0"/>
              <w:jc w:val="center"/>
            </w:pPr>
            <w:r>
              <w:rPr>
                <w:rFonts w:ascii="Calibri" w:cs="Calibri" w:eastAsia="Calibri" w:hAnsi="Calibri"/>
                <w:b/>
                <w:bCs/>
                <w:color w:val="111111"/>
                <w:sz w:val="18"/>
                <w:szCs w:val="18"/>
              </w:rPr>
              <w:t xml:space="preserve">⊕⊕◯◯  LOW</w:t>
            </w:r>
          </w:p>
        </w:tc>
      </w:tr>
      <w:tr>
        <w:tc>
          <w:tcPr>
            <w:tcW w:type="dxa" w:w="1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Urethrocutaneous fistula</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18 (3,842)</w:t>
            </w:r>
          </w:p>
        </w:tc>
        <w:tc>
          <w:tcPr>
            <w:tcW w:type="dxa" w:w="11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11.4% [9.8–13.2]</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Not serious</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Not serious</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Not serious</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Not serious</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Undetected</w:t>
            </w:r>
          </w:p>
        </w:tc>
        <w:tc>
          <w:tcPr>
            <w:tcW w:type="dxa" w:w="1500"/>
            <w:shd w:fill="EDF7ED" w:val="clear"/>
            <w:tcMar>
              <w:top w:type="dxa" w:w="60"/>
              <w:left w:type="dxa" w:w="90"/>
              <w:bottom w:type="dxa" w:w="60"/>
              <w:right w:type="dxa" w:w="90"/>
            </w:tcMar>
            <w:vAlign w:val="center"/>
          </w:tcPr>
          <w:p>
            <w:pPr>
              <w:spacing w:after="0"/>
              <w:jc w:val="center"/>
            </w:pPr>
            <w:r>
              <w:rPr>
                <w:rFonts w:ascii="Calibri" w:cs="Calibri" w:eastAsia="Calibri" w:hAnsi="Calibri"/>
                <w:b/>
                <w:bCs/>
                <w:color w:val="111111"/>
                <w:sz w:val="18"/>
                <w:szCs w:val="18"/>
              </w:rPr>
              <w:t xml:space="preserve">⊕⊕⊕◯  MODERATE</w:t>
            </w:r>
          </w:p>
        </w:tc>
      </w:tr>
      <w:tr>
        <w:tc>
          <w:tcPr>
            <w:tcW w:type="dxa" w:w="1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Urethral stricture</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17 (3,556)</w:t>
            </w:r>
          </w:p>
        </w:tc>
        <w:tc>
          <w:tcPr>
            <w:tcW w:type="dxa" w:w="11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8.9% [7.4–10.7]</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Not serious</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B54545"/>
                <w:sz w:val="18"/>
                <w:szCs w:val="18"/>
              </w:rPr>
              <w:t xml:space="preserve">Serious¹</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Not serious</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Not serious</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Undetected</w:t>
            </w:r>
          </w:p>
        </w:tc>
        <w:tc>
          <w:tcPr>
            <w:tcW w:type="dxa" w:w="1500"/>
            <w:shd w:fill="FFF4E5" w:val="clear"/>
            <w:tcMar>
              <w:top w:type="dxa" w:w="60"/>
              <w:left w:type="dxa" w:w="90"/>
              <w:bottom w:type="dxa" w:w="60"/>
              <w:right w:type="dxa" w:w="90"/>
            </w:tcMar>
            <w:vAlign w:val="center"/>
          </w:tcPr>
          <w:p>
            <w:pPr>
              <w:spacing w:after="0"/>
              <w:jc w:val="center"/>
            </w:pPr>
            <w:r>
              <w:rPr>
                <w:rFonts w:ascii="Calibri" w:cs="Calibri" w:eastAsia="Calibri" w:hAnsi="Calibri"/>
                <w:b/>
                <w:bCs/>
                <w:color w:val="111111"/>
                <w:sz w:val="18"/>
                <w:szCs w:val="18"/>
              </w:rPr>
              <w:t xml:space="preserve">⊕⊕◯◯  LOW</w:t>
            </w:r>
          </w:p>
        </w:tc>
      </w:tr>
      <w:tr>
        <w:tc>
          <w:tcPr>
            <w:tcW w:type="dxa" w:w="1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Meatal stenosis</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16 (3,281)</w:t>
            </w:r>
          </w:p>
        </w:tc>
        <w:tc>
          <w:tcPr>
            <w:tcW w:type="dxa" w:w="11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7.6% [6.2–9.3]</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Not serious</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Not serious</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Not serious</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Not serious</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Undetected</w:t>
            </w:r>
          </w:p>
        </w:tc>
        <w:tc>
          <w:tcPr>
            <w:tcW w:type="dxa" w:w="1500"/>
            <w:shd w:fill="EDF7ED" w:val="clear"/>
            <w:tcMar>
              <w:top w:type="dxa" w:w="60"/>
              <w:left w:type="dxa" w:w="90"/>
              <w:bottom w:type="dxa" w:w="60"/>
              <w:right w:type="dxa" w:w="90"/>
            </w:tcMar>
            <w:vAlign w:val="center"/>
          </w:tcPr>
          <w:p>
            <w:pPr>
              <w:spacing w:after="0"/>
              <w:jc w:val="center"/>
            </w:pPr>
            <w:r>
              <w:rPr>
                <w:rFonts w:ascii="Calibri" w:cs="Calibri" w:eastAsia="Calibri" w:hAnsi="Calibri"/>
                <w:b/>
                <w:bCs/>
                <w:color w:val="111111"/>
                <w:sz w:val="18"/>
                <w:szCs w:val="18"/>
              </w:rPr>
              <w:t xml:space="preserve">⊕⊕⊕◯  MODERATE</w:t>
            </w:r>
          </w:p>
        </w:tc>
      </w:tr>
      <w:tr>
        <w:tc>
          <w:tcPr>
            <w:tcW w:type="dxa" w:w="1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Reoperation (any)</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18 (3,842)</w:t>
            </w:r>
          </w:p>
        </w:tc>
        <w:tc>
          <w:tcPr>
            <w:tcW w:type="dxa" w:w="11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22.1% [19.6–24.9]</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Not serious</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B54545"/>
                <w:sz w:val="18"/>
                <w:szCs w:val="18"/>
              </w:rPr>
              <w:t xml:space="preserve">Serious¹</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Not serious</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Not serious</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Undetected</w:t>
            </w:r>
          </w:p>
        </w:tc>
        <w:tc>
          <w:tcPr>
            <w:tcW w:type="dxa" w:w="1500"/>
            <w:shd w:fill="FFF4E5" w:val="clear"/>
            <w:tcMar>
              <w:top w:type="dxa" w:w="60"/>
              <w:left w:type="dxa" w:w="90"/>
              <w:bottom w:type="dxa" w:w="60"/>
              <w:right w:type="dxa" w:w="90"/>
            </w:tcMar>
            <w:vAlign w:val="center"/>
          </w:tcPr>
          <w:p>
            <w:pPr>
              <w:spacing w:after="0"/>
              <w:jc w:val="center"/>
            </w:pPr>
            <w:r>
              <w:rPr>
                <w:rFonts w:ascii="Calibri" w:cs="Calibri" w:eastAsia="Calibri" w:hAnsi="Calibri"/>
                <w:b/>
                <w:bCs/>
                <w:color w:val="111111"/>
                <w:sz w:val="18"/>
                <w:szCs w:val="18"/>
              </w:rPr>
              <w:t xml:space="preserve">⊕⊕◯◯  LOW</w:t>
            </w:r>
          </w:p>
        </w:tc>
      </w:tr>
      <w:tr>
        <w:tc>
          <w:tcPr>
            <w:tcW w:type="dxa" w:w="1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Voiding dysfunction</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13 (2,614)</w:t>
            </w:r>
          </w:p>
        </w:tc>
        <w:tc>
          <w:tcPr>
            <w:tcW w:type="dxa" w:w="11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14.3% [12.4–16.5]</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B54545"/>
                <w:sz w:val="18"/>
                <w:szCs w:val="18"/>
              </w:rPr>
              <w:t xml:space="preserve">Serious²</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B54545"/>
                <w:sz w:val="18"/>
                <w:szCs w:val="18"/>
              </w:rPr>
              <w:t xml:space="preserve">Serious¹</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Not serious</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Not serious</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Undetected</w:t>
            </w:r>
          </w:p>
        </w:tc>
        <w:tc>
          <w:tcPr>
            <w:tcW w:type="dxa" w:w="1500"/>
            <w:shd w:fill="FBEAEA" w:val="clear"/>
            <w:tcMar>
              <w:top w:type="dxa" w:w="60"/>
              <w:left w:type="dxa" w:w="90"/>
              <w:bottom w:type="dxa" w:w="60"/>
              <w:right w:type="dxa" w:w="90"/>
            </w:tcMar>
            <w:vAlign w:val="center"/>
          </w:tcPr>
          <w:p>
            <w:pPr>
              <w:spacing w:after="0"/>
              <w:jc w:val="center"/>
            </w:pPr>
            <w:r>
              <w:rPr>
                <w:rFonts w:ascii="Calibri" w:cs="Calibri" w:eastAsia="Calibri" w:hAnsi="Calibri"/>
                <w:b/>
                <w:bCs/>
                <w:color w:val="111111"/>
                <w:sz w:val="18"/>
                <w:szCs w:val="18"/>
              </w:rPr>
              <w:t xml:space="preserve">⊕◯◯◯  VERY LOW</w:t>
            </w:r>
          </w:p>
        </w:tc>
      </w:tr>
      <w:tr>
        <w:tc>
          <w:tcPr>
            <w:tcW w:type="dxa" w:w="1600"/>
            <w:tcMar>
              <w:top w:type="dxa" w:w="60"/>
              <w:left w:type="dxa" w:w="90"/>
              <w:bottom w:type="dxa" w:w="60"/>
              <w:right w:type="dxa" w:w="90"/>
            </w:tcMar>
            <w:vAlign w:val="center"/>
          </w:tcPr>
          <w:p>
            <w:pPr>
              <w:spacing w:after="0"/>
              <w:jc w:val="left"/>
            </w:pPr>
            <w:r>
              <w:rPr>
                <w:rFonts w:ascii="Calibri" w:cs="Calibri" w:eastAsia="Calibri" w:hAnsi="Calibri"/>
                <w:color w:val="111111"/>
                <w:sz w:val="18"/>
                <w:szCs w:val="18"/>
              </w:rPr>
              <w:t xml:space="preserve">Cosmetic dissatisfaction</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10 (1,842)</w:t>
            </w:r>
          </w:p>
        </w:tc>
        <w:tc>
          <w:tcPr>
            <w:tcW w:type="dxa" w:w="11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18.7% [16.3–21.4]</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B54545"/>
                <w:sz w:val="18"/>
                <w:szCs w:val="18"/>
              </w:rPr>
              <w:t xml:space="preserve">Serious²</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Not serious</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B54545"/>
                <w:sz w:val="18"/>
                <w:szCs w:val="18"/>
              </w:rPr>
              <w:t xml:space="preserve">Serious³</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Not serious</w:t>
            </w:r>
          </w:p>
        </w:tc>
        <w:tc>
          <w:tcPr>
            <w:tcW w:type="dxa" w:w="900"/>
            <w:tcMar>
              <w:top w:type="dxa" w:w="60"/>
              <w:left w:type="dxa" w:w="90"/>
              <w:bottom w:type="dxa" w:w="60"/>
              <w:right w:type="dxa" w:w="90"/>
            </w:tcMar>
            <w:vAlign w:val="center"/>
          </w:tcPr>
          <w:p>
            <w:pPr>
              <w:spacing w:after="0"/>
              <w:jc w:val="center"/>
            </w:pPr>
            <w:r>
              <w:rPr>
                <w:rFonts w:ascii="Calibri" w:cs="Calibri" w:eastAsia="Calibri" w:hAnsi="Calibri"/>
                <w:color w:val="111111"/>
                <w:sz w:val="18"/>
                <w:szCs w:val="18"/>
              </w:rPr>
              <w:t xml:space="preserve">Undetected</w:t>
            </w:r>
          </w:p>
        </w:tc>
        <w:tc>
          <w:tcPr>
            <w:tcW w:type="dxa" w:w="1500"/>
            <w:shd w:fill="FBEAEA" w:val="clear"/>
            <w:tcMar>
              <w:top w:type="dxa" w:w="60"/>
              <w:left w:type="dxa" w:w="90"/>
              <w:bottom w:type="dxa" w:w="60"/>
              <w:right w:type="dxa" w:w="90"/>
            </w:tcMar>
            <w:vAlign w:val="center"/>
          </w:tcPr>
          <w:p>
            <w:pPr>
              <w:spacing w:after="0"/>
              <w:jc w:val="center"/>
            </w:pPr>
            <w:r>
              <w:rPr>
                <w:rFonts w:ascii="Calibri" w:cs="Calibri" w:eastAsia="Calibri" w:hAnsi="Calibri"/>
                <w:b/>
                <w:bCs/>
                <w:color w:val="111111"/>
                <w:sz w:val="18"/>
                <w:szCs w:val="18"/>
              </w:rPr>
              <w:t xml:space="preserve">⊕◯◯◯  VERY LOW</w:t>
            </w:r>
          </w:p>
        </w:tc>
      </w:tr>
    </w:tbl>
    <w:p>
      <w:pPr>
        <w:spacing w:after="100" w:before="220"/>
      </w:pPr>
      <w:r>
        <w:rPr>
          <w:rFonts w:ascii="Calibri" w:cs="Calibri" w:eastAsia="Calibri" w:hAnsi="Calibri"/>
          <w:b/>
          <w:bCs/>
          <w:color w:val="333333"/>
          <w:sz w:val="22"/>
          <w:szCs w:val="22"/>
        </w:rPr>
        <w:t xml:space="preserve">Footnotes and rating rationale</w:t>
      </w:r>
    </w:p>
    <w:p>
      <w:pPr>
        <w:spacing w:after="100" w:line="280"/>
        <w:ind w:left="240" w:hanging="240"/>
        <w:jc w:val="both"/>
      </w:pPr>
      <w:r>
        <w:rPr>
          <w:rFonts w:ascii="Calibri" w:cs="Calibri" w:eastAsia="Calibri" w:hAnsi="Calibri"/>
          <w:b/>
          <w:bCs/>
          <w:sz w:val="20"/>
          <w:szCs w:val="20"/>
        </w:rPr>
        <w:t xml:space="preserve">¹ Inconsistency downgraded — </w:t>
      </w:r>
      <w:r>
        <w:rPr>
          <w:rFonts w:ascii="Calibri" w:cs="Calibri" w:eastAsia="Calibri" w:hAnsi="Calibri"/>
          <w:sz w:val="20"/>
          <w:szCs w:val="20"/>
        </w:rPr>
        <w:t xml:space="preserve">substantial statistical heterogeneity (I² &gt; 60%) attributable to variability in surgical technique, hypospadias severity, follow-up duration, and outcome definitions across included cohorts.</w:t>
      </w:r>
    </w:p>
    <w:p>
      <w:pPr>
        <w:spacing w:after="100" w:line="280"/>
        <w:ind w:left="240" w:hanging="240"/>
        <w:jc w:val="both"/>
      </w:pPr>
      <w:r>
        <w:rPr>
          <w:rFonts w:ascii="Calibri" w:cs="Calibri" w:eastAsia="Calibri" w:hAnsi="Calibri"/>
          <w:b/>
          <w:bCs/>
          <w:sz w:val="20"/>
          <w:szCs w:val="20"/>
        </w:rPr>
        <w:t xml:space="preserve">² Risk of bias downgraded — </w:t>
      </w:r>
      <w:r>
        <w:rPr>
          <w:rFonts w:ascii="Calibri" w:cs="Calibri" w:eastAsia="Calibri" w:hAnsi="Calibri"/>
          <w:sz w:val="20"/>
          <w:szCs w:val="20"/>
        </w:rPr>
        <w:t xml:space="preserve">reliance on subjective patient- or parent-reported outcomes without blinded outcome assessment; potential for recall and social-desirability bias.</w:t>
      </w:r>
    </w:p>
    <w:p>
      <w:pPr>
        <w:spacing w:after="100" w:line="280"/>
        <w:ind w:left="240" w:hanging="240"/>
        <w:jc w:val="both"/>
      </w:pPr>
      <w:r>
        <w:rPr>
          <w:rFonts w:ascii="Calibri" w:cs="Calibri" w:eastAsia="Calibri" w:hAnsi="Calibri"/>
          <w:b/>
          <w:bCs/>
          <w:sz w:val="20"/>
          <w:szCs w:val="20"/>
        </w:rPr>
        <w:t xml:space="preserve">³ Indirectness — </w:t>
      </w:r>
      <w:r>
        <w:rPr>
          <w:rFonts w:ascii="Calibri" w:cs="Calibri" w:eastAsia="Calibri" w:hAnsi="Calibri"/>
          <w:sz w:val="20"/>
          <w:szCs w:val="20"/>
        </w:rPr>
        <w:t xml:space="preserve">validated patient-reported outcome instruments were used in only a subset of studies; some cohorts used non-validated in-house scoring systems.</w:t>
      </w:r>
    </w:p>
    <w:p>
      <w:pPr>
        <w:spacing w:after="100" w:before="220"/>
      </w:pPr>
      <w:r>
        <w:rPr>
          <w:rFonts w:ascii="Calibri" w:cs="Calibri" w:eastAsia="Calibri" w:hAnsi="Calibri"/>
          <w:b/>
          <w:bCs/>
          <w:color w:val="333333"/>
          <w:sz w:val="22"/>
          <w:szCs w:val="22"/>
        </w:rPr>
        <w:t xml:space="preserve">Certainty rating legend</w:t>
      </w:r>
    </w:p>
    <w:p>
      <w:pPr>
        <w:spacing w:after="80" w:line="280"/>
        <w:ind w:left="360" w:hanging="360"/>
      </w:pPr>
      <w:r>
        <w:rPr>
          <w:rFonts w:ascii="Calibri" w:cs="Calibri" w:eastAsia="Calibri" w:hAnsi="Calibri"/>
          <w:b/>
          <w:bCs/>
          <w:color w:val="1F3A5F"/>
          <w:sz w:val="20"/>
          <w:szCs w:val="20"/>
        </w:rPr>
        <w:t xml:space="preserve">⊕⊕⊕⊕  HIGH  </w:t>
      </w:r>
      <w:r>
        <w:rPr>
          <w:rFonts w:ascii="Calibri" w:cs="Calibri" w:eastAsia="Calibri" w:hAnsi="Calibri"/>
          <w:sz w:val="20"/>
          <w:szCs w:val="20"/>
        </w:rPr>
        <w:t xml:space="preserve">We are very confident that the true effect lies close to that of the estimate.</w:t>
      </w:r>
    </w:p>
    <w:p>
      <w:pPr>
        <w:spacing w:after="80" w:line="280"/>
        <w:ind w:left="360" w:hanging="360"/>
      </w:pPr>
      <w:r>
        <w:rPr>
          <w:rFonts w:ascii="Calibri" w:cs="Calibri" w:eastAsia="Calibri" w:hAnsi="Calibri"/>
          <w:b/>
          <w:bCs/>
          <w:color w:val="1F3A5F"/>
          <w:sz w:val="20"/>
          <w:szCs w:val="20"/>
        </w:rPr>
        <w:t xml:space="preserve">⊕⊕⊕◯  MODERATE  </w:t>
      </w:r>
      <w:r>
        <w:rPr>
          <w:rFonts w:ascii="Calibri" w:cs="Calibri" w:eastAsia="Calibri" w:hAnsi="Calibri"/>
          <w:sz w:val="20"/>
          <w:szCs w:val="20"/>
        </w:rPr>
        <w:t xml:space="preserve">We are moderately confident in the effect estimate; the true effect is likely close but there is a possibility it is substantially different.</w:t>
      </w:r>
    </w:p>
    <w:p>
      <w:pPr>
        <w:spacing w:after="80" w:line="280"/>
        <w:ind w:left="360" w:hanging="360"/>
      </w:pPr>
      <w:r>
        <w:rPr>
          <w:rFonts w:ascii="Calibri" w:cs="Calibri" w:eastAsia="Calibri" w:hAnsi="Calibri"/>
          <w:b/>
          <w:bCs/>
          <w:color w:val="1F3A5F"/>
          <w:sz w:val="20"/>
          <w:szCs w:val="20"/>
        </w:rPr>
        <w:t xml:space="preserve">⊕⊕◯◯  LOW  </w:t>
      </w:r>
      <w:r>
        <w:rPr>
          <w:rFonts w:ascii="Calibri" w:cs="Calibri" w:eastAsia="Calibri" w:hAnsi="Calibri"/>
          <w:sz w:val="20"/>
          <w:szCs w:val="20"/>
        </w:rPr>
        <w:t xml:space="preserve">Our confidence in the effect estimate is limited; the true effect may be substantially different from the estimate.</w:t>
      </w:r>
    </w:p>
    <w:p>
      <w:pPr>
        <w:spacing w:after="80" w:line="280"/>
        <w:ind w:left="360" w:hanging="360"/>
      </w:pPr>
      <w:r>
        <w:rPr>
          <w:rFonts w:ascii="Calibri" w:cs="Calibri" w:eastAsia="Calibri" w:hAnsi="Calibri"/>
          <w:b/>
          <w:bCs/>
          <w:color w:val="1F3A5F"/>
          <w:sz w:val="20"/>
          <w:szCs w:val="20"/>
        </w:rPr>
        <w:t xml:space="preserve">⊕◯◯◯  VERY LOW  </w:t>
      </w:r>
      <w:r>
        <w:rPr>
          <w:rFonts w:ascii="Calibri" w:cs="Calibri" w:eastAsia="Calibri" w:hAnsi="Calibri"/>
          <w:sz w:val="20"/>
          <w:szCs w:val="20"/>
        </w:rPr>
        <w:t xml:space="preserve">We have very little confidence in the effect estimate; the true effect is likely to be substantially different from the estimate.</w:t>
      </w:r>
    </w:p>
    <w:p>
      <w:pPr>
        <w:spacing w:after="100" w:before="220"/>
      </w:pPr>
      <w:r>
        <w:rPr>
          <w:rFonts w:ascii="Calibri" w:cs="Calibri" w:eastAsia="Calibri" w:hAnsi="Calibri"/>
          <w:b/>
          <w:bCs/>
          <w:color w:val="333333"/>
          <w:sz w:val="22"/>
          <w:szCs w:val="22"/>
        </w:rPr>
        <w:t xml:space="preserve">Overall interpretation</w:t>
      </w:r>
    </w:p>
    <w:p>
      <w:pPr>
        <w:spacing w:after="120" w:line="300"/>
        <w:jc w:val="both"/>
      </w:pPr>
      <w:r>
        <w:rPr>
          <w:rFonts w:ascii="Calibri" w:cs="Calibri" w:eastAsia="Calibri" w:hAnsi="Calibri"/>
          <w:sz w:val="22"/>
          <w:szCs w:val="22"/>
        </w:rPr>
        <w:t xml:space="preserve">The certainty of evidence for the long-term outcomes of pediatric urethroplasty is predominantly LOW to MODERATE, reflecting the observational nature of the underlying literature and the substantial statistical heterogeneity that persists even after subgroup analyses. Patient-reported outcomes (voiding dysfunction and cosmetic dissatisfaction) attracted the lowest certainty ratings (VERY LOW) because of concerns about outcome ascertainment and the use of non-standardised instruments in a subset of studies. Anatomical outcomes with objective definitions (urethrocutaneous fistula, meatal stenosis) achieved MODERATE certainty. These certainty ratings should be borne in mind when translating the pooled estimates into clinical counselling and shared decision-making with families.</w:t>
      </w:r>
    </w:p>
    <w:p>
      <w:pPr>
        <w:spacing w:after="120" w:line="300"/>
        <w:jc w:val="both"/>
      </w:pPr>
      <w:r>
        <w:rPr>
          <w:rFonts w:ascii="Calibri" w:cs="Calibri" w:eastAsia="Calibri" w:hAnsi="Calibri"/>
          <w:i/>
          <w:iCs/>
          <w:color w:val="555555"/>
          <w:sz w:val="20"/>
          <w:szCs w:val="20"/>
        </w:rPr>
        <w:t xml:space="preserve">Reference: Guyatt GH, Oxman AD, Vist GE, et al. GRADE: an emerging consensus on rating quality of evidence and strength of recommendations. BMJ 2008;336(7650):924–926. Balshem H, Helfand M, Schünemann HJ, et al. GRADE guidelines: 3. Rating the quality of evidence. J Clin Epidemiol 2011;64(4):401–406.</w:t>
      </w:r>
    </w:p>
    <w:sectPr>
      <w:pgSz w:w="12240" w:h="15840" w:orient="portrait"/>
      <w:pgMar w:top="1100" w:right="1000" w:bottom="11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e5115053291f5d5855300d6213bd157ff885b6e.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Materials — Pediatric Urethroplasty Systematic Review</dc:title>
  <dc:creator>Systematic Review Author</dc:creator>
  <cp:lastModifiedBy>Un-named</cp:lastModifiedBy>
  <cp:revision>1</cp:revision>
  <dcterms:created xsi:type="dcterms:W3CDTF">2026-08-08T09:25:04.709Z</dcterms:created>
  <dcterms:modified xsi:type="dcterms:W3CDTF">2026-08-08T09:25:04.709Z</dcterms:modified>
</cp:coreProperties>
</file>

<file path=docProps/custom.xml><?xml version="1.0" encoding="utf-8"?>
<Properties xmlns="http://schemas.openxmlformats.org/officeDocument/2006/custom-properties" xmlns:vt="http://schemas.openxmlformats.org/officeDocument/2006/docPropsVTypes"/>
</file>