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240" w:line="288" w:lineRule="auto"/>
        <w:jc w:val="center"/>
        <w:rPr>
          <w:sz w:val="24"/>
          <w:szCs w:val="24"/>
        </w:rPr>
      </w:pPr>
      <w:r>
        <w:rPr>
          <w:b w:val="1"/>
          <w:bCs w:val="1"/>
          <w:sz w:val="24"/>
          <w:szCs w:val="24"/>
          <w:rtl w:val="0"/>
          <w:lang w:val="en-US"/>
        </w:rPr>
        <w:t>Supplementary Materials</w:t>
      </w:r>
    </w:p>
    <w:p>
      <w:pPr>
        <w:pStyle w:val="Body A"/>
        <w:spacing w:after="240" w:line="288" w:lineRule="auto"/>
        <w:jc w:val="center"/>
        <w:rPr>
          <w:i w:val="1"/>
          <w:iCs w:val="1"/>
          <w:outline w:val="0"/>
          <w:color w:val="1a1c1e"/>
          <w:sz w:val="24"/>
          <w:szCs w:val="24"/>
          <w:u w:color="1a1c1e"/>
          <w:shd w:val="clear" w:color="auto" w:fill="ffffff"/>
          <w14:textFill>
            <w14:solidFill>
              <w14:srgbClr w14:val="1A1C1E"/>
            </w14:solidFill>
          </w14:textFill>
        </w:rPr>
      </w:pPr>
      <w:r>
        <w:rPr>
          <w:i w:val="1"/>
          <w:iCs w:val="1"/>
          <w:outline w:val="0"/>
          <w:color w:val="1a1c1e"/>
          <w:sz w:val="24"/>
          <w:szCs w:val="24"/>
          <w:u w:color="1a1c1e"/>
          <w:shd w:val="clear" w:color="auto" w:fill="ffffff"/>
          <w:rtl w:val="0"/>
          <w:lang w:val="en-US"/>
          <w14:textFill>
            <w14:solidFill>
              <w14:srgbClr w14:val="1A1C1E"/>
            </w14:solidFill>
          </w14:textFill>
        </w:rPr>
        <w:t xml:space="preserve">The Arrhythmic Brain: Atrial Fibrillation as a Model of Interoceptive Overload </w:t>
      </w:r>
    </w:p>
    <w:p>
      <w:pPr>
        <w:pStyle w:val="Body B"/>
        <w:shd w:val="clear" w:color="auto" w:fill="ffffff"/>
        <w:spacing w:after="280" w:line="360" w:lineRule="auto"/>
        <w:jc w:val="center"/>
        <w:rPr>
          <w:rFonts w:ascii="Arial" w:cs="Arial" w:hAnsi="Arial" w:eastAsia="Arial"/>
          <w:i w:val="1"/>
          <w:iCs w:val="1"/>
        </w:rPr>
      </w:pPr>
      <w:r>
        <w:rPr>
          <w:rFonts w:ascii="Arial" w:hAnsi="Arial"/>
          <w:b w:val="1"/>
          <w:bCs w:val="1"/>
          <w:rtl w:val="0"/>
        </w:rPr>
        <w:t>Asl</w:t>
      </w:r>
      <w:r>
        <w:rPr>
          <w:rFonts w:ascii="Arial" w:hAnsi="Arial" w:hint="default"/>
          <w:b w:val="1"/>
          <w:bCs w:val="1"/>
          <w:rtl w:val="0"/>
        </w:rPr>
        <w:t xml:space="preserve">ı </w:t>
      </w:r>
      <w:r>
        <w:rPr>
          <w:rFonts w:ascii="Arial" w:hAnsi="Arial"/>
          <w:b w:val="1"/>
          <w:bCs w:val="1"/>
          <w:rtl w:val="0"/>
        </w:rPr>
        <w:t>Akdeniz</w:t>
      </w:r>
      <w:r>
        <w:rPr>
          <w:rFonts w:ascii="Arial" w:hAnsi="Arial"/>
          <w:b w:val="1"/>
          <w:bCs w:val="1"/>
          <w:vertAlign w:val="superscript"/>
          <w:rtl w:val="0"/>
        </w:rPr>
        <w:t>1,2,3</w:t>
      </w:r>
      <w:r>
        <w:rPr>
          <w:rFonts w:ascii="Arial" w:hAnsi="Arial"/>
          <w:b w:val="1"/>
          <w:bCs w:val="1"/>
          <w:rtl w:val="0"/>
        </w:rPr>
        <w:t>,</w:t>
      </w:r>
      <w:r>
        <w:rPr>
          <w:rFonts w:ascii="Arial" w:hAnsi="Arial"/>
          <w:b w:val="1"/>
          <w:bCs w:val="1"/>
          <w:rtl w:val="0"/>
          <w:lang w:val="de-DE"/>
        </w:rPr>
        <w:t xml:space="preserve"> </w:t>
      </w:r>
      <w:r>
        <w:rPr>
          <w:rFonts w:ascii="Arial" w:hAnsi="Arial"/>
          <w:b w:val="1"/>
          <w:bCs w:val="1"/>
          <w:rtl w:val="0"/>
        </w:rPr>
        <w:t>Dimitra Kiakou</w:t>
      </w:r>
      <w:r>
        <w:rPr>
          <w:rFonts w:ascii="Arial" w:hAnsi="Arial"/>
          <w:b w:val="1"/>
          <w:bCs w:val="1"/>
          <w:vertAlign w:val="superscript"/>
          <w:rtl w:val="0"/>
        </w:rPr>
        <w:t>4,5</w:t>
      </w:r>
      <w:r>
        <w:rPr>
          <w:rFonts w:ascii="Arial" w:hAnsi="Arial"/>
          <w:b w:val="1"/>
          <w:bCs w:val="1"/>
          <w:rtl w:val="0"/>
        </w:rPr>
        <w:t>,</w:t>
      </w:r>
      <w:r>
        <w:rPr>
          <w:rFonts w:ascii="Arial" w:hAnsi="Arial"/>
          <w:b w:val="1"/>
          <w:bCs w:val="1"/>
          <w:rtl w:val="0"/>
          <w:lang w:val="de-DE"/>
        </w:rPr>
        <w:t xml:space="preserve"> Karsten Mueller</w:t>
      </w:r>
      <w:r>
        <w:rPr>
          <w:rFonts w:ascii="Arial" w:hAnsi="Arial"/>
          <w:b w:val="1"/>
          <w:bCs w:val="1"/>
          <w:vertAlign w:val="superscript"/>
          <w:rtl w:val="0"/>
        </w:rPr>
        <w:t>4,5</w:t>
      </w:r>
      <w:r>
        <w:rPr>
          <w:rFonts w:ascii="Arial" w:hAnsi="Arial"/>
          <w:b w:val="1"/>
          <w:bCs w:val="1"/>
          <w:rtl w:val="0"/>
        </w:rPr>
        <w:t>,</w:t>
      </w:r>
      <w:r>
        <w:rPr>
          <w:rFonts w:ascii="Arial" w:hAnsi="Arial"/>
          <w:b w:val="1"/>
          <w:bCs w:val="1"/>
          <w:rtl w:val="0"/>
          <w:lang w:val="de-DE"/>
        </w:rPr>
        <w:t xml:space="preserve"> </w:t>
      </w:r>
      <w:r>
        <w:rPr>
          <w:rFonts w:ascii="Arial" w:hAnsi="Arial"/>
          <w:b w:val="1"/>
          <w:bCs w:val="1"/>
          <w:rtl w:val="0"/>
          <w:lang w:val="da-DK"/>
        </w:rPr>
        <w:t>Sofie Valk</w:t>
      </w:r>
      <w:r>
        <w:rPr>
          <w:rFonts w:ascii="Arial" w:hAnsi="Arial"/>
          <w:b w:val="1"/>
          <w:bCs w:val="1"/>
          <w:vertAlign w:val="superscript"/>
          <w:rtl w:val="0"/>
        </w:rPr>
        <w:t>2,6,7,8</w:t>
      </w:r>
      <w:r>
        <w:rPr>
          <w:rFonts w:ascii="Arial" w:hAnsi="Arial"/>
          <w:b w:val="1"/>
          <w:bCs w:val="1"/>
          <w:rtl w:val="0"/>
        </w:rPr>
        <w:t>, Arno Villringer</w:t>
      </w:r>
      <w:r>
        <w:rPr>
          <w:rFonts w:ascii="Arial" w:hAnsi="Arial"/>
          <w:b w:val="1"/>
          <w:bCs w:val="1"/>
          <w:vertAlign w:val="superscript"/>
          <w:rtl w:val="0"/>
        </w:rPr>
        <w:t>1,2,3,9</w:t>
      </w: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Body A"/>
        <w:spacing w:line="288" w:lineRule="auto"/>
        <w:rPr>
          <w:i w:val="1"/>
          <w:iCs w:val="1"/>
          <w:sz w:val="24"/>
          <w:szCs w:val="24"/>
        </w:rPr>
      </w:pPr>
    </w:p>
    <w:p>
      <w:pPr>
        <w:pStyle w:val="Default"/>
        <w:spacing w:before="0" w:after="240"/>
      </w:pPr>
      <w:r>
        <w:rPr>
          <w:rFonts w:ascii="Arial Unicode MS" w:cs="Arial Unicode MS" w:hAnsi="Arial Unicode MS" w:eastAsia="Arial Unicode MS"/>
          <w:b w:val="0"/>
          <w:bCs w:val="0"/>
          <w:i w:val="0"/>
          <w:iCs w:val="0"/>
        </w:rPr>
        <w:br w:type="page"/>
      </w:r>
    </w:p>
    <w:p>
      <w:pPr>
        <w:pStyle w:val="Heading"/>
        <w:keepNext w:val="0"/>
        <w:keepLines w:val="0"/>
        <w:spacing w:before="0" w:after="200" w:line="288" w:lineRule="auto"/>
        <w:rPr>
          <w:b w:val="1"/>
          <w:bCs w:val="1"/>
          <w:sz w:val="24"/>
          <w:szCs w:val="24"/>
        </w:rPr>
      </w:pPr>
      <w:r>
        <w:rPr>
          <w:b w:val="1"/>
          <w:bCs w:val="1"/>
          <w:sz w:val="24"/>
          <w:szCs w:val="24"/>
          <w:rtl w:val="0"/>
          <w:lang w:val="en-US"/>
        </w:rPr>
        <w:t>Supplementary Figures</w:t>
      </w:r>
    </w:p>
    <w:p>
      <w:pPr>
        <w:pStyle w:val="Body A"/>
        <w:keepNext w:val="1"/>
        <w:spacing w:before="120" w:after="120"/>
        <w:jc w:val="center"/>
      </w:pPr>
      <w:r>
        <w:rPr>
          <w:rFonts w:ascii="Times New Roman" w:cs="Times New Roman" w:hAnsi="Times New Roman" w:eastAsia="Times New Roman"/>
          <w:b w:val="1"/>
          <w:bCs w:val="1"/>
          <w:sz w:val="24"/>
          <w:szCs w:val="24"/>
        </w:rPr>
        <w:drawing xmlns:a="http://schemas.openxmlformats.org/drawingml/2006/main">
          <wp:inline distT="0" distB="0" distL="0" distR="0">
            <wp:extent cx="5715000" cy="4645860"/>
            <wp:effectExtent l="0" t="0" r="0" b="0"/>
            <wp:docPr id="1073741825" name="officeArt object" descr="figS1_flow_v3(1).png"/>
            <wp:cNvGraphicFramePr/>
            <a:graphic xmlns:a="http://schemas.openxmlformats.org/drawingml/2006/main">
              <a:graphicData uri="http://schemas.openxmlformats.org/drawingml/2006/picture">
                <pic:pic xmlns:pic="http://schemas.openxmlformats.org/drawingml/2006/picture">
                  <pic:nvPicPr>
                    <pic:cNvPr id="1073741825" name="figS1_flow_v3(1).png" descr="figS1_flow_v3(1).png"/>
                    <pic:cNvPicPr>
                      <a:picLocks noChangeAspect="1"/>
                    </pic:cNvPicPr>
                  </pic:nvPicPr>
                  <pic:blipFill>
                    <a:blip r:embed="rId4">
                      <a:extLst/>
                    </a:blip>
                    <a:stretch>
                      <a:fillRect/>
                    </a:stretch>
                  </pic:blipFill>
                  <pic:spPr>
                    <a:xfrm>
                      <a:off x="0" y="0"/>
                      <a:ext cx="5715000" cy="4645860"/>
                    </a:xfrm>
                    <a:prstGeom prst="rect">
                      <a:avLst/>
                    </a:prstGeom>
                    <a:ln w="12700" cap="flat">
                      <a:noFill/>
                      <a:miter lim="400000"/>
                    </a:ln>
                    <a:effectLst/>
                  </pic:spPr>
                </pic:pic>
              </a:graphicData>
            </a:graphic>
          </wp:inline>
        </w:drawing>
      </w:r>
    </w:p>
    <w:p>
      <w:pPr>
        <w:pStyle w:val="Body A"/>
        <w:keepNext w:val="1"/>
        <w:spacing w:after="200" w:line="288" w:lineRule="auto"/>
        <w:rPr>
          <w:b w:val="1"/>
          <w:bCs w:val="1"/>
          <w:sz w:val="24"/>
          <w:szCs w:val="24"/>
        </w:rPr>
      </w:pPr>
    </w:p>
    <w:p>
      <w:pPr>
        <w:pStyle w:val="Body A"/>
        <w:spacing w:after="200" w:line="288" w:lineRule="auto"/>
        <w:rPr>
          <w:sz w:val="24"/>
          <w:szCs w:val="24"/>
        </w:rPr>
      </w:pPr>
      <w:r>
        <w:rPr>
          <w:b w:val="1"/>
          <w:bCs w:val="1"/>
          <w:rtl w:val="0"/>
          <w:lang w:val="en-US"/>
        </w:rPr>
        <w:t>Supplementary Figure S1. Participant flow.</w:t>
      </w:r>
      <w:r>
        <w:rPr>
          <w:rtl w:val="0"/>
          <w:lang w:val="en-US"/>
        </w:rPr>
        <w:t xml:space="preserve"> Ascertainment of the primary and held-out analysis samples from the UK Biobank imaging cohort. AF cases and sinus-rhythm controls were classified from the imaging-visit 12-lead ECG report text. Exclusions for pre-existing conditions were applied sequentially, each participant counted once at the first criterion met; full code lists are given in Supplementary Table S1. Participants without complete connectome data or failing imaging quality control were excluded before matching. Matching was performed separately within each branch. AF, atrial fibrillation; ECG, electrocardiogram.</w:t>
      </w:r>
    </w:p>
    <w:p>
      <w:pPr>
        <w:pStyle w:val="Body A"/>
        <w:keepNext w:val="1"/>
        <w:spacing w:before="120" w:after="120"/>
        <w:jc w:val="center"/>
      </w:pPr>
      <w:r>
        <w:drawing xmlns:a="http://schemas.openxmlformats.org/drawingml/2006/main">
          <wp:inline distT="0" distB="0" distL="0" distR="0">
            <wp:extent cx="5731510" cy="4457700"/>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5">
                      <a:extLst/>
                    </a:blip>
                    <a:stretch>
                      <a:fillRect/>
                    </a:stretch>
                  </pic:blipFill>
                  <pic:spPr>
                    <a:xfrm>
                      <a:off x="0" y="0"/>
                      <a:ext cx="5731510" cy="4457700"/>
                    </a:xfrm>
                    <a:prstGeom prst="rect">
                      <a:avLst/>
                    </a:prstGeom>
                    <a:ln w="12700" cap="flat">
                      <a:noFill/>
                      <a:miter lim="400000"/>
                    </a:ln>
                    <a:effectLst/>
                  </pic:spPr>
                </pic:pic>
              </a:graphicData>
            </a:graphic>
          </wp:inline>
        </w:drawing>
      </w:r>
    </w:p>
    <w:p>
      <w:pPr>
        <w:pStyle w:val="Body A"/>
        <w:keepNext w:val="1"/>
        <w:spacing w:line="288" w:lineRule="auto"/>
        <w:rPr>
          <w:sz w:val="24"/>
          <w:szCs w:val="24"/>
        </w:rPr>
      </w:pPr>
    </w:p>
    <w:p>
      <w:pPr>
        <w:pStyle w:val="Body A"/>
        <w:spacing w:after="200" w:line="288" w:lineRule="auto"/>
        <w:rPr>
          <w:sz w:val="24"/>
          <w:szCs w:val="24"/>
        </w:rPr>
      </w:pPr>
      <w:r>
        <w:rPr>
          <w:b w:val="1"/>
          <w:bCs w:val="1"/>
          <w:sz w:val="24"/>
          <w:szCs w:val="24"/>
          <w:rtl w:val="0"/>
          <w:lang w:val="en-US"/>
        </w:rPr>
        <w:t>Supplementary Figure S</w:t>
      </w:r>
      <w:r>
        <w:rPr>
          <w:b w:val="1"/>
          <w:bCs w:val="1"/>
          <w:sz w:val="24"/>
          <w:szCs w:val="24"/>
          <w:rtl w:val="0"/>
          <w:lang w:val="de-DE"/>
        </w:rPr>
        <w:t>2</w:t>
      </w:r>
      <w:r>
        <w:rPr>
          <w:b w:val="1"/>
          <w:bCs w:val="1"/>
          <w:sz w:val="24"/>
          <w:szCs w:val="24"/>
          <w:rtl w:val="0"/>
          <w:lang w:val="en-US"/>
        </w:rPr>
        <w:t>. Propensity score matching balance.</w:t>
      </w:r>
      <w:r>
        <w:rPr>
          <w:sz w:val="24"/>
          <w:szCs w:val="24"/>
          <w:rtl w:val="0"/>
          <w:lang w:val="en-US"/>
        </w:rPr>
        <w:t xml:space="preserve"> Standardised mean differences (SMDs) for all matching covariates after 1:2 nearest-neighbour propensity score matching. Circles denote the non-WMH matching covariates (age, sex, education, BMI, systolic and diastolic blood pressure, total cholesterol, blood glucose, and current smoking status); triangles denote white matter hyperintensity (WMH) measures. TIV-normalised total WMH load was the matching variable; deep, periventricular, and unnormalised total WMH are shown for reference. Dashed lines indicate the conventional balance threshold of |SMD| &lt; 0.10. All covariates fall well within this threshold, confirming successful balance between AF cases (n = 246) and controls (n = 492). TIV, total intracranial volume.</w:t>
      </w:r>
    </w:p>
    <w:p>
      <w:pPr>
        <w:pStyle w:val="Body A"/>
        <w:spacing w:after="200" w:line="288" w:lineRule="auto"/>
        <w:rPr>
          <w:sz w:val="24"/>
          <w:szCs w:val="24"/>
        </w:rPr>
      </w:pPr>
    </w:p>
    <w:p>
      <w:pPr>
        <w:pStyle w:val="Body A"/>
        <w:spacing w:after="200" w:line="288" w:lineRule="auto"/>
        <w:rPr>
          <w:sz w:val="24"/>
          <w:szCs w:val="24"/>
        </w:rPr>
      </w:pPr>
    </w:p>
    <w:p>
      <w:pPr>
        <w:pStyle w:val="Body A"/>
        <w:spacing w:after="200" w:line="288" w:lineRule="auto"/>
        <w:rPr>
          <w:sz w:val="24"/>
          <w:szCs w:val="24"/>
        </w:rPr>
      </w:pPr>
    </w:p>
    <w:p>
      <w:pPr>
        <w:pStyle w:val="Body A"/>
        <w:spacing w:line="288" w:lineRule="auto"/>
      </w:pPr>
      <w:r>
        <w:rPr>
          <w:rFonts w:ascii="Arial Unicode MS" w:cs="Arial Unicode MS" w:hAnsi="Arial Unicode MS" w:eastAsia="Arial Unicode MS"/>
          <w:b w:val="0"/>
          <w:bCs w:val="0"/>
          <w:i w:val="0"/>
          <w:iCs w:val="0"/>
        </w:rPr>
        <w:br w:type="page"/>
      </w:r>
    </w:p>
    <w:p>
      <w:pPr>
        <w:pStyle w:val="Body A"/>
        <w:keepNext w:val="1"/>
        <w:spacing w:before="120" w:after="120"/>
        <w:jc w:val="center"/>
      </w:pPr>
      <w:r>
        <w:drawing xmlns:a="http://schemas.openxmlformats.org/drawingml/2006/main">
          <wp:inline distT="0" distB="0" distL="0" distR="0">
            <wp:extent cx="5715000" cy="3047578"/>
            <wp:effectExtent l="0" t="0" r="0" b="0"/>
            <wp:docPr id="1073741827" name="officeArt object" descr="supp_sensitivity_forest(1).png"/>
            <wp:cNvGraphicFramePr/>
            <a:graphic xmlns:a="http://schemas.openxmlformats.org/drawingml/2006/main">
              <a:graphicData uri="http://schemas.openxmlformats.org/drawingml/2006/picture">
                <pic:pic xmlns:pic="http://schemas.openxmlformats.org/drawingml/2006/picture">
                  <pic:nvPicPr>
                    <pic:cNvPr id="1073741827" name="supp_sensitivity_forest(1).png" descr="supp_sensitivity_forest(1).png"/>
                    <pic:cNvPicPr>
                      <a:picLocks noChangeAspect="1"/>
                    </pic:cNvPicPr>
                  </pic:nvPicPr>
                  <pic:blipFill>
                    <a:blip r:embed="rId6">
                      <a:extLst/>
                    </a:blip>
                    <a:stretch>
                      <a:fillRect/>
                    </a:stretch>
                  </pic:blipFill>
                  <pic:spPr>
                    <a:xfrm>
                      <a:off x="0" y="0"/>
                      <a:ext cx="5715000" cy="3047578"/>
                    </a:xfrm>
                    <a:prstGeom prst="rect">
                      <a:avLst/>
                    </a:prstGeom>
                    <a:ln w="12700" cap="flat">
                      <a:noFill/>
                      <a:miter lim="400000"/>
                    </a:ln>
                    <a:effectLst/>
                  </pic:spPr>
                </pic:pic>
              </a:graphicData>
            </a:graphic>
          </wp:inline>
        </w:drawing>
      </w:r>
    </w:p>
    <w:p>
      <w:pPr>
        <w:pStyle w:val="Body A"/>
        <w:spacing w:after="200" w:line="288" w:lineRule="auto"/>
      </w:pPr>
      <w:r>
        <w:rPr>
          <w:b w:val="1"/>
          <w:bCs w:val="1"/>
          <w:sz w:val="24"/>
          <w:szCs w:val="24"/>
          <w:rtl w:val="0"/>
          <w:lang w:val="en-US"/>
        </w:rPr>
        <w:t>Supplementary Figure S</w:t>
      </w:r>
      <w:r>
        <w:rPr>
          <w:b w:val="1"/>
          <w:bCs w:val="1"/>
          <w:sz w:val="24"/>
          <w:szCs w:val="24"/>
          <w:rtl w:val="0"/>
          <w:lang w:val="de-DE"/>
        </w:rPr>
        <w:t xml:space="preserve">3. </w:t>
      </w:r>
      <w:r>
        <w:rPr>
          <w:b w:val="1"/>
          <w:bCs w:val="1"/>
          <w:sz w:val="24"/>
          <w:szCs w:val="24"/>
          <w:rtl w:val="0"/>
          <w:lang w:val="en-US"/>
        </w:rPr>
        <w:t xml:space="preserve">Sensitivity analysis. </w:t>
      </w:r>
      <w:r>
        <w:rPr>
          <w:sz w:val="24"/>
          <w:szCs w:val="24"/>
          <w:rtl w:val="0"/>
          <w:lang w:val="en-US"/>
        </w:rPr>
        <w:t>AF effect (Cohen's d, 95% CI) on each cognitive domain in the full pool (N = 2,373; 250 AF, 2,123 controls), without propensity score matching, using the same 5-covariate adjustment as the primary analysis.</w:t>
      </w:r>
    </w:p>
    <w:p>
      <w:pPr>
        <w:pStyle w:val="Body A"/>
        <w:keepNext w:val="1"/>
        <w:spacing w:before="120" w:after="120"/>
        <w:jc w:val="center"/>
      </w:pPr>
      <w:r>
        <w:rPr>
          <w:sz w:val="24"/>
          <w:szCs w:val="24"/>
        </w:rPr>
        <w:drawing xmlns:a="http://schemas.openxmlformats.org/drawingml/2006/main">
          <wp:inline distT="0" distB="0" distL="0" distR="0">
            <wp:extent cx="5715000" cy="2038865"/>
            <wp:effectExtent l="0" t="0" r="0" b="0"/>
            <wp:docPr id="1073741828" name="officeArt object" descr="Mean rfMRI head motion: (A) distribution across participants; (B) by group"/>
            <wp:cNvGraphicFramePr/>
            <a:graphic xmlns:a="http://schemas.openxmlformats.org/drawingml/2006/main">
              <a:graphicData uri="http://schemas.openxmlformats.org/drawingml/2006/picture">
                <pic:pic xmlns:pic="http://schemas.openxmlformats.org/drawingml/2006/picture">
                  <pic:nvPicPr>
                    <pic:cNvPr id="1073741828" name="Mean rfMRI head motion: (A) distribution across participants; (B) by group" descr="Mean rfMRI head motion: (A) distribution across participants; (B) by group"/>
                    <pic:cNvPicPr>
                      <a:picLocks noChangeAspect="1"/>
                    </pic:cNvPicPr>
                  </pic:nvPicPr>
                  <pic:blipFill>
                    <a:blip r:embed="rId7">
                      <a:extLst/>
                    </a:blip>
                    <a:stretch>
                      <a:fillRect/>
                    </a:stretch>
                  </pic:blipFill>
                  <pic:spPr>
                    <a:xfrm>
                      <a:off x="0" y="0"/>
                      <a:ext cx="5715000" cy="2038865"/>
                    </a:xfrm>
                    <a:prstGeom prst="rect">
                      <a:avLst/>
                    </a:prstGeom>
                    <a:ln w="12700" cap="flat">
                      <a:noFill/>
                      <a:miter lim="400000"/>
                    </a:ln>
                    <a:effectLst/>
                  </pic:spPr>
                </pic:pic>
              </a:graphicData>
            </a:graphic>
          </wp:inline>
        </w:drawing>
      </w:r>
    </w:p>
    <w:p>
      <w:pPr>
        <w:pStyle w:val="Body A"/>
        <w:spacing w:after="200" w:line="288" w:lineRule="auto"/>
      </w:pPr>
      <w:r>
        <w:rPr>
          <w:b w:val="1"/>
          <w:bCs w:val="1"/>
          <w:sz w:val="24"/>
          <w:szCs w:val="24"/>
          <w:rtl w:val="0"/>
          <w:lang w:val="en-US"/>
        </w:rPr>
        <w:t>Supplementary Figure S4.</w:t>
      </w:r>
      <w:r>
        <w:rPr>
          <w:b w:val="1"/>
          <w:bCs w:val="1"/>
          <w:sz w:val="24"/>
          <w:szCs w:val="24"/>
          <w:rtl w:val="0"/>
          <w:lang w:val="de-DE"/>
        </w:rPr>
        <w:t xml:space="preserve"> </w:t>
      </w:r>
      <w:r>
        <w:rPr>
          <w:b w:val="1"/>
          <w:bCs w:val="1"/>
          <w:sz w:val="24"/>
          <w:szCs w:val="24"/>
          <w:rtl w:val="0"/>
          <w:lang w:val="en-US"/>
        </w:rPr>
        <w:t>Mean rfMRI head motion in the main cohort (N = 738).</w:t>
      </w:r>
      <w:r>
        <w:rPr>
          <w:b w:val="1"/>
          <w:bCs w:val="1"/>
          <w:sz w:val="24"/>
          <w:szCs w:val="24"/>
          <w:rtl w:val="0"/>
          <w:lang w:val="de-DE"/>
        </w:rPr>
        <w:t xml:space="preserve"> </w:t>
      </w:r>
      <w:r>
        <w:rPr>
          <w:sz w:val="24"/>
          <w:szCs w:val="24"/>
          <w:rtl w:val="0"/>
          <w:lang w:val="en-US"/>
        </w:rPr>
        <w:t>(A) Distribution across all participants; the 0.30 mm threshold (red dashed line) is exceeded by 14 participants (3 AF, 11 control; 1.9% of the cohort), who were retained in the main analysis and excluded in the sensitivity cohort. (B) Mean rfMRI head motion by group (AF vs Control); the groups did not differ (Mann</w:t>
      </w:r>
      <w:r>
        <w:rPr>
          <w:sz w:val="24"/>
          <w:szCs w:val="24"/>
          <w:rtl w:val="0"/>
          <w:lang w:val="en-US"/>
        </w:rPr>
        <w:t>–</w:t>
      </w:r>
      <w:r>
        <w:rPr>
          <w:sz w:val="24"/>
          <w:szCs w:val="24"/>
          <w:rtl w:val="0"/>
          <w:lang w:val="en-US"/>
        </w:rPr>
        <w:t>Whitney p = 0.83).</w:t>
      </w:r>
    </w:p>
    <w:p>
      <w:pPr>
        <w:pStyle w:val="Body A"/>
        <w:keepNext w:val="1"/>
        <w:spacing w:before="120" w:after="120"/>
        <w:jc w:val="center"/>
      </w:pPr>
      <w:r>
        <w:drawing xmlns:a="http://schemas.openxmlformats.org/drawingml/2006/main">
          <wp:inline distT="0" distB="0" distL="0" distR="0">
            <wp:extent cx="4487546" cy="3963035"/>
            <wp:effectExtent l="0" t="0" r="0" b="0"/>
            <wp:docPr id="1073741829" name="officeArt object" descr="heatmap_qcfc_216_main_ukb25741.png"/>
            <wp:cNvGraphicFramePr/>
            <a:graphic xmlns:a="http://schemas.openxmlformats.org/drawingml/2006/main">
              <a:graphicData uri="http://schemas.openxmlformats.org/drawingml/2006/picture">
                <pic:pic xmlns:pic="http://schemas.openxmlformats.org/drawingml/2006/picture">
                  <pic:nvPicPr>
                    <pic:cNvPr id="1073741829" name="heatmap_qcfc_216_main_ukb25741.png" descr="heatmap_qcfc_216_main_ukb25741.png"/>
                    <pic:cNvPicPr>
                      <a:picLocks noChangeAspect="1"/>
                    </pic:cNvPicPr>
                  </pic:nvPicPr>
                  <pic:blipFill>
                    <a:blip r:embed="rId8">
                      <a:extLst/>
                    </a:blip>
                    <a:stretch>
                      <a:fillRect/>
                    </a:stretch>
                  </pic:blipFill>
                  <pic:spPr>
                    <a:xfrm>
                      <a:off x="0" y="0"/>
                      <a:ext cx="4487546" cy="3963035"/>
                    </a:xfrm>
                    <a:prstGeom prst="rect">
                      <a:avLst/>
                    </a:prstGeom>
                    <a:ln w="12700" cap="flat">
                      <a:noFill/>
                      <a:miter lim="400000"/>
                    </a:ln>
                    <a:effectLst/>
                  </pic:spPr>
                </pic:pic>
              </a:graphicData>
            </a:graphic>
          </wp:inline>
        </w:drawing>
      </w:r>
    </w:p>
    <w:p>
      <w:pPr>
        <w:pStyle w:val="Body A"/>
        <w:spacing w:after="200" w:line="288" w:lineRule="auto"/>
        <w:rPr>
          <w:sz w:val="24"/>
          <w:szCs w:val="24"/>
        </w:rPr>
      </w:pPr>
      <w:r>
        <w:rPr>
          <w:b w:val="1"/>
          <w:bCs w:val="1"/>
          <w:sz w:val="24"/>
          <w:szCs w:val="24"/>
          <w:rtl w:val="0"/>
          <w:lang w:val="en-US"/>
        </w:rPr>
        <w:t>Supplementary Figure S5.</w:t>
      </w:r>
      <w:r>
        <w:rPr>
          <w:b w:val="1"/>
          <w:bCs w:val="1"/>
          <w:sz w:val="24"/>
          <w:szCs w:val="24"/>
          <w:rtl w:val="0"/>
          <w:lang w:val="de-DE"/>
        </w:rPr>
        <w:t xml:space="preserve"> </w:t>
      </w:r>
      <w:r>
        <w:rPr>
          <w:b w:val="1"/>
          <w:bCs w:val="1"/>
          <w:sz w:val="24"/>
          <w:szCs w:val="24"/>
          <w:rtl w:val="0"/>
          <w:lang w:val="en-US"/>
        </w:rPr>
        <w:t>Network-level motion contamination in the main cohort (N = 738).</w:t>
      </w:r>
      <w:r>
        <w:rPr>
          <w:b w:val="1"/>
          <w:bCs w:val="1"/>
          <w:sz w:val="24"/>
          <w:szCs w:val="24"/>
          <w:rtl w:val="0"/>
          <w:lang w:val="de-DE"/>
        </w:rPr>
        <w:t xml:space="preserve"> </w:t>
      </w:r>
      <w:r>
        <w:rPr>
          <w:sz w:val="24"/>
          <w:szCs w:val="24"/>
          <w:rtl w:val="0"/>
          <w:lang w:val="en-US"/>
        </w:rPr>
        <w:t>Median absolute QC</w:t>
      </w:r>
      <w:r>
        <w:rPr>
          <w:sz w:val="24"/>
          <w:szCs w:val="24"/>
          <w:rtl w:val="0"/>
          <w:lang w:val="en-US"/>
        </w:rPr>
        <w:t>–</w:t>
      </w:r>
      <w:r>
        <w:rPr>
          <w:sz w:val="24"/>
          <w:szCs w:val="24"/>
          <w:rtl w:val="0"/>
          <w:lang w:val="en-US"/>
        </w:rPr>
        <w:t>FC correlation aggregated across the seven Yeo cortical networks and the subcortical block (Tian S1). All 64 within- and between-network blocks fall well below the Parkes et al. (2018) 0.10 clean threshold (range 0.021</w:t>
      </w:r>
      <w:r>
        <w:rPr>
          <w:sz w:val="24"/>
          <w:szCs w:val="24"/>
          <w:rtl w:val="0"/>
          <w:lang w:val="en-US"/>
        </w:rPr>
        <w:t>–</w:t>
      </w:r>
      <w:r>
        <w:rPr>
          <w:sz w:val="24"/>
          <w:szCs w:val="24"/>
          <w:rtl w:val="0"/>
          <w:lang w:val="en-US"/>
        </w:rPr>
        <w:t>0.061</w:t>
      </w:r>
      <w:r>
        <w:rPr>
          <w:sz w:val="24"/>
          <w:szCs w:val="24"/>
          <w:rtl w:val="0"/>
          <w:lang w:val="de-DE"/>
        </w:rPr>
        <w:t>).</w:t>
      </w:r>
    </w:p>
    <w:p>
      <w:pPr>
        <w:pStyle w:val="Body A"/>
        <w:keepNext w:val="1"/>
        <w:spacing w:before="120" w:after="120"/>
        <w:jc w:val="center"/>
      </w:pPr>
      <w:r>
        <w:rPr>
          <w:sz w:val="24"/>
          <w:szCs w:val="24"/>
        </w:rPr>
        <w:drawing xmlns:a="http://schemas.openxmlformats.org/drawingml/2006/main">
          <wp:inline distT="0" distB="0" distL="0" distR="0">
            <wp:extent cx="4922520" cy="3704590"/>
            <wp:effectExtent l="0" t="0" r="0" b="0"/>
            <wp:docPr id="1073741830" name="officeArt object" descr="qcfc_distance_216_main_ukb25741.png"/>
            <wp:cNvGraphicFramePr/>
            <a:graphic xmlns:a="http://schemas.openxmlformats.org/drawingml/2006/main">
              <a:graphicData uri="http://schemas.openxmlformats.org/drawingml/2006/picture">
                <pic:pic xmlns:pic="http://schemas.openxmlformats.org/drawingml/2006/picture">
                  <pic:nvPicPr>
                    <pic:cNvPr id="1073741830" name="qcfc_distance_216_main_ukb25741.png" descr="qcfc_distance_216_main_ukb25741.png"/>
                    <pic:cNvPicPr>
                      <a:picLocks noChangeAspect="1"/>
                    </pic:cNvPicPr>
                  </pic:nvPicPr>
                  <pic:blipFill>
                    <a:blip r:embed="rId9">
                      <a:extLst/>
                    </a:blip>
                    <a:stretch>
                      <a:fillRect/>
                    </a:stretch>
                  </pic:blipFill>
                  <pic:spPr>
                    <a:xfrm>
                      <a:off x="0" y="0"/>
                      <a:ext cx="4922520" cy="3704590"/>
                    </a:xfrm>
                    <a:prstGeom prst="rect">
                      <a:avLst/>
                    </a:prstGeom>
                    <a:ln w="12700" cap="flat">
                      <a:noFill/>
                      <a:miter lim="400000"/>
                    </a:ln>
                    <a:effectLst/>
                  </pic:spPr>
                </pic:pic>
              </a:graphicData>
            </a:graphic>
          </wp:inline>
        </w:drawing>
      </w:r>
    </w:p>
    <w:p>
      <w:pPr>
        <w:pStyle w:val="Body A"/>
        <w:spacing w:after="200" w:line="288" w:lineRule="auto"/>
      </w:pPr>
      <w:r>
        <w:rPr>
          <w:b w:val="1"/>
          <w:bCs w:val="1"/>
          <w:sz w:val="24"/>
          <w:szCs w:val="24"/>
          <w:rtl w:val="0"/>
          <w:lang w:val="de-DE"/>
        </w:rPr>
        <w:t xml:space="preserve">Supplementary Figure S6. </w:t>
      </w:r>
      <w:r>
        <w:rPr>
          <w:sz w:val="24"/>
          <w:szCs w:val="24"/>
          <w:rtl w:val="0"/>
          <w:lang w:val="en-US"/>
        </w:rPr>
        <w:t>Distance dependence of QC</w:t>
      </w:r>
      <w:r>
        <w:rPr>
          <w:sz w:val="24"/>
          <w:szCs w:val="24"/>
          <w:rtl w:val="0"/>
          <w:lang w:val="en-US"/>
        </w:rPr>
        <w:t>–</w:t>
      </w:r>
      <w:r>
        <w:rPr>
          <w:sz w:val="24"/>
          <w:szCs w:val="24"/>
          <w:rtl w:val="0"/>
          <w:lang w:val="en-US"/>
        </w:rPr>
        <w:t xml:space="preserve">FC in the main cohort (N = 738). Spearman </w:t>
      </w:r>
      <w:r>
        <w:rPr>
          <w:sz w:val="24"/>
          <w:szCs w:val="24"/>
          <w:rtl w:val="0"/>
          <w:lang w:val="en-US"/>
        </w:rPr>
        <w:t xml:space="preserve">ρ </w:t>
      </w:r>
      <w:r>
        <w:rPr>
          <w:sz w:val="24"/>
          <w:szCs w:val="24"/>
          <w:rtl w:val="0"/>
          <w:lang w:val="en-US"/>
        </w:rPr>
        <w:t>= +0.19 between Euclidean inter-node distance and edge-wise QC</w:t>
      </w:r>
      <w:r>
        <w:rPr>
          <w:sz w:val="24"/>
          <w:szCs w:val="24"/>
          <w:rtl w:val="0"/>
          <w:lang w:val="en-US"/>
        </w:rPr>
        <w:t>–</w:t>
      </w:r>
      <w:r>
        <w:rPr>
          <w:sz w:val="24"/>
          <w:szCs w:val="24"/>
          <w:rtl w:val="0"/>
          <w:lang w:val="en-US"/>
        </w:rPr>
        <w:t>FC. The mildly positive slope is opposite to the canonical short-range motion artefact (Power et al., 2014), indicating no residual distance-structured motion contamination.</w:t>
      </w:r>
    </w:p>
    <w:p>
      <w:pPr>
        <w:pStyle w:val="Body A"/>
        <w:keepNext w:val="1"/>
        <w:spacing w:before="120" w:after="120"/>
        <w:jc w:val="center"/>
      </w:pPr>
      <w:r>
        <w:rPr>
          <w:sz w:val="24"/>
          <w:szCs w:val="24"/>
        </w:rPr>
        <w:drawing xmlns:a="http://schemas.openxmlformats.org/drawingml/2006/main">
          <wp:inline distT="0" distB="0" distL="0" distR="0">
            <wp:extent cx="4205356" cy="5069602"/>
            <wp:effectExtent l="0" t="0" r="0" b="0"/>
            <wp:docPr id="1073741831" name="officeArt object" descr="heldout_violin_within_subnetwork_FC(3).png"/>
            <wp:cNvGraphicFramePr/>
            <a:graphic xmlns:a="http://schemas.openxmlformats.org/drawingml/2006/main">
              <a:graphicData uri="http://schemas.openxmlformats.org/drawingml/2006/picture">
                <pic:pic xmlns:pic="http://schemas.openxmlformats.org/drawingml/2006/picture">
                  <pic:nvPicPr>
                    <pic:cNvPr id="1073741831" name="heldout_violin_within_subnetwork_FC(3).png" descr="heldout_violin_within_subnetwork_FC(3).png"/>
                    <pic:cNvPicPr>
                      <a:picLocks noChangeAspect="1"/>
                    </pic:cNvPicPr>
                  </pic:nvPicPr>
                  <pic:blipFill>
                    <a:blip r:embed="rId10">
                      <a:extLst/>
                    </a:blip>
                    <a:stretch>
                      <a:fillRect/>
                    </a:stretch>
                  </pic:blipFill>
                  <pic:spPr>
                    <a:xfrm>
                      <a:off x="0" y="0"/>
                      <a:ext cx="4205356" cy="5069602"/>
                    </a:xfrm>
                    <a:prstGeom prst="rect">
                      <a:avLst/>
                    </a:prstGeom>
                    <a:ln w="12700" cap="flat">
                      <a:noFill/>
                      <a:miter lim="400000"/>
                    </a:ln>
                    <a:effectLst/>
                  </pic:spPr>
                </pic:pic>
              </a:graphicData>
            </a:graphic>
          </wp:inline>
        </w:drawing>
      </w:r>
    </w:p>
    <w:p>
      <w:pPr>
        <w:pStyle w:val="Body A"/>
        <w:spacing w:after="200" w:line="288" w:lineRule="auto"/>
        <w:rPr>
          <w:sz w:val="24"/>
          <w:szCs w:val="24"/>
        </w:rPr>
      </w:pPr>
      <w:r>
        <w:rPr>
          <w:b w:val="1"/>
          <w:bCs w:val="1"/>
          <w:rtl w:val="0"/>
          <w:lang w:val="en-US"/>
        </w:rPr>
        <w:t>Supplementary Figure S7. Internal held-out validation of the AF &gt; Control subnetwork.</w:t>
      </w:r>
      <w:r>
        <w:rPr>
          <w:rtl w:val="0"/>
          <w:lang w:val="en-US"/>
        </w:rPr>
        <w:t xml:space="preserve"> Mean Fisher-z connectivity across the 264 NBS-identified subnetwork edges (defined in the primary N = 738 cohort) in an internal held-out sample of 324 propensity-matched individuals (108 AF, 216 controls), excluded from the primary analysis because of incomplete cognitive testing and therefore not contributing to defining the subnetwork. AF participants showed significantly higher within-subnetwork connectivity than controls (</w:t>
      </w:r>
      <w:r>
        <w:rPr>
          <w:rtl w:val="0"/>
          <w:lang w:val="en-US"/>
        </w:rPr>
        <w:t xml:space="preserve">β </w:t>
      </w:r>
      <w:r>
        <w:rPr>
          <w:rtl w:val="0"/>
          <w:lang w:val="en-US"/>
        </w:rPr>
        <w:t xml:space="preserve">= 0.043, SE = 0.012, t = 3.71, p = 2 </w:t>
      </w:r>
      <w:r>
        <w:rPr>
          <w:rtl w:val="0"/>
          <w:lang w:val="en-US"/>
        </w:rPr>
        <w:t xml:space="preserve">× </w:t>
      </w:r>
      <w:r>
        <w:rPr>
          <w:rtl w:val="0"/>
          <w:lang w:val="en-US"/>
        </w:rPr>
        <w:t>10</w:t>
      </w:r>
      <w:r>
        <w:rPr>
          <w:rFonts w:ascii="Arial Unicode MS" w:hAnsi="Arial Unicode MS" w:hint="default"/>
          <w:rtl w:val="0"/>
          <w:lang w:val="en-US"/>
        </w:rPr>
        <w:t>⁻⁴</w:t>
      </w:r>
      <w:r>
        <w:rPr>
          <w:rtl w:val="0"/>
          <w:lang w:val="en-US"/>
        </w:rPr>
        <w:t>; Cohen's d = 0.45), using OLS with HC3 robust standard errors and the same covariate set as the primary analysis. Violins show the full distribution; boxes show median and IQR; the dashed line marks zero. ***p &lt; 0.001. AF, atrial fibrillation.</w:t>
      </w:r>
    </w:p>
    <w:p>
      <w:pPr>
        <w:pStyle w:val="Body A"/>
        <w:spacing w:after="200" w:line="288" w:lineRule="auto"/>
        <w:rPr>
          <w:sz w:val="24"/>
          <w:szCs w:val="24"/>
        </w:rPr>
      </w:pPr>
    </w:p>
    <w:p>
      <w:pPr>
        <w:pStyle w:val="Body A"/>
        <w:spacing w:after="200" w:line="288" w:lineRule="auto"/>
        <w:rPr>
          <w:sz w:val="24"/>
          <w:szCs w:val="24"/>
        </w:rPr>
      </w:pPr>
    </w:p>
    <w:p>
      <w:pPr>
        <w:pStyle w:val="Body A"/>
        <w:spacing w:after="200" w:line="288" w:lineRule="auto"/>
      </w:pPr>
    </w:p>
    <w:p>
      <w:pPr>
        <w:pStyle w:val="Body A"/>
        <w:spacing w:after="200" w:line="288" w:lineRule="auto"/>
      </w:pPr>
    </w:p>
    <w:p>
      <w:pPr>
        <w:pStyle w:val="Body A"/>
        <w:spacing w:after="200" w:line="288" w:lineRule="auto"/>
      </w:pPr>
    </w:p>
    <w:p>
      <w:pPr>
        <w:pStyle w:val="Heading"/>
        <w:keepNext w:val="0"/>
        <w:keepLines w:val="0"/>
        <w:spacing w:before="360" w:after="200" w:line="288" w:lineRule="auto"/>
        <w:rPr>
          <w:b w:val="1"/>
          <w:bCs w:val="1"/>
          <w:sz w:val="24"/>
          <w:szCs w:val="24"/>
        </w:rPr>
      </w:pPr>
      <w:r>
        <w:rPr>
          <w:b w:val="1"/>
          <w:bCs w:val="1"/>
          <w:sz w:val="24"/>
          <w:szCs w:val="24"/>
          <w:rtl w:val="0"/>
          <w:lang w:val="en-US"/>
        </w:rPr>
        <w:t>Supplementary Tables</w:t>
      </w:r>
    </w:p>
    <w:p>
      <w:pPr>
        <w:pStyle w:val="Heading 2"/>
        <w:keepNext w:val="0"/>
        <w:keepLines w:val="0"/>
        <w:spacing w:before="280" w:after="160" w:line="288" w:lineRule="auto"/>
        <w:rPr>
          <w:b w:val="1"/>
          <w:bCs w:val="1"/>
          <w:sz w:val="24"/>
          <w:szCs w:val="24"/>
        </w:rPr>
      </w:pPr>
      <w:r>
        <w:rPr>
          <w:b w:val="1"/>
          <w:bCs w:val="1"/>
          <w:sz w:val="24"/>
          <w:szCs w:val="24"/>
          <w:rtl w:val="0"/>
          <w:lang w:val="en-US"/>
        </w:rPr>
        <w:t>Supplementary Table S1. Excluded diagnoses.</w:t>
      </w:r>
    </w:p>
    <w:p>
      <w:pPr>
        <w:pStyle w:val="Body A"/>
        <w:spacing w:after="140" w:line="288" w:lineRule="auto"/>
        <w:rPr>
          <w:sz w:val="24"/>
          <w:szCs w:val="24"/>
        </w:rPr>
      </w:pPr>
      <w:r>
        <w:rPr>
          <w:i w:val="1"/>
          <w:iCs w:val="1"/>
          <w:sz w:val="24"/>
          <w:szCs w:val="24"/>
          <w:rtl w:val="0"/>
          <w:lang w:val="en-US"/>
        </w:rPr>
        <w:t>Diagnoses excluded prior to AF/control selection. Both ICD-10 (UK Biobank field 41270 / 41202) and self-reported (UK Biobank field 20002) sources were used. Participants meeting any criterion were excluded.</w:t>
      </w:r>
    </w:p>
    <w:tbl>
      <w:tblPr>
        <w:tblW w:w="8783"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42"/>
        <w:gridCol w:w="2928"/>
        <w:gridCol w:w="3513"/>
      </w:tblGrid>
      <w:tr>
        <w:tblPrEx>
          <w:shd w:val="clear" w:color="auto" w:fill="4f81bd"/>
        </w:tblPrEx>
        <w:trPr>
          <w:trHeight w:val="404" w:hRule="atLeast"/>
          <w:tblHeader/>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Category</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ICD-10 codes</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Self-reported codes</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Stroke (any subtype)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I60, I61, I63, I64</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1081, 1082, 1083, 1086, 1491, 1583</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Transient ischaemic attack</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G45</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1082</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Other cerebrovascular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I65, I66, I67, I68, I69</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1086, 1583</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Subarachnoid / intracerebral haemorrhage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I60, I61, I62</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1086, 1491</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Dementia (all causes)</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F00, F01, F02, F03, G30</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1263</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Mild cognitive impairment</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F06.7</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Parkinson's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G20</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1262</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Other extrapyramidal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G21</w:t>
            </w:r>
            <w:r>
              <w:rPr>
                <w:sz w:val="18"/>
                <w:szCs w:val="18"/>
                <w:shd w:val="nil" w:color="auto" w:fill="auto"/>
                <w:rtl w:val="0"/>
                <w:lang w:val="en-US"/>
              </w:rPr>
              <w:t>–</w:t>
            </w:r>
            <w:r>
              <w:rPr>
                <w:sz w:val="18"/>
                <w:szCs w:val="18"/>
                <w:shd w:val="nil" w:color="auto" w:fill="auto"/>
                <w:rtl w:val="0"/>
                <w:lang w:val="en-US"/>
              </w:rPr>
              <w:t>G25</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Multiple sclerosis</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G35</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1261</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Other demyelinating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G36, G37</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Motor neuron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G12</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1259</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Epilepsy</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G40, G41</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1264</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Migraine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G43</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1265</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Brain tumour (any)</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C71, D33, D43</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1031, 1032, 1437, 1438</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Encephalitis</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G04, G05</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1247</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Meningitis</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G00</w:t>
            </w:r>
            <w:r>
              <w:rPr>
                <w:sz w:val="18"/>
                <w:szCs w:val="18"/>
                <w:shd w:val="nil" w:color="auto" w:fill="auto"/>
                <w:rtl w:val="0"/>
                <w:lang w:val="en-US"/>
              </w:rPr>
              <w:t>–</w:t>
            </w:r>
            <w:r>
              <w:rPr>
                <w:sz w:val="18"/>
                <w:szCs w:val="18"/>
                <w:shd w:val="nil" w:color="auto" w:fill="auto"/>
                <w:rtl w:val="0"/>
                <w:lang w:val="en-US"/>
              </w:rPr>
              <w:t>G03</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1246</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Traumatic brain injury</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S06, S07</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1266</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Hydrocephalus</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G91</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Schizophrenia</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F20</w:t>
            </w:r>
            <w:r>
              <w:rPr>
                <w:sz w:val="18"/>
                <w:szCs w:val="18"/>
                <w:shd w:val="nil" w:color="auto" w:fill="auto"/>
                <w:rtl w:val="0"/>
                <w:lang w:val="en-US"/>
              </w:rPr>
              <w:t>–</w:t>
            </w:r>
            <w:r>
              <w:rPr>
                <w:sz w:val="18"/>
                <w:szCs w:val="18"/>
                <w:shd w:val="nil" w:color="auto" w:fill="auto"/>
                <w:rtl w:val="0"/>
                <w:lang w:val="en-US"/>
              </w:rPr>
              <w:t>F29</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1289</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Bipolar disorder</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F30, F31</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1291</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Major depressive disorder (recurrent severe)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F33.2, F33.3</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Substance use disorders (other than alcohol)</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F11</w:t>
            </w:r>
            <w:r>
              <w:rPr>
                <w:sz w:val="18"/>
                <w:szCs w:val="18"/>
                <w:shd w:val="nil" w:color="auto" w:fill="auto"/>
                <w:rtl w:val="0"/>
                <w:lang w:val="en-US"/>
              </w:rPr>
              <w:t>–</w:t>
            </w:r>
            <w:r>
              <w:rPr>
                <w:sz w:val="18"/>
                <w:szCs w:val="18"/>
                <w:shd w:val="nil" w:color="auto" w:fill="auto"/>
                <w:rtl w:val="0"/>
                <w:lang w:val="en-US"/>
              </w:rPr>
              <w:t>F19</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1408</w:t>
            </w:r>
            <w:r>
              <w:rPr>
                <w:sz w:val="18"/>
                <w:szCs w:val="18"/>
                <w:shd w:val="nil" w:color="auto" w:fill="auto"/>
                <w:rtl w:val="0"/>
                <w:lang w:val="en-US"/>
              </w:rPr>
              <w:t>–</w:t>
            </w:r>
            <w:r>
              <w:rPr>
                <w:sz w:val="18"/>
                <w:szCs w:val="18"/>
                <w:shd w:val="nil" w:color="auto" w:fill="auto"/>
                <w:rtl w:val="0"/>
                <w:lang w:val="en-US"/>
              </w:rPr>
              <w:t>1411</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 xml:space="preserve">Severe psychiatric disorders </w:t>
            </w:r>
            <w:r>
              <w:rPr>
                <w:sz w:val="18"/>
                <w:szCs w:val="18"/>
                <w:shd w:val="nil" w:color="auto" w:fill="auto"/>
                <w:rtl w:val="0"/>
                <w:lang w:val="en-US"/>
              </w:rPr>
              <w:t xml:space="preserve">— </w:t>
            </w:r>
            <w:r>
              <w:rPr>
                <w:sz w:val="18"/>
                <w:szCs w:val="18"/>
                <w:shd w:val="nil" w:color="auto" w:fill="auto"/>
                <w:rtl w:val="0"/>
                <w:lang w:val="en-US"/>
              </w:rPr>
              <w:t>other</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F00</w:t>
            </w:r>
            <w:r>
              <w:rPr>
                <w:sz w:val="18"/>
                <w:szCs w:val="18"/>
                <w:shd w:val="nil" w:color="auto" w:fill="auto"/>
                <w:rtl w:val="0"/>
                <w:lang w:val="en-US"/>
              </w:rPr>
              <w:t>–</w:t>
            </w:r>
            <w:r>
              <w:rPr>
                <w:sz w:val="18"/>
                <w:szCs w:val="18"/>
                <w:shd w:val="nil" w:color="auto" w:fill="auto"/>
                <w:rtl w:val="0"/>
                <w:lang w:val="en-US"/>
              </w:rPr>
              <w:t>F09 (organic), F22</w:t>
            </w:r>
            <w:r>
              <w:rPr>
                <w:sz w:val="18"/>
                <w:szCs w:val="18"/>
                <w:shd w:val="nil" w:color="auto" w:fill="auto"/>
                <w:rtl w:val="0"/>
                <w:lang w:val="en-US"/>
              </w:rPr>
              <w:t>–</w:t>
            </w:r>
            <w:r>
              <w:rPr>
                <w:sz w:val="18"/>
                <w:szCs w:val="18"/>
                <w:shd w:val="nil" w:color="auto" w:fill="auto"/>
                <w:rtl w:val="0"/>
                <w:lang w:val="en-US"/>
              </w:rPr>
              <w:t>F29</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Cardiac arrest / sudden cardiac death</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I46</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Severe valvular heart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I05</w:t>
            </w:r>
            <w:r>
              <w:rPr>
                <w:sz w:val="18"/>
                <w:szCs w:val="18"/>
                <w:shd w:val="nil" w:color="auto" w:fill="auto"/>
                <w:rtl w:val="0"/>
                <w:lang w:val="en-US"/>
              </w:rPr>
              <w:t>–</w:t>
            </w:r>
            <w:r>
              <w:rPr>
                <w:sz w:val="18"/>
                <w:szCs w:val="18"/>
                <w:shd w:val="nil" w:color="auto" w:fill="auto"/>
                <w:rtl w:val="0"/>
                <w:lang w:val="en-US"/>
              </w:rPr>
              <w:t>I08, I34</w:t>
            </w:r>
            <w:r>
              <w:rPr>
                <w:sz w:val="18"/>
                <w:szCs w:val="18"/>
                <w:shd w:val="nil" w:color="auto" w:fill="auto"/>
                <w:rtl w:val="0"/>
                <w:lang w:val="en-US"/>
              </w:rPr>
              <w:t>–</w:t>
            </w:r>
            <w:r>
              <w:rPr>
                <w:sz w:val="18"/>
                <w:szCs w:val="18"/>
                <w:shd w:val="nil" w:color="auto" w:fill="auto"/>
                <w:rtl w:val="0"/>
                <w:lang w:val="en-US"/>
              </w:rPr>
              <w:t>I39</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1490, 1586, 1587</w:t>
            </w:r>
          </w:p>
        </w:tc>
      </w:tr>
      <w:tr>
        <w:tblPrEx>
          <w:shd w:val="clear" w:color="auto" w:fill="ced7e7"/>
        </w:tblPrEx>
        <w:trPr>
          <w:trHeight w:val="4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Cardiomyopathy (severe)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I42, I43</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1079</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Implanted cardiac device (pacemaker / ICD)</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Z95.0</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Active malignancy (within 5 years, brain-affecting)</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Various C-codes</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End-stage renal / hepatic disease</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N18.5</w:t>
            </w:r>
            <w:r>
              <w:rPr>
                <w:sz w:val="18"/>
                <w:szCs w:val="18"/>
                <w:shd w:val="nil" w:color="auto" w:fill="auto"/>
                <w:rtl w:val="0"/>
                <w:lang w:val="en-US"/>
              </w:rPr>
              <w:t>–</w:t>
            </w:r>
            <w:r>
              <w:rPr>
                <w:sz w:val="18"/>
                <w:szCs w:val="18"/>
                <w:shd w:val="nil" w:color="auto" w:fill="auto"/>
                <w:rtl w:val="0"/>
                <w:lang w:val="en-US"/>
              </w:rPr>
              <w:t>6, K72, K74</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r>
        <w:tblPrEx>
          <w:shd w:val="clear" w:color="auto" w:fill="ced7e7"/>
        </w:tblPrEx>
        <w:trPr>
          <w:trHeight w:val="604" w:hRule="atLeast"/>
        </w:trPr>
        <w:tc>
          <w:tcPr>
            <w:tcW w:type="dxa" w:w="23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MRI contraindication / withdrawal of consent</w:t>
            </w:r>
          </w:p>
        </w:tc>
        <w:tc>
          <w:tcPr>
            <w:tcW w:type="dxa" w:w="29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c>
          <w:tcPr>
            <w:tcW w:type="dxa" w:w="35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p>
        </w:tc>
      </w:tr>
    </w:tbl>
    <w:p>
      <w:pPr>
        <w:pStyle w:val="Body A"/>
        <w:widowControl w:val="0"/>
        <w:spacing w:after="140" w:line="240" w:lineRule="auto"/>
        <w:ind w:left="216" w:hanging="216"/>
        <w:jc w:val="left"/>
        <w:rPr>
          <w:sz w:val="24"/>
          <w:szCs w:val="24"/>
        </w:rPr>
      </w:pPr>
    </w:p>
    <w:p>
      <w:pPr>
        <w:pStyle w:val="Body A"/>
        <w:widowControl w:val="0"/>
        <w:spacing w:after="140" w:line="240" w:lineRule="auto"/>
        <w:ind w:left="108" w:hanging="108"/>
        <w:jc w:val="left"/>
        <w:rPr>
          <w:sz w:val="24"/>
          <w:szCs w:val="24"/>
        </w:rPr>
      </w:pPr>
    </w:p>
    <w:p>
      <w:pPr>
        <w:pStyle w:val="Body A"/>
        <w:widowControl w:val="0"/>
        <w:spacing w:after="140" w:line="240" w:lineRule="auto"/>
        <w:jc w:val="left"/>
        <w:rPr>
          <w:sz w:val="24"/>
          <w:szCs w:val="24"/>
        </w:rPr>
      </w:pPr>
    </w:p>
    <w:p>
      <w:pPr>
        <w:pStyle w:val="Body A"/>
        <w:widowControl w:val="0"/>
        <w:spacing w:after="140" w:line="240" w:lineRule="auto"/>
        <w:ind w:left="2700" w:hanging="2700"/>
        <w:jc w:val="left"/>
        <w:rPr>
          <w:sz w:val="24"/>
          <w:szCs w:val="24"/>
        </w:rPr>
      </w:pPr>
    </w:p>
    <w:p>
      <w:pPr>
        <w:pStyle w:val="Body A"/>
        <w:widowControl w:val="0"/>
        <w:spacing w:after="140" w:line="240" w:lineRule="auto"/>
        <w:ind w:left="2592" w:hanging="2592"/>
        <w:jc w:val="left"/>
        <w:rPr>
          <w:sz w:val="24"/>
          <w:szCs w:val="24"/>
        </w:rPr>
      </w:pPr>
    </w:p>
    <w:p>
      <w:pPr>
        <w:pStyle w:val="Body A"/>
        <w:widowControl w:val="0"/>
        <w:spacing w:after="140" w:line="240" w:lineRule="auto"/>
        <w:ind w:left="2484" w:hanging="2484"/>
        <w:jc w:val="left"/>
        <w:rPr>
          <w:sz w:val="24"/>
          <w:szCs w:val="24"/>
        </w:rPr>
      </w:pPr>
    </w:p>
    <w:p>
      <w:pPr>
        <w:pStyle w:val="Body A"/>
        <w:widowControl w:val="0"/>
        <w:spacing w:after="140" w:line="240" w:lineRule="auto"/>
        <w:ind w:left="2376" w:hanging="2376"/>
        <w:jc w:val="left"/>
        <w:rPr>
          <w:sz w:val="24"/>
          <w:szCs w:val="24"/>
        </w:rPr>
      </w:pPr>
    </w:p>
    <w:p>
      <w:pPr>
        <w:pStyle w:val="Body A"/>
        <w:widowControl w:val="0"/>
        <w:spacing w:after="140" w:line="240" w:lineRule="auto"/>
        <w:ind w:left="2268" w:hanging="2268"/>
        <w:jc w:val="left"/>
        <w:rPr>
          <w:sz w:val="24"/>
          <w:szCs w:val="24"/>
        </w:rPr>
      </w:pPr>
    </w:p>
    <w:p>
      <w:pPr>
        <w:pStyle w:val="Body A"/>
        <w:widowControl w:val="0"/>
        <w:spacing w:after="140" w:line="240" w:lineRule="auto"/>
        <w:ind w:left="2160" w:hanging="2160"/>
        <w:jc w:val="left"/>
        <w:rPr>
          <w:sz w:val="24"/>
          <w:szCs w:val="24"/>
        </w:rPr>
      </w:pPr>
    </w:p>
    <w:p>
      <w:pPr>
        <w:pStyle w:val="Body A"/>
        <w:widowControl w:val="0"/>
        <w:spacing w:after="140" w:line="240" w:lineRule="auto"/>
        <w:ind w:left="2052" w:hanging="2052"/>
        <w:jc w:val="left"/>
        <w:rPr>
          <w:sz w:val="24"/>
          <w:szCs w:val="24"/>
        </w:rPr>
      </w:pPr>
    </w:p>
    <w:p>
      <w:pPr>
        <w:pStyle w:val="Body A"/>
        <w:widowControl w:val="0"/>
        <w:spacing w:after="140" w:line="240" w:lineRule="auto"/>
        <w:ind w:left="1944" w:hanging="1944"/>
        <w:jc w:val="left"/>
        <w:rPr>
          <w:sz w:val="24"/>
          <w:szCs w:val="24"/>
        </w:rPr>
      </w:pPr>
    </w:p>
    <w:p>
      <w:pPr>
        <w:pStyle w:val="Body A"/>
        <w:widowControl w:val="0"/>
        <w:spacing w:after="140" w:line="240" w:lineRule="auto"/>
        <w:ind w:left="1836" w:hanging="1836"/>
        <w:rPr>
          <w:sz w:val="24"/>
          <w:szCs w:val="24"/>
        </w:rPr>
      </w:pPr>
    </w:p>
    <w:p>
      <w:pPr>
        <w:pStyle w:val="Body A"/>
        <w:widowControl w:val="0"/>
        <w:spacing w:after="140" w:line="240" w:lineRule="auto"/>
        <w:ind w:left="1728" w:hanging="1728"/>
        <w:rPr>
          <w:sz w:val="24"/>
          <w:szCs w:val="24"/>
        </w:rPr>
      </w:pPr>
    </w:p>
    <w:p>
      <w:pPr>
        <w:pStyle w:val="Body A"/>
        <w:widowControl w:val="0"/>
        <w:spacing w:after="140" w:line="240" w:lineRule="auto"/>
        <w:ind w:left="1620" w:hanging="1620"/>
        <w:rPr>
          <w:sz w:val="24"/>
          <w:szCs w:val="24"/>
        </w:rPr>
      </w:pPr>
    </w:p>
    <w:p>
      <w:pPr>
        <w:pStyle w:val="Body A"/>
        <w:widowControl w:val="0"/>
        <w:spacing w:after="140" w:line="240" w:lineRule="auto"/>
        <w:ind w:left="1512" w:hanging="1512"/>
        <w:rPr>
          <w:sz w:val="24"/>
          <w:szCs w:val="24"/>
        </w:rPr>
      </w:pPr>
    </w:p>
    <w:p>
      <w:pPr>
        <w:pStyle w:val="Body A"/>
        <w:widowControl w:val="0"/>
        <w:spacing w:after="140" w:line="240" w:lineRule="auto"/>
        <w:ind w:left="1404" w:hanging="1404"/>
        <w:rPr>
          <w:sz w:val="24"/>
          <w:szCs w:val="24"/>
        </w:rPr>
      </w:pPr>
    </w:p>
    <w:p>
      <w:pPr>
        <w:pStyle w:val="Heading 2"/>
        <w:keepNext w:val="0"/>
        <w:keepLines w:val="0"/>
        <w:spacing w:before="280" w:after="160" w:line="288" w:lineRule="auto"/>
        <w:rPr>
          <w:b w:val="1"/>
          <w:bCs w:val="1"/>
          <w:sz w:val="24"/>
          <w:szCs w:val="24"/>
        </w:rPr>
      </w:pPr>
      <w:r>
        <w:rPr>
          <w:b w:val="1"/>
          <w:bCs w:val="1"/>
          <w:sz w:val="24"/>
          <w:szCs w:val="24"/>
          <w:rtl w:val="0"/>
          <w:lang w:val="en-US"/>
        </w:rPr>
        <w:t>Supplementary Table S2. Cognitive domain results across WMH model specifications.</w:t>
      </w:r>
    </w:p>
    <w:p>
      <w:pPr>
        <w:pStyle w:val="Default"/>
        <w:spacing w:before="0" w:line="240" w:lineRule="auto"/>
        <w:rPr>
          <w:rFonts w:ascii="Arial" w:cs="Arial" w:hAnsi="Arial" w:eastAsia="Arial"/>
          <w:b w:val="1"/>
          <w:bCs w:val="1"/>
        </w:rPr>
      </w:pPr>
      <w:r>
        <w:rPr>
          <w:rFonts w:ascii="Arial" w:hAnsi="Arial"/>
          <w:rtl w:val="0"/>
          <w:lang w:val="en-US"/>
        </w:rPr>
        <w:t xml:space="preserve">Cohen's d is computed as (AF </w:t>
      </w:r>
      <w:r>
        <w:rPr>
          <w:rFonts w:ascii="Arial" w:hAnsi="Arial" w:hint="default"/>
          <w:rtl w:val="0"/>
          <w:lang w:val="en-US"/>
        </w:rPr>
        <w:t xml:space="preserve">− </w:t>
      </w:r>
      <w:r>
        <w:rPr>
          <w:rFonts w:ascii="Arial" w:hAnsi="Arial"/>
          <w:rtl w:val="0"/>
          <w:lang w:val="en-US"/>
        </w:rPr>
        <w:t xml:space="preserve">controls)/pooled SD, the same direction used for all imaging contrasts (positive </w:t>
      </w:r>
      <w:r>
        <w:rPr>
          <w:rFonts w:ascii="Arial" w:hAnsi="Arial" w:hint="default"/>
          <w:rtl w:val="0"/>
          <w:lang w:val="en-US"/>
        </w:rPr>
        <w:t xml:space="preserve">β </w:t>
      </w:r>
      <w:r>
        <w:rPr>
          <w:rFonts w:ascii="Arial" w:hAnsi="Arial"/>
          <w:rtl w:val="0"/>
          <w:lang w:val="en-US"/>
        </w:rPr>
        <w:t>= higher in AF).</w:t>
      </w:r>
      <w:r>
        <w:rPr>
          <w:rFonts w:ascii="Arial" w:hAnsi="Arial"/>
          <w:rtl w:val="0"/>
          <w:lang w:val="de-DE"/>
        </w:rPr>
        <w:t xml:space="preserve"> </w:t>
      </w:r>
      <w:r>
        <w:rPr>
          <w:rFonts w:ascii="Arial" w:hAnsi="Arial"/>
          <w:rtl w:val="0"/>
          <w:lang w:val="en-US"/>
        </w:rPr>
        <w:t>All cognitive measures are oriented so that higher scores indicate better performance; negative d therefore indicates poorer performance in AF. Confidence intervals for d are large-sample approximations based on group sizes and are unadjusted for multiplicity.</w:t>
      </w:r>
    </w:p>
    <w:p>
      <w:pPr>
        <w:pStyle w:val="Heading 3"/>
        <w:keepNext w:val="0"/>
        <w:keepLines w:val="0"/>
        <w:spacing w:before="220" w:after="120" w:line="288" w:lineRule="auto"/>
        <w:rPr>
          <w:b w:val="1"/>
          <w:bCs w:val="1"/>
          <w:i w:val="1"/>
          <w:iCs w:val="1"/>
          <w:outline w:val="0"/>
          <w:color w:val="000000"/>
          <w:sz w:val="24"/>
          <w:szCs w:val="24"/>
          <w:u w:val="none" w:color="000000"/>
          <w14:textFill>
            <w14:solidFill>
              <w14:srgbClr w14:val="000000"/>
            </w14:solidFill>
          </w14:textFill>
        </w:rPr>
      </w:pPr>
      <w:r>
        <w:rPr>
          <w:b w:val="1"/>
          <w:bCs w:val="1"/>
          <w:i w:val="1"/>
          <w:iCs w:val="1"/>
          <w:outline w:val="0"/>
          <w:color w:val="000000"/>
          <w:sz w:val="24"/>
          <w:szCs w:val="24"/>
          <w:u w:val="none" w:color="000000"/>
          <w:rtl w:val="0"/>
          <w:lang w:val="en-US"/>
          <w14:textFill>
            <w14:solidFill>
              <w14:srgbClr w14:val="000000"/>
            </w14:solidFill>
          </w14:textFill>
        </w:rPr>
        <w:t>Model A. log(1+x)-transformed Deep WMH.</w:t>
      </w:r>
    </w:p>
    <w:tbl>
      <w:tblPr>
        <w:tblW w:w="777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32"/>
        <w:gridCol w:w="1166"/>
        <w:gridCol w:w="1943"/>
        <w:gridCol w:w="1165"/>
        <w:gridCol w:w="1165"/>
      </w:tblGrid>
      <w:tr>
        <w:tblPrEx>
          <w:shd w:val="clear" w:color="auto" w:fill="4f81bd"/>
        </w:tblPrEx>
        <w:trPr>
          <w:trHeight w:val="404" w:hRule="atLeast"/>
          <w:tblHeader/>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Domain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Cohen's d</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95% CI</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 (raw)</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p_FDR</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z w:val="18"/>
                <w:szCs w:val="18"/>
                <w:rtl w:val="0"/>
                <w:lang w:val="de-DE"/>
              </w:rPr>
              <w:t>0.</w:t>
            </w:r>
            <w:r>
              <w:rPr>
                <w:sz w:val="18"/>
                <w:szCs w:val="18"/>
                <w:rtl w:val="0"/>
                <w:lang w:val="en-US"/>
              </w:rPr>
              <w:t>21</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 xml:space="preserve">0.36, </w:t>
            </w:r>
            <w:r>
              <w:rPr>
                <w:shd w:val="nil" w:color="auto" w:fill="auto"/>
                <w:rtl w:val="0"/>
                <w:lang w:val="de-DE"/>
              </w:rPr>
              <w:t>−</w:t>
            </w:r>
            <w:r>
              <w:rPr>
                <w:shd w:val="nil" w:color="auto" w:fill="auto"/>
                <w:rtl w:val="0"/>
                <w:lang w:val="de-DE"/>
              </w:rPr>
              <w:t>0.06]</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0.008</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0.032</w:t>
            </w:r>
          </w:p>
        </w:tc>
      </w:tr>
      <w:tr>
        <w:tblPrEx>
          <w:shd w:val="clear" w:color="auto" w:fill="ced7e7"/>
        </w:tblPrEx>
        <w:trPr>
          <w:trHeight w:val="43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Attention / executive function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en-US"/>
              </w:rPr>
              <w:t>0.02</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de-DE"/>
              </w:rPr>
              <w:t>−</w:t>
            </w:r>
            <w:r>
              <w:rPr>
                <w:sz w:val="18"/>
                <w:szCs w:val="18"/>
                <w:shd w:val="nil" w:color="auto" w:fill="auto"/>
                <w:rtl w:val="0"/>
                <w:lang w:val="de-DE"/>
              </w:rPr>
              <w:t>0.13, +0.17]</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0.805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0.969</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r>
              <w:rPr>
                <w:sz w:val="18"/>
                <w:szCs w:val="18"/>
                <w:shd w:val="nil" w:color="auto" w:fill="auto"/>
                <w:rtl w:val="0"/>
                <w:lang w:val="en-US"/>
              </w:rPr>
              <w:t>−</w:t>
            </w:r>
            <w:r>
              <w:rPr>
                <w:sz w:val="18"/>
                <w:szCs w:val="18"/>
                <w:shd w:val="nil" w:color="auto" w:fill="auto"/>
                <w:rtl w:val="0"/>
                <w:lang w:val="en-US"/>
              </w:rPr>
              <w:t>0.15, +0.15]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0.969</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0.969</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Reasoning</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06</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0.21, +0.09]</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0.444</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0.888</w:t>
            </w:r>
          </w:p>
        </w:tc>
      </w:tr>
    </w:tbl>
    <w:p>
      <w:pPr>
        <w:pStyle w:val="Heading 3"/>
        <w:keepNext w:val="0"/>
        <w:keepLines w:val="0"/>
        <w:widowControl w:val="0"/>
        <w:spacing w:before="220" w:after="120" w:line="240" w:lineRule="auto"/>
        <w:ind w:left="216" w:hanging="216"/>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108" w:hanging="108"/>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2700" w:hanging="2700"/>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2592" w:hanging="2592"/>
        <w:rPr>
          <w:b w:val="1"/>
          <w:bCs w:val="1"/>
          <w:i w:val="1"/>
          <w:iCs w:val="1"/>
          <w:outline w:val="0"/>
          <w:color w:val="000000"/>
          <w:sz w:val="24"/>
          <w:szCs w:val="24"/>
          <w:u w:val="none" w:color="000000"/>
          <w14:textFill>
            <w14:solidFill>
              <w14:srgbClr w14:val="000000"/>
            </w14:solidFill>
          </w14:textFill>
        </w:rPr>
      </w:pPr>
    </w:p>
    <w:p>
      <w:pPr>
        <w:pStyle w:val="Heading 3"/>
        <w:keepNext w:val="0"/>
        <w:keepLines w:val="0"/>
        <w:spacing w:before="220" w:after="120" w:line="288" w:lineRule="auto"/>
        <w:rPr>
          <w:b w:val="1"/>
          <w:bCs w:val="1"/>
          <w:i w:val="1"/>
          <w:iCs w:val="1"/>
          <w:outline w:val="0"/>
          <w:color w:val="000000"/>
          <w:sz w:val="24"/>
          <w:szCs w:val="24"/>
          <w:u w:val="none" w:color="000000"/>
          <w:lang w:val="de-DE"/>
          <w14:textFill>
            <w14:solidFill>
              <w14:srgbClr w14:val="000000"/>
            </w14:solidFill>
          </w14:textFill>
        </w:rPr>
      </w:pPr>
      <w:r>
        <w:rPr>
          <w:b w:val="1"/>
          <w:bCs w:val="1"/>
          <w:i w:val="1"/>
          <w:iCs w:val="1"/>
          <w:outline w:val="0"/>
          <w:color w:val="000000"/>
          <w:sz w:val="24"/>
          <w:szCs w:val="24"/>
          <w:u w:val="none" w:color="000000"/>
          <w:rtl w:val="0"/>
          <w:lang w:val="de-DE"/>
          <w14:textFill>
            <w14:solidFill>
              <w14:srgbClr w14:val="000000"/>
            </w14:solidFill>
          </w14:textFill>
        </w:rPr>
        <w:t>Model B. log(1+x)-transformed Periventricular WMH.</w:t>
      </w:r>
    </w:p>
    <w:tbl>
      <w:tblPr>
        <w:tblW w:w="777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32"/>
        <w:gridCol w:w="1166"/>
        <w:gridCol w:w="1943"/>
        <w:gridCol w:w="1165"/>
        <w:gridCol w:w="1165"/>
      </w:tblGrid>
      <w:tr>
        <w:tblPrEx>
          <w:shd w:val="clear" w:color="auto" w:fill="4f81bd"/>
        </w:tblPrEx>
        <w:trPr>
          <w:trHeight w:val="404" w:hRule="atLeast"/>
          <w:tblHeader/>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Domain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Cohen's d</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95% CI</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 (raw)</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p_FDR</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21</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 xml:space="preserve">0.36, </w:t>
            </w:r>
            <w:r>
              <w:rPr>
                <w:shd w:val="nil" w:color="auto" w:fill="auto"/>
                <w:rtl w:val="0"/>
                <w:lang w:val="de-DE"/>
              </w:rPr>
              <w:t>−</w:t>
            </w:r>
            <w:r>
              <w:rPr>
                <w:shd w:val="nil" w:color="auto" w:fill="auto"/>
                <w:rtl w:val="0"/>
                <w:lang w:val="de-DE"/>
              </w:rPr>
              <w:t>0.06]</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0.008</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0.031</w:t>
            </w:r>
          </w:p>
        </w:tc>
      </w:tr>
      <w:tr>
        <w:tblPrEx>
          <w:shd w:val="clear" w:color="auto" w:fill="ced7e7"/>
        </w:tblPrEx>
        <w:trPr>
          <w:trHeight w:val="43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Attention / executive function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en-US"/>
              </w:rPr>
              <w:t>0.02</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de-DE"/>
              </w:rPr>
              <w:t>−</w:t>
            </w:r>
            <w:r>
              <w:rPr>
                <w:sz w:val="18"/>
                <w:szCs w:val="18"/>
                <w:shd w:val="nil" w:color="auto" w:fill="auto"/>
                <w:rtl w:val="0"/>
                <w:lang w:val="de-DE"/>
              </w:rPr>
              <w:t>0.13, +0.17]</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0.822</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0.982</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r>
              <w:rPr>
                <w:sz w:val="18"/>
                <w:szCs w:val="18"/>
                <w:shd w:val="nil" w:color="auto" w:fill="auto"/>
                <w:rtl w:val="0"/>
                <w:lang w:val="en-US"/>
              </w:rPr>
              <w:t>−</w:t>
            </w:r>
            <w:r>
              <w:rPr>
                <w:sz w:val="18"/>
                <w:szCs w:val="18"/>
                <w:shd w:val="nil" w:color="auto" w:fill="auto"/>
                <w:rtl w:val="0"/>
                <w:lang w:val="en-US"/>
              </w:rPr>
              <w:t>0.15, +0.15]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0.982</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0.982</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Reasoning</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06</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0.21, +0.09]</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0.445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0.889</w:t>
            </w:r>
          </w:p>
        </w:tc>
      </w:tr>
    </w:tbl>
    <w:p>
      <w:pPr>
        <w:pStyle w:val="Heading 3"/>
        <w:keepNext w:val="0"/>
        <w:keepLines w:val="0"/>
        <w:widowControl w:val="0"/>
        <w:spacing w:before="220" w:after="120" w:line="240" w:lineRule="auto"/>
        <w:ind w:left="216" w:hanging="216"/>
        <w:rPr>
          <w:b w:val="1"/>
          <w:bCs w:val="1"/>
          <w:i w:val="1"/>
          <w:iCs w:val="1"/>
          <w:outline w:val="0"/>
          <w:color w:val="000000"/>
          <w:sz w:val="24"/>
          <w:szCs w:val="24"/>
          <w:u w:val="none" w:color="000000"/>
          <w:lang w:val="de-DE"/>
          <w14:textFill>
            <w14:solidFill>
              <w14:srgbClr w14:val="000000"/>
            </w14:solidFill>
          </w14:textFill>
        </w:rPr>
      </w:pPr>
    </w:p>
    <w:p>
      <w:pPr>
        <w:pStyle w:val="Heading 3"/>
        <w:keepNext w:val="0"/>
        <w:keepLines w:val="0"/>
        <w:widowControl w:val="0"/>
        <w:spacing w:before="220" w:after="120" w:line="240" w:lineRule="auto"/>
        <w:ind w:left="108" w:hanging="108"/>
        <w:rPr>
          <w:b w:val="1"/>
          <w:bCs w:val="1"/>
          <w:i w:val="1"/>
          <w:iCs w:val="1"/>
          <w:outline w:val="0"/>
          <w:color w:val="000000"/>
          <w:sz w:val="24"/>
          <w:szCs w:val="24"/>
          <w:u w:val="none" w:color="000000"/>
          <w:lang w:val="de-DE"/>
          <w14:textFill>
            <w14:solidFill>
              <w14:srgbClr w14:val="000000"/>
            </w14:solidFill>
          </w14:textFill>
        </w:rPr>
      </w:pPr>
    </w:p>
    <w:p>
      <w:pPr>
        <w:pStyle w:val="Heading 3"/>
        <w:keepNext w:val="0"/>
        <w:keepLines w:val="0"/>
        <w:widowControl w:val="0"/>
        <w:spacing w:before="220" w:after="120" w:line="240" w:lineRule="auto"/>
        <w:rPr>
          <w:b w:val="1"/>
          <w:bCs w:val="1"/>
          <w:i w:val="1"/>
          <w:iCs w:val="1"/>
          <w:outline w:val="0"/>
          <w:color w:val="000000"/>
          <w:sz w:val="24"/>
          <w:szCs w:val="24"/>
          <w:u w:val="none" w:color="000000"/>
          <w:lang w:val="de-DE"/>
          <w14:textFill>
            <w14:solidFill>
              <w14:srgbClr w14:val="000000"/>
            </w14:solidFill>
          </w14:textFill>
        </w:rPr>
      </w:pPr>
    </w:p>
    <w:p>
      <w:pPr>
        <w:pStyle w:val="Heading 3"/>
        <w:keepNext w:val="0"/>
        <w:keepLines w:val="0"/>
        <w:widowControl w:val="0"/>
        <w:spacing w:before="220" w:after="120" w:line="240" w:lineRule="auto"/>
        <w:ind w:left="2700" w:hanging="2700"/>
        <w:rPr>
          <w:b w:val="1"/>
          <w:bCs w:val="1"/>
          <w:i w:val="1"/>
          <w:iCs w:val="1"/>
          <w:outline w:val="0"/>
          <w:color w:val="000000"/>
          <w:sz w:val="24"/>
          <w:szCs w:val="24"/>
          <w:u w:val="none" w:color="000000"/>
          <w:lang w:val="de-DE"/>
          <w14:textFill>
            <w14:solidFill>
              <w14:srgbClr w14:val="000000"/>
            </w14:solidFill>
          </w14:textFill>
        </w:rPr>
      </w:pPr>
    </w:p>
    <w:p>
      <w:pPr>
        <w:pStyle w:val="Heading 3"/>
        <w:keepNext w:val="0"/>
        <w:keepLines w:val="0"/>
        <w:widowControl w:val="0"/>
        <w:spacing w:before="220" w:after="120" w:line="240" w:lineRule="auto"/>
        <w:ind w:left="2592" w:hanging="2592"/>
        <w:rPr>
          <w:b w:val="1"/>
          <w:bCs w:val="1"/>
          <w:i w:val="1"/>
          <w:iCs w:val="1"/>
          <w:outline w:val="0"/>
          <w:color w:val="000000"/>
          <w:sz w:val="24"/>
          <w:szCs w:val="24"/>
          <w:u w:val="none" w:color="000000"/>
          <w:lang w:val="de-DE"/>
          <w14:textFill>
            <w14:solidFill>
              <w14:srgbClr w14:val="000000"/>
            </w14:solidFill>
          </w14:textFill>
        </w:rPr>
      </w:pPr>
    </w:p>
    <w:p>
      <w:pPr>
        <w:pStyle w:val="Heading 3"/>
        <w:keepNext w:val="0"/>
        <w:keepLines w:val="0"/>
        <w:spacing w:before="220" w:after="120" w:line="288" w:lineRule="auto"/>
        <w:rPr>
          <w:b w:val="1"/>
          <w:bCs w:val="1"/>
          <w:i w:val="1"/>
          <w:iCs w:val="1"/>
          <w:outline w:val="0"/>
          <w:color w:val="000000"/>
          <w:sz w:val="24"/>
          <w:szCs w:val="24"/>
          <w:u w:val="none" w:color="000000"/>
          <w14:textFill>
            <w14:solidFill>
              <w14:srgbClr w14:val="000000"/>
            </w14:solidFill>
          </w14:textFill>
        </w:rPr>
      </w:pPr>
      <w:r>
        <w:rPr>
          <w:b w:val="1"/>
          <w:bCs w:val="1"/>
          <w:i w:val="1"/>
          <w:iCs w:val="1"/>
          <w:outline w:val="0"/>
          <w:color w:val="000000"/>
          <w:sz w:val="24"/>
          <w:szCs w:val="24"/>
          <w:u w:val="none" w:color="000000"/>
          <w:rtl w:val="0"/>
          <w:lang w:val="en-US"/>
          <w14:textFill>
            <w14:solidFill>
              <w14:srgbClr w14:val="000000"/>
            </w14:solidFill>
          </w14:textFill>
        </w:rPr>
        <w:t>Model C. log(1+x)-transformed Periventricular + Deep WMH (entered simultaneously).</w:t>
      </w:r>
    </w:p>
    <w:tbl>
      <w:tblPr>
        <w:tblW w:w="777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32"/>
        <w:gridCol w:w="1166"/>
        <w:gridCol w:w="1943"/>
        <w:gridCol w:w="1165"/>
        <w:gridCol w:w="1165"/>
      </w:tblGrid>
      <w:tr>
        <w:tblPrEx>
          <w:shd w:val="clear" w:color="auto" w:fill="4f81bd"/>
        </w:tblPrEx>
        <w:trPr>
          <w:trHeight w:val="404" w:hRule="atLeast"/>
          <w:tblHeader/>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Domain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Cohen's d</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95% CI</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 (raw)</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p_FDR</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21</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 xml:space="preserve">0.36, </w:t>
            </w:r>
            <w:r>
              <w:rPr>
                <w:shd w:val="nil" w:color="auto" w:fill="auto"/>
                <w:rtl w:val="0"/>
                <w:lang w:val="de-DE"/>
              </w:rPr>
              <w:t>−</w:t>
            </w:r>
            <w:r>
              <w:rPr>
                <w:shd w:val="nil" w:color="auto" w:fill="auto"/>
                <w:rtl w:val="0"/>
                <w:lang w:val="de-DE"/>
              </w:rPr>
              <w:t>0.06]</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0.008</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0.032</w:t>
            </w:r>
          </w:p>
        </w:tc>
      </w:tr>
      <w:tr>
        <w:tblPrEx>
          <w:shd w:val="clear" w:color="auto" w:fill="ced7e7"/>
        </w:tblPrEx>
        <w:trPr>
          <w:trHeight w:val="43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Attention / executive function</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en-US"/>
              </w:rPr>
              <w:t>0.02</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de-DE"/>
              </w:rPr>
              <w:t>−</w:t>
            </w:r>
            <w:r>
              <w:rPr>
                <w:sz w:val="18"/>
                <w:szCs w:val="18"/>
                <w:shd w:val="nil" w:color="auto" w:fill="auto"/>
                <w:rtl w:val="0"/>
                <w:lang w:val="de-DE"/>
              </w:rPr>
              <w:t>0.13, +0.17]</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0.815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0.986</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r>
              <w:rPr>
                <w:sz w:val="18"/>
                <w:szCs w:val="18"/>
                <w:shd w:val="nil" w:color="auto" w:fill="auto"/>
                <w:rtl w:val="0"/>
                <w:lang w:val="en-US"/>
              </w:rPr>
              <w:t>−</w:t>
            </w:r>
            <w:r>
              <w:rPr>
                <w:sz w:val="18"/>
                <w:szCs w:val="18"/>
                <w:shd w:val="nil" w:color="auto" w:fill="auto"/>
                <w:rtl w:val="0"/>
                <w:lang w:val="en-US"/>
              </w:rPr>
              <w:t>0.15, +0.15]</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0.986</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0.986</w:t>
            </w:r>
          </w:p>
        </w:tc>
      </w:tr>
      <w:tr>
        <w:tblPrEx>
          <w:shd w:val="clear" w:color="auto" w:fill="ced7e7"/>
        </w:tblPrEx>
        <w:trPr>
          <w:trHeight w:val="404" w:hRule="atLeast"/>
        </w:trPr>
        <w:tc>
          <w:tcPr>
            <w:tcW w:type="dxa" w:w="23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Reasoning</w:t>
            </w:r>
          </w:p>
        </w:tc>
        <w:tc>
          <w:tcPr>
            <w:tcW w:type="dxa" w:w="11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06</w:t>
            </w:r>
          </w:p>
        </w:tc>
        <w:tc>
          <w:tcPr>
            <w:tcW w:type="dxa" w:w="1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w:t>
            </w:r>
            <w:r>
              <w:rPr>
                <w:shd w:val="nil" w:color="auto" w:fill="auto"/>
                <w:rtl w:val="0"/>
                <w:lang w:val="de-DE"/>
              </w:rPr>
              <w:t>0.21, +0.09]</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0.453</w:t>
            </w:r>
          </w:p>
        </w:tc>
        <w:tc>
          <w:tcPr>
            <w:tcW w:type="dxa" w:w="11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0.905</w:t>
            </w:r>
          </w:p>
        </w:tc>
      </w:tr>
    </w:tbl>
    <w:p>
      <w:pPr>
        <w:pStyle w:val="Heading 3"/>
        <w:keepNext w:val="0"/>
        <w:keepLines w:val="0"/>
        <w:widowControl w:val="0"/>
        <w:spacing w:before="220" w:after="120" w:line="240" w:lineRule="auto"/>
        <w:ind w:left="216" w:hanging="216"/>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108" w:hanging="108"/>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2700" w:hanging="2700"/>
        <w:rPr>
          <w:b w:val="1"/>
          <w:bCs w:val="1"/>
          <w:i w:val="1"/>
          <w:iCs w:val="1"/>
          <w:outline w:val="0"/>
          <w:color w:val="000000"/>
          <w:sz w:val="24"/>
          <w:szCs w:val="24"/>
          <w:u w:val="none" w:color="000000"/>
          <w14:textFill>
            <w14:solidFill>
              <w14:srgbClr w14:val="000000"/>
            </w14:solidFill>
          </w14:textFill>
        </w:rPr>
      </w:pPr>
    </w:p>
    <w:p>
      <w:pPr>
        <w:pStyle w:val="Heading 3"/>
        <w:keepNext w:val="0"/>
        <w:keepLines w:val="0"/>
        <w:widowControl w:val="0"/>
        <w:spacing w:before="220" w:after="120" w:line="240" w:lineRule="auto"/>
        <w:ind w:left="2592" w:hanging="2592"/>
        <w:rPr>
          <w:b w:val="1"/>
          <w:bCs w:val="1"/>
          <w:i w:val="1"/>
          <w:iCs w:val="1"/>
          <w:outline w:val="0"/>
          <w:color w:val="000000"/>
          <w:sz w:val="24"/>
          <w:szCs w:val="24"/>
          <w:u w:val="none" w:color="000000"/>
          <w14:textFill>
            <w14:solidFill>
              <w14:srgbClr w14:val="000000"/>
            </w14:solidFill>
          </w14:textFill>
        </w:rPr>
      </w:pPr>
    </w:p>
    <w:p>
      <w:pPr>
        <w:pStyle w:val="Heading 2"/>
        <w:keepNext w:val="0"/>
        <w:keepLines w:val="0"/>
        <w:spacing w:before="0" w:after="160" w:line="288" w:lineRule="auto"/>
        <w:rPr>
          <w:b w:val="1"/>
          <w:bCs w:val="1"/>
          <w:sz w:val="24"/>
          <w:szCs w:val="24"/>
        </w:rPr>
      </w:pPr>
      <w:r>
        <w:rPr>
          <w:b w:val="1"/>
          <w:bCs w:val="1"/>
          <w:sz w:val="24"/>
          <w:szCs w:val="24"/>
          <w:rtl w:val="0"/>
          <w:lang w:val="en-US"/>
        </w:rPr>
        <w:t>Supplementary Table S3. Individual cognitive test results.</w:t>
      </w:r>
    </w:p>
    <w:p>
      <w:pPr>
        <w:pStyle w:val="Body A"/>
        <w:spacing w:after="140" w:line="288" w:lineRule="auto"/>
      </w:pPr>
      <w:r>
        <w:rPr>
          <w:rtl w:val="0"/>
          <w:lang w:val="en-US"/>
        </w:rPr>
        <w:t xml:space="preserve">Adjusted Cohen's d, raw p-values, and FDR-corrected p-values (across 10 tests) for individual cognitive tasks, using the same five-covariate adjustment set as Table 3 (age, sex, education, diastolic BP, log-transformed total WMH). Time-based measures (Trail Making, Reaction Time) were sign-reversed so that higher z-scores indicate better performance. Cohen's d is computed as (AF </w:t>
      </w:r>
      <w:r>
        <w:rPr>
          <w:rtl w:val="0"/>
          <w:lang w:val="en-US"/>
        </w:rPr>
        <w:t xml:space="preserve">− </w:t>
      </w:r>
      <w:r>
        <w:rPr>
          <w:rtl w:val="0"/>
          <w:lang w:val="en-US"/>
        </w:rPr>
        <w:t xml:space="preserve">controls)/pooled SD, the same direction used for all imaging contrasts (positive </w:t>
      </w:r>
      <w:r>
        <w:rPr>
          <w:rtl w:val="0"/>
          <w:lang w:val="en-US"/>
        </w:rPr>
        <w:t xml:space="preserve">β </w:t>
      </w:r>
      <w:r>
        <w:rPr>
          <w:rtl w:val="0"/>
          <w:lang w:val="en-US"/>
        </w:rPr>
        <w:t>= higher in AF); negative d therefore indicates poorer performance in AF.</w:t>
      </w:r>
    </w:p>
    <w:tbl>
      <w:tblPr>
        <w:tblW w:w="880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99"/>
        <w:gridCol w:w="2200"/>
        <w:gridCol w:w="1300"/>
        <w:gridCol w:w="1301"/>
        <w:gridCol w:w="1300"/>
      </w:tblGrid>
      <w:tr>
        <w:tblPrEx>
          <w:shd w:val="clear" w:color="auto" w:fill="4f81bd"/>
        </w:tblPrEx>
        <w:trPr>
          <w:trHeight w:val="404" w:hRule="atLeast"/>
          <w:tblHeader/>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Test</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Domain</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Cohen's d</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 (raw)</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p_FDR</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Reaction Time</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06</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0.415</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Symbol Digit Substitution</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08</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0.294</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Trail Making Test A</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Processing speed</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21</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0.007</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0.068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Tower Rearranging</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Attention / exec.</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04</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0.609</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Trail Making Test B</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Attention / exec.</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en-US"/>
              </w:rPr>
              <w:t>0.07</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0.389</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Numeric Memory</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01</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0.882</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0.955</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Paired Associate Learning</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de-DE"/>
              </w:rPr>
              <w:t>+</w:t>
            </w:r>
            <w:r>
              <w:rPr>
                <w:sz w:val="18"/>
                <w:szCs w:val="18"/>
                <w:shd w:val="nil" w:color="auto" w:fill="auto"/>
                <w:rtl w:val="0"/>
                <w:lang w:val="en-US"/>
              </w:rPr>
              <w:t>0.01</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0.947</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0.955</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Prospective Memory</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Memory</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0.00</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0.955</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0.955</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Fluid Intelligence</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Reasoning</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06</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0.480</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r>
        <w:tblPrEx>
          <w:shd w:val="clear" w:color="auto" w:fill="ced7e7"/>
        </w:tblPrEx>
        <w:trPr>
          <w:trHeight w:val="404" w:hRule="atLeast"/>
        </w:trPr>
        <w:tc>
          <w:tcPr>
            <w:tcW w:type="dxa" w:w="26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Matrix Pattern Completion</w:t>
            </w:r>
          </w:p>
        </w:tc>
        <w:tc>
          <w:tcPr>
            <w:tcW w:type="dxa" w:w="2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Reasoning</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hd w:val="nil" w:color="auto" w:fill="auto"/>
                <w:rtl w:val="0"/>
                <w:lang w:val="de-DE"/>
              </w:rPr>
              <w:t>−</w:t>
            </w:r>
            <w:r>
              <w:rPr>
                <w:shd w:val="nil" w:color="auto" w:fill="auto"/>
                <w:rtl w:val="0"/>
                <w:lang w:val="de-DE"/>
              </w:rPr>
              <w:t>0.</w:t>
            </w:r>
            <w:r>
              <w:rPr>
                <w:sz w:val="18"/>
                <w:szCs w:val="18"/>
                <w:shd w:val="nil" w:color="auto" w:fill="auto"/>
                <w:rtl w:val="0"/>
                <w:lang w:val="en-US"/>
              </w:rPr>
              <w:t>04</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0.628</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0.898</w:t>
            </w:r>
          </w:p>
        </w:tc>
      </w:tr>
    </w:tbl>
    <w:p>
      <w:pPr>
        <w:pStyle w:val="Body A"/>
        <w:widowControl w:val="0"/>
        <w:spacing w:after="140" w:line="240" w:lineRule="auto"/>
        <w:ind w:left="216" w:hanging="216"/>
        <w:jc w:val="left"/>
      </w:pPr>
    </w:p>
    <w:p>
      <w:pPr>
        <w:pStyle w:val="Body A"/>
        <w:widowControl w:val="0"/>
        <w:spacing w:after="140" w:line="240" w:lineRule="auto"/>
        <w:ind w:left="108" w:hanging="108"/>
        <w:jc w:val="left"/>
      </w:pPr>
    </w:p>
    <w:p>
      <w:pPr>
        <w:pStyle w:val="Body A"/>
        <w:widowControl w:val="0"/>
        <w:spacing w:after="140" w:line="240" w:lineRule="auto"/>
        <w:jc w:val="left"/>
      </w:pPr>
    </w:p>
    <w:p>
      <w:pPr>
        <w:pStyle w:val="Body A"/>
        <w:widowControl w:val="0"/>
        <w:spacing w:after="140" w:line="240" w:lineRule="auto"/>
        <w:ind w:left="1188" w:hanging="1188"/>
        <w:jc w:val="left"/>
      </w:pPr>
    </w:p>
    <w:p>
      <w:pPr>
        <w:pStyle w:val="Body A"/>
        <w:widowControl w:val="0"/>
        <w:spacing w:after="140" w:line="240" w:lineRule="auto"/>
        <w:ind w:left="1080" w:hanging="1080"/>
        <w:jc w:val="left"/>
      </w:pPr>
    </w:p>
    <w:p>
      <w:pPr>
        <w:pStyle w:val="Body A"/>
        <w:widowControl w:val="0"/>
        <w:spacing w:after="140" w:line="240" w:lineRule="auto"/>
        <w:ind w:left="972" w:hanging="972"/>
        <w:jc w:val="left"/>
      </w:pPr>
    </w:p>
    <w:p>
      <w:pPr>
        <w:pStyle w:val="Body A"/>
        <w:widowControl w:val="0"/>
        <w:spacing w:after="140" w:line="240" w:lineRule="auto"/>
        <w:ind w:left="864" w:hanging="864"/>
        <w:jc w:val="left"/>
      </w:pPr>
    </w:p>
    <w:p>
      <w:pPr>
        <w:pStyle w:val="Body A"/>
        <w:widowControl w:val="0"/>
        <w:spacing w:after="140" w:line="240" w:lineRule="auto"/>
        <w:ind w:left="756" w:hanging="756"/>
        <w:jc w:val="left"/>
      </w:pPr>
    </w:p>
    <w:p>
      <w:pPr>
        <w:pStyle w:val="Body A"/>
        <w:widowControl w:val="0"/>
        <w:spacing w:after="140" w:line="240" w:lineRule="auto"/>
        <w:ind w:left="648" w:hanging="648"/>
        <w:jc w:val="left"/>
      </w:pPr>
    </w:p>
    <w:p>
      <w:pPr>
        <w:pStyle w:val="Body A"/>
        <w:widowControl w:val="0"/>
        <w:spacing w:after="140" w:line="240" w:lineRule="auto"/>
        <w:ind w:left="540" w:hanging="540"/>
        <w:jc w:val="left"/>
      </w:pPr>
    </w:p>
    <w:p>
      <w:pPr>
        <w:pStyle w:val="Body A"/>
        <w:widowControl w:val="0"/>
        <w:spacing w:after="140" w:line="240" w:lineRule="auto"/>
        <w:ind w:left="432" w:hanging="432"/>
        <w:jc w:val="left"/>
      </w:pPr>
    </w:p>
    <w:p>
      <w:pPr>
        <w:pStyle w:val="Body A"/>
        <w:widowControl w:val="0"/>
        <w:spacing w:after="140" w:line="240" w:lineRule="auto"/>
        <w:ind w:left="324" w:hanging="324"/>
      </w:pPr>
    </w:p>
    <w:p>
      <w:pPr>
        <w:pStyle w:val="Body A"/>
        <w:widowControl w:val="0"/>
        <w:spacing w:after="140" w:line="240" w:lineRule="auto"/>
        <w:ind w:left="216" w:hanging="216"/>
      </w:pPr>
    </w:p>
    <w:p>
      <w:pPr>
        <w:pStyle w:val="Body A"/>
        <w:widowControl w:val="0"/>
        <w:spacing w:after="140" w:line="240" w:lineRule="auto"/>
        <w:ind w:left="108" w:hanging="108"/>
      </w:pPr>
    </w:p>
    <w:p>
      <w:pPr>
        <w:pStyle w:val="Body A"/>
        <w:spacing w:after="140" w:line="288" w:lineRule="auto"/>
        <w:rPr>
          <w:i w:val="1"/>
          <w:iCs w:val="1"/>
          <w:sz w:val="24"/>
          <w:szCs w:val="24"/>
        </w:rPr>
      </w:pPr>
    </w:p>
    <w:p>
      <w:pPr>
        <w:pStyle w:val="Body A"/>
        <w:widowControl w:val="0"/>
        <w:spacing w:after="140" w:line="240" w:lineRule="auto"/>
        <w:ind w:left="1296" w:hanging="1296"/>
        <w:rPr>
          <w:i w:val="1"/>
          <w:iCs w:val="1"/>
          <w:sz w:val="24"/>
          <w:szCs w:val="24"/>
        </w:rPr>
      </w:pPr>
    </w:p>
    <w:p>
      <w:pPr>
        <w:pStyle w:val="Body A"/>
        <w:widowControl w:val="0"/>
        <w:spacing w:after="140" w:line="240" w:lineRule="auto"/>
        <w:ind w:left="1188" w:hanging="1188"/>
        <w:rPr>
          <w:i w:val="1"/>
          <w:iCs w:val="1"/>
          <w:sz w:val="24"/>
          <w:szCs w:val="24"/>
        </w:rPr>
      </w:pPr>
    </w:p>
    <w:p>
      <w:pPr>
        <w:pStyle w:val="Default"/>
        <w:spacing w:before="0"/>
        <w:rPr>
          <w:rFonts w:ascii="Arial" w:cs="Arial" w:hAnsi="Arial" w:eastAsia="Arial"/>
          <w:b w:val="1"/>
          <w:bCs w:val="1"/>
        </w:rPr>
      </w:pPr>
      <w:r>
        <w:rPr>
          <w:rFonts w:ascii="Arial" w:hAnsi="Arial"/>
          <w:b w:val="1"/>
          <w:bCs w:val="1"/>
          <w:rtl w:val="0"/>
          <w:lang w:val="en-US"/>
        </w:rPr>
        <w:t>Supplementary Table S4. Magnitude of AF &gt; Control connectivity: within versus outside the NBS subnetwork.</w:t>
      </w:r>
    </w:p>
    <w:p>
      <w:pPr>
        <w:pStyle w:val="Default"/>
        <w:spacing w:before="0"/>
        <w:rPr>
          <w:rFonts w:ascii="Arial" w:cs="Arial" w:hAnsi="Arial" w:eastAsia="Arial"/>
        </w:rPr>
      </w:pPr>
      <w:r>
        <w:rPr>
          <w:rFonts w:ascii="Arial" w:hAnsi="Arial"/>
          <w:rtl w:val="0"/>
          <w:lang w:val="en-US"/>
        </w:rPr>
        <w:t>Mean Fisher-z connectivity across edges in each set, computed for each subject. Group differences shown both unadjusted (Cohen's d, Mann</w:t>
      </w:r>
      <w:r>
        <w:rPr>
          <w:rFonts w:ascii="Arial" w:hAnsi="Arial" w:hint="default"/>
          <w:rtl w:val="0"/>
          <w:lang w:val="en-US"/>
        </w:rPr>
        <w:t>–</w:t>
      </w:r>
      <w:r>
        <w:rPr>
          <w:rFonts w:ascii="Arial" w:hAnsi="Arial"/>
          <w:rtl w:val="0"/>
          <w:lang w:val="en-US"/>
        </w:rPr>
        <w:t>Whitney) and after OLS adjustment for age, sex, education, diastolic blood pressure, log-total-WMH, and mean framewise displacement. The AF &gt; Control effect is present across the connectome and larger within the identified subnetwork. A per-edge specificity test in the held-out sample is reported in the main text.</w:t>
      </w:r>
    </w:p>
    <w:p>
      <w:pPr>
        <w:pStyle w:val="Default"/>
        <w:spacing w:before="0"/>
        <w:rPr>
          <w:rFonts w:ascii="Arial" w:cs="Arial" w:hAnsi="Arial" w:eastAsia="Arial"/>
        </w:rPr>
      </w:pPr>
    </w:p>
    <w:p>
      <w:pPr>
        <w:pStyle w:val="Default"/>
        <w:keepNext w:val="1"/>
        <w:spacing w:before="0"/>
        <w:rPr>
          <w:rFonts w:ascii="Arial" w:cs="Arial" w:hAnsi="Arial" w:eastAsia="Arial"/>
        </w:rPr>
      </w:pPr>
    </w:p>
    <w:tbl>
      <w:tblPr>
        <w:tblW w:w="8349"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00"/>
        <w:gridCol w:w="699"/>
        <w:gridCol w:w="900"/>
        <w:gridCol w:w="1001"/>
        <w:gridCol w:w="800"/>
        <w:gridCol w:w="900"/>
        <w:gridCol w:w="850"/>
        <w:gridCol w:w="700"/>
        <w:gridCol w:w="799"/>
      </w:tblGrid>
      <w:tr>
        <w:tblPrEx>
          <w:shd w:val="clear" w:color="auto" w:fill="4f81bd"/>
        </w:tblPrEx>
        <w:trPr>
          <w:trHeight w:val="949" w:hRule="atLeast"/>
          <w:tblHeader/>
        </w:trPr>
        <w:tc>
          <w:tcPr>
            <w:tcW w:type="dxa" w:w="1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Edge set</w:t>
            </w:r>
          </w:p>
        </w:tc>
        <w:tc>
          <w:tcPr>
            <w:tcW w:type="dxa" w:w="6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N edges</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AF median</w:t>
            </w:r>
          </w:p>
        </w:tc>
        <w:tc>
          <w:tcPr>
            <w:tcW w:type="dxa" w:w="1001"/>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Control median</w:t>
            </w:r>
          </w:p>
        </w:tc>
        <w:tc>
          <w:tcPr>
            <w:tcW w:type="dxa" w:w="8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Cohen</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s d</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MW p</w:t>
            </w:r>
          </w:p>
        </w:tc>
        <w:tc>
          <w:tcPr>
            <w:tcW w:type="dxa" w:w="85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 xml:space="preserve">AF </w:t>
            </w:r>
            <w:r>
              <w:rPr>
                <w:rFonts w:ascii="Arial" w:hAnsi="Arial" w:hint="default"/>
                <w:b w:val="1"/>
                <w:bCs w:val="1"/>
                <w:sz w:val="20"/>
                <w:szCs w:val="20"/>
                <w:shd w:val="nil" w:color="auto" w:fill="auto"/>
                <w:rtl w:val="0"/>
                <w:lang w:val="en-US"/>
              </w:rPr>
              <w:t xml:space="preserve">β </w:t>
            </w:r>
            <w:r>
              <w:rPr>
                <w:rFonts w:ascii="Arial" w:hAnsi="Arial"/>
                <w:b w:val="1"/>
                <w:bCs w:val="1"/>
                <w:sz w:val="20"/>
                <w:szCs w:val="20"/>
                <w:shd w:val="nil" w:color="auto" w:fill="auto"/>
                <w:rtl w:val="0"/>
                <w:lang w:val="en-US"/>
              </w:rPr>
              <w:t>(adj.)</w:t>
            </w:r>
          </w:p>
        </w:tc>
        <w:tc>
          <w:tcPr>
            <w:tcW w:type="dxa" w:w="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t (adj.)</w:t>
            </w:r>
          </w:p>
        </w:tc>
        <w:tc>
          <w:tcPr>
            <w:tcW w:type="dxa" w:w="7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ced7e7"/>
            <w:tcMar>
              <w:top w:type="dxa" w:w="80"/>
              <w:left w:type="dxa" w:w="80"/>
              <w:bottom w:type="dxa" w:w="80"/>
              <w:right w:type="dxa" w:w="80"/>
            </w:tcMar>
            <w:vAlign w:val="center"/>
          </w:tcPr>
          <w:p>
            <w:pPr>
              <w:pStyle w:val="Default"/>
              <w:keepNext w:val="1"/>
              <w:spacing w:before="0"/>
            </w:pPr>
            <w:r>
              <w:rPr>
                <w:rFonts w:ascii="Arial" w:hAnsi="Arial"/>
                <w:b w:val="1"/>
                <w:bCs w:val="1"/>
                <w:sz w:val="20"/>
                <w:szCs w:val="20"/>
                <w:shd w:val="nil" w:color="auto" w:fill="auto"/>
                <w:rtl w:val="0"/>
                <w:lang w:val="en-US"/>
              </w:rPr>
              <w:t>p (adj.)</w:t>
            </w:r>
          </w:p>
        </w:tc>
      </w:tr>
      <w:tr>
        <w:tblPrEx>
          <w:shd w:val="clear" w:color="auto" w:fill="ced7e7"/>
        </w:tblPrEx>
        <w:trPr>
          <w:trHeight w:val="753" w:hRule="atLeast"/>
        </w:trPr>
        <w:tc>
          <w:tcPr>
            <w:tcW w:type="dxa" w:w="1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Within subnetwork</w:t>
            </w:r>
          </w:p>
        </w:tc>
        <w:tc>
          <w:tcPr>
            <w:tcW w:type="dxa" w:w="6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264</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0.0223</w:t>
            </w:r>
          </w:p>
        </w:tc>
        <w:tc>
          <w:tcPr>
            <w:tcW w:type="dxa" w:w="1001"/>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0.0794</w:t>
            </w:r>
          </w:p>
        </w:tc>
        <w:tc>
          <w:tcPr>
            <w:tcW w:type="dxa" w:w="8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+1.27</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 xml:space="preserve">3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10</w:t>
            </w:r>
            <w:r>
              <w:rPr>
                <w:rFonts w:ascii="Arial Unicode MS" w:hAnsi="Arial Unicode MS" w:hint="default"/>
                <w:sz w:val="20"/>
                <w:szCs w:val="20"/>
                <w:shd w:val="nil" w:color="auto" w:fill="auto"/>
                <w:rtl w:val="0"/>
                <w:lang w:val="en-US"/>
              </w:rPr>
              <w:t>⁻⁴</w:t>
            </w:r>
            <w:r>
              <w:rPr>
                <w:rFonts w:ascii="Arial" w:hAnsi="Arial" w:hint="default"/>
                <w:sz w:val="20"/>
                <w:szCs w:val="20"/>
                <w:shd w:val="nil" w:color="auto" w:fill="auto"/>
                <w:rtl w:val="0"/>
                <w:lang w:val="en-US"/>
              </w:rPr>
              <w:t>³</w:t>
            </w:r>
          </w:p>
        </w:tc>
        <w:tc>
          <w:tcPr>
            <w:tcW w:type="dxa" w:w="85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+0.104</w:t>
            </w:r>
          </w:p>
        </w:tc>
        <w:tc>
          <w:tcPr>
            <w:tcW w:type="dxa" w:w="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+16.28</w:t>
            </w:r>
          </w:p>
        </w:tc>
        <w:tc>
          <w:tcPr>
            <w:tcW w:type="dxa" w:w="7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keepNext w:val="1"/>
              <w:spacing w:before="0"/>
            </w:pPr>
            <w:r>
              <w:rPr>
                <w:rFonts w:ascii="Arial" w:hAnsi="Arial"/>
                <w:sz w:val="20"/>
                <w:szCs w:val="20"/>
                <w:shd w:val="nil" w:color="auto" w:fill="auto"/>
                <w:rtl w:val="0"/>
                <w:lang w:val="en-US"/>
              </w:rPr>
              <w:t xml:space="preserve">5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10</w:t>
            </w:r>
            <w:r>
              <w:rPr>
                <w:rFonts w:ascii="Arial Unicode MS" w:hAnsi="Arial Unicode MS" w:hint="default"/>
                <w:sz w:val="20"/>
                <w:szCs w:val="20"/>
                <w:shd w:val="nil" w:color="auto" w:fill="auto"/>
                <w:rtl w:val="0"/>
                <w:lang w:val="en-US"/>
              </w:rPr>
              <w:t>⁻⁵</w:t>
            </w:r>
            <w:r>
              <w:rPr>
                <w:rFonts w:ascii="Arial" w:hAnsi="Arial" w:hint="default"/>
                <w:sz w:val="20"/>
                <w:szCs w:val="20"/>
                <w:shd w:val="nil" w:color="auto" w:fill="auto"/>
                <w:rtl w:val="0"/>
                <w:lang w:val="en-US"/>
              </w:rPr>
              <w:t>¹</w:t>
            </w:r>
          </w:p>
        </w:tc>
      </w:tr>
      <w:tr>
        <w:tblPrEx>
          <w:shd w:val="clear" w:color="auto" w:fill="ced7e7"/>
        </w:tblPrEx>
        <w:trPr>
          <w:trHeight w:val="753" w:hRule="atLeast"/>
        </w:trPr>
        <w:tc>
          <w:tcPr>
            <w:tcW w:type="dxa" w:w="1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Outside subnetwork</w:t>
            </w:r>
          </w:p>
        </w:tc>
        <w:tc>
          <w:tcPr>
            <w:tcW w:type="dxa" w:w="6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22,956</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0.0444</w:t>
            </w:r>
          </w:p>
        </w:tc>
        <w:tc>
          <w:tcPr>
            <w:tcW w:type="dxa" w:w="1001"/>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0.0310</w:t>
            </w:r>
          </w:p>
        </w:tc>
        <w:tc>
          <w:tcPr>
            <w:tcW w:type="dxa" w:w="8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+0.79</w:t>
            </w:r>
          </w:p>
        </w:tc>
        <w:tc>
          <w:tcPr>
            <w:tcW w:type="dxa" w:w="9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 xml:space="preserve">8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10</w:t>
            </w:r>
            <w:r>
              <w:rPr>
                <w:rFonts w:ascii="Arial Unicode MS" w:hAnsi="Arial Unicode MS" w:hint="default"/>
                <w:sz w:val="20"/>
                <w:szCs w:val="20"/>
                <w:shd w:val="nil" w:color="auto" w:fill="auto"/>
                <w:rtl w:val="0"/>
                <w:lang w:val="en-US"/>
              </w:rPr>
              <w:t>⁻</w:t>
            </w:r>
            <w:r>
              <w:rPr>
                <w:rFonts w:ascii="Arial" w:hAnsi="Arial" w:hint="default"/>
                <w:sz w:val="20"/>
                <w:szCs w:val="20"/>
                <w:shd w:val="nil" w:color="auto" w:fill="auto"/>
                <w:rtl w:val="0"/>
                <w:lang w:val="en-US"/>
              </w:rPr>
              <w:t>¹</w:t>
            </w:r>
            <w:r>
              <w:rPr>
                <w:rFonts w:ascii="Arial Unicode MS" w:hAnsi="Arial Unicode MS" w:hint="default"/>
                <w:sz w:val="20"/>
                <w:szCs w:val="20"/>
                <w:shd w:val="nil" w:color="auto" w:fill="auto"/>
                <w:rtl w:val="0"/>
                <w:lang w:val="en-US"/>
              </w:rPr>
              <w:t>⁹</w:t>
            </w:r>
          </w:p>
        </w:tc>
        <w:tc>
          <w:tcPr>
            <w:tcW w:type="dxa" w:w="85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+0.018</w:t>
            </w:r>
          </w:p>
        </w:tc>
        <w:tc>
          <w:tcPr>
            <w:tcW w:type="dxa" w:w="700"/>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+10.04</w:t>
            </w:r>
          </w:p>
        </w:tc>
        <w:tc>
          <w:tcPr>
            <w:tcW w:type="dxa" w:w="799"/>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center"/>
          </w:tcPr>
          <w:p>
            <w:pPr>
              <w:pStyle w:val="Default"/>
              <w:spacing w:before="0"/>
            </w:pPr>
            <w:r>
              <w:rPr>
                <w:rFonts w:ascii="Arial" w:hAnsi="Arial"/>
                <w:sz w:val="20"/>
                <w:szCs w:val="20"/>
                <w:shd w:val="nil" w:color="auto" w:fill="auto"/>
                <w:rtl w:val="0"/>
                <w:lang w:val="en-US"/>
              </w:rPr>
              <w:t xml:space="preserve">3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10</w:t>
            </w:r>
            <w:r>
              <w:rPr>
                <w:rFonts w:ascii="Arial Unicode MS" w:hAnsi="Arial Unicode MS" w:hint="default"/>
                <w:sz w:val="20"/>
                <w:szCs w:val="20"/>
                <w:shd w:val="nil" w:color="auto" w:fill="auto"/>
                <w:rtl w:val="0"/>
                <w:lang w:val="en-US"/>
              </w:rPr>
              <w:t>⁻</w:t>
            </w:r>
            <w:r>
              <w:rPr>
                <w:rFonts w:ascii="Arial" w:hAnsi="Arial" w:hint="default"/>
                <w:sz w:val="20"/>
                <w:szCs w:val="20"/>
                <w:shd w:val="nil" w:color="auto" w:fill="auto"/>
                <w:rtl w:val="0"/>
                <w:lang w:val="en-US"/>
              </w:rPr>
              <w:t>²²</w:t>
            </w:r>
          </w:p>
        </w:tc>
      </w:tr>
    </w:tbl>
    <w:p>
      <w:pPr>
        <w:pStyle w:val="Default"/>
        <w:keepNext w:val="1"/>
        <w:widowControl w:val="0"/>
        <w:spacing w:before="0" w:line="240" w:lineRule="auto"/>
        <w:ind w:left="216" w:hanging="216"/>
        <w:jc w:val="left"/>
        <w:rPr>
          <w:rFonts w:ascii="Arial" w:cs="Arial" w:hAnsi="Arial" w:eastAsia="Arial"/>
        </w:rPr>
      </w:pPr>
    </w:p>
    <w:p>
      <w:pPr>
        <w:pStyle w:val="Default"/>
        <w:keepNext w:val="1"/>
        <w:widowControl w:val="0"/>
        <w:spacing w:before="0" w:line="240" w:lineRule="auto"/>
        <w:ind w:left="108" w:hanging="108"/>
        <w:jc w:val="left"/>
        <w:rPr>
          <w:rFonts w:ascii="Arial" w:cs="Arial" w:hAnsi="Arial" w:eastAsia="Arial"/>
        </w:rPr>
      </w:pPr>
    </w:p>
    <w:p>
      <w:pPr>
        <w:pStyle w:val="Default"/>
        <w:keepNext w:val="1"/>
        <w:widowControl w:val="0"/>
        <w:spacing w:before="0" w:line="240" w:lineRule="auto"/>
        <w:jc w:val="left"/>
        <w:rPr>
          <w:rFonts w:ascii="Arial" w:cs="Arial" w:hAnsi="Arial" w:eastAsia="Arial"/>
        </w:rPr>
      </w:pPr>
    </w:p>
    <w:p>
      <w:pPr>
        <w:pStyle w:val="Default"/>
        <w:widowControl w:val="0"/>
        <w:spacing w:before="0" w:line="240" w:lineRule="auto"/>
        <w:ind w:left="2376" w:hanging="2376"/>
        <w:jc w:val="left"/>
        <w:rPr>
          <w:rFonts w:ascii="Arial" w:cs="Arial" w:hAnsi="Arial" w:eastAsia="Arial"/>
        </w:rPr>
      </w:pPr>
    </w:p>
    <w:p>
      <w:pPr>
        <w:pStyle w:val="Default"/>
        <w:widowControl w:val="0"/>
        <w:spacing w:before="0" w:line="240" w:lineRule="auto"/>
        <w:ind w:left="2268" w:hanging="2268"/>
        <w:jc w:val="left"/>
        <w:rPr>
          <w:rFonts w:ascii="Arial" w:cs="Arial" w:hAnsi="Arial" w:eastAsia="Arial"/>
        </w:rPr>
      </w:pPr>
    </w:p>
    <w:p>
      <w:pPr>
        <w:pStyle w:val="Default"/>
        <w:widowControl w:val="0"/>
        <w:spacing w:before="0" w:line="240" w:lineRule="auto"/>
        <w:ind w:left="2160" w:hanging="2160"/>
        <w:jc w:val="left"/>
        <w:rPr>
          <w:rFonts w:ascii="Arial" w:cs="Arial" w:hAnsi="Arial" w:eastAsia="Arial"/>
        </w:rPr>
      </w:pPr>
    </w:p>
    <w:p>
      <w:pPr>
        <w:pStyle w:val="Default"/>
        <w:widowControl w:val="0"/>
        <w:spacing w:before="0" w:line="240" w:lineRule="auto"/>
        <w:ind w:left="2052" w:hanging="2052"/>
        <w:jc w:val="left"/>
        <w:rPr>
          <w:rFonts w:ascii="Arial" w:cs="Arial" w:hAnsi="Arial" w:eastAsia="Arial"/>
        </w:rPr>
      </w:pPr>
    </w:p>
    <w:p>
      <w:pPr>
        <w:pStyle w:val="Default"/>
        <w:widowControl w:val="0"/>
        <w:spacing w:before="0" w:line="240" w:lineRule="auto"/>
        <w:ind w:left="1944" w:hanging="1944"/>
        <w:jc w:val="left"/>
        <w:rPr>
          <w:rFonts w:ascii="Arial" w:cs="Arial" w:hAnsi="Arial" w:eastAsia="Arial"/>
        </w:rPr>
      </w:pPr>
    </w:p>
    <w:p>
      <w:pPr>
        <w:pStyle w:val="Default"/>
        <w:widowControl w:val="0"/>
        <w:spacing w:before="0" w:line="240" w:lineRule="auto"/>
        <w:ind w:left="1836" w:hanging="1836"/>
        <w:jc w:val="left"/>
        <w:rPr>
          <w:rFonts w:ascii="Arial" w:cs="Arial" w:hAnsi="Arial" w:eastAsia="Arial"/>
        </w:rPr>
      </w:pPr>
    </w:p>
    <w:p>
      <w:pPr>
        <w:pStyle w:val="Default"/>
        <w:widowControl w:val="0"/>
        <w:spacing w:before="0" w:line="240" w:lineRule="auto"/>
        <w:ind w:left="1728" w:hanging="1728"/>
        <w:jc w:val="left"/>
        <w:rPr>
          <w:rFonts w:ascii="Arial" w:cs="Arial" w:hAnsi="Arial" w:eastAsia="Arial"/>
        </w:rPr>
      </w:pPr>
    </w:p>
    <w:p>
      <w:pPr>
        <w:pStyle w:val="Default"/>
        <w:widowControl w:val="0"/>
        <w:spacing w:before="0" w:line="240" w:lineRule="auto"/>
        <w:ind w:left="1620" w:hanging="1620"/>
        <w:jc w:val="left"/>
        <w:rPr>
          <w:rFonts w:ascii="Arial" w:cs="Arial" w:hAnsi="Arial" w:eastAsia="Arial"/>
        </w:rPr>
      </w:pPr>
    </w:p>
    <w:p>
      <w:pPr>
        <w:pStyle w:val="Default"/>
        <w:widowControl w:val="0"/>
        <w:spacing w:before="0" w:line="240" w:lineRule="auto"/>
        <w:ind w:left="1512" w:hanging="1512"/>
        <w:rPr>
          <w:rFonts w:ascii="Arial" w:cs="Arial" w:hAnsi="Arial" w:eastAsia="Arial"/>
        </w:rPr>
      </w:pPr>
    </w:p>
    <w:p>
      <w:pPr>
        <w:pStyle w:val="Default"/>
        <w:widowControl w:val="0"/>
        <w:spacing w:before="0" w:line="240" w:lineRule="auto"/>
        <w:ind w:left="1404" w:hanging="1404"/>
        <w:rPr>
          <w:rFonts w:ascii="Arial" w:cs="Arial" w:hAnsi="Arial" w:eastAsia="Arial"/>
        </w:rPr>
      </w:pPr>
    </w:p>
    <w:p>
      <w:pPr>
        <w:pStyle w:val="Default"/>
        <w:widowControl w:val="0"/>
        <w:spacing w:before="0" w:line="240" w:lineRule="auto"/>
        <w:ind w:left="1296" w:hanging="1296"/>
        <w:rPr>
          <w:rFonts w:ascii="Arial" w:cs="Arial" w:hAnsi="Arial" w:eastAsia="Arial"/>
        </w:rPr>
      </w:pPr>
    </w:p>
    <w:p>
      <w:pPr>
        <w:pStyle w:val="Default"/>
        <w:widowControl w:val="0"/>
        <w:spacing w:before="0" w:line="240" w:lineRule="auto"/>
        <w:ind w:left="1188" w:hanging="1188"/>
        <w:rPr>
          <w:rFonts w:ascii="Arial" w:cs="Arial" w:hAnsi="Arial" w:eastAsia="Arial"/>
        </w:rPr>
      </w:pPr>
    </w:p>
    <w:p>
      <w:pPr>
        <w:pStyle w:val="Default"/>
        <w:widowControl w:val="0"/>
        <w:spacing w:before="0" w:line="240" w:lineRule="auto"/>
        <w:ind w:left="1080" w:hanging="1080"/>
        <w:rPr>
          <w:rFonts w:ascii="Arial" w:cs="Arial" w:hAnsi="Arial" w:eastAsia="Arial"/>
        </w:rPr>
      </w:pPr>
    </w:p>
    <w:p>
      <w:pPr>
        <w:pStyle w:val="Default"/>
        <w:widowControl w:val="0"/>
        <w:spacing w:before="0" w:line="240" w:lineRule="auto"/>
        <w:ind w:left="972" w:hanging="972"/>
        <w:rPr>
          <w:rFonts w:ascii="Arial" w:cs="Arial" w:hAnsi="Arial" w:eastAsia="Arial"/>
        </w:rPr>
      </w:pPr>
    </w:p>
    <w:p>
      <w:pPr>
        <w:pStyle w:val="Default"/>
        <w:widowControl w:val="0"/>
        <w:spacing w:before="0" w:line="240" w:lineRule="auto"/>
        <w:ind w:left="864" w:hanging="864"/>
        <w:rPr>
          <w:rFonts w:ascii="Arial" w:cs="Arial" w:hAnsi="Arial" w:eastAsia="Arial"/>
        </w:rPr>
      </w:pPr>
    </w:p>
    <w:p>
      <w:pPr>
        <w:pStyle w:val="Default"/>
        <w:widowControl w:val="0"/>
        <w:spacing w:before="0" w:line="240" w:lineRule="auto"/>
        <w:ind w:left="756" w:hanging="756"/>
        <w:rPr>
          <w:rFonts w:ascii="Arial" w:cs="Arial" w:hAnsi="Arial" w:eastAsia="Arial"/>
        </w:rPr>
      </w:pPr>
    </w:p>
    <w:p>
      <w:pPr>
        <w:pStyle w:val="Default"/>
        <w:widowControl w:val="0"/>
        <w:spacing w:before="0" w:line="240" w:lineRule="auto"/>
        <w:ind w:left="648" w:hanging="648"/>
        <w:rPr>
          <w:rFonts w:ascii="Arial" w:cs="Arial" w:hAnsi="Arial" w:eastAsia="Arial"/>
        </w:rPr>
      </w:pPr>
    </w:p>
    <w:p>
      <w:pPr>
        <w:pStyle w:val="Heading 2"/>
        <w:spacing w:line="288" w:lineRule="auto"/>
        <w:rPr>
          <w:sz w:val="24"/>
          <w:szCs w:val="24"/>
        </w:rPr>
      </w:pPr>
      <w:r>
        <w:rPr>
          <w:b w:val="1"/>
          <w:bCs w:val="1"/>
          <w:sz w:val="24"/>
          <w:szCs w:val="24"/>
          <w:rtl w:val="0"/>
          <w:lang w:val="en-US"/>
        </w:rPr>
        <w:t>Supplementary Table S5a. Functional NBS subnetwork sensitivity to WMH specification.</w:t>
      </w:r>
    </w:p>
    <w:tbl>
      <w:tblPr>
        <w:tblW w:w="7056"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63"/>
        <w:gridCol w:w="1764"/>
        <w:gridCol w:w="1764"/>
        <w:gridCol w:w="1765"/>
      </w:tblGrid>
      <w:tr>
        <w:tblPrEx>
          <w:shd w:val="clear" w:color="auto" w:fill="4f81bd"/>
        </w:tblPrEx>
        <w:trPr>
          <w:trHeight w:val="853" w:hRule="atLeast"/>
          <w:tblHeader/>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Primary t-threshold</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WMH specification</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Edges</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p_FWER</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26</w:t>
            </w:r>
            <w:r>
              <w:rPr>
                <w:rFonts w:ascii="Arial" w:hAnsi="Arial"/>
                <w:sz w:val="20"/>
                <w:szCs w:val="20"/>
                <w:shd w:val="nil" w:color="auto" w:fill="auto"/>
                <w:rtl w:val="0"/>
                <w:lang w:val="de-DE"/>
              </w:rPr>
              <w:t>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26</w:t>
            </w:r>
            <w:r>
              <w:rPr>
                <w:rFonts w:ascii="Arial" w:hAnsi="Arial"/>
                <w:sz w:val="20"/>
                <w:szCs w:val="20"/>
                <w:shd w:val="nil" w:color="auto" w:fill="auto"/>
                <w:rtl w:val="0"/>
                <w:lang w:val="de-DE"/>
              </w:rPr>
              <w:t>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63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262</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de-DE"/>
              </w:rPr>
              <w:t>100</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de-DE"/>
              </w:rPr>
              <w:t>100</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63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de-DE"/>
              </w:rPr>
              <w:t>100</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34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de-DE"/>
              </w:rPr>
              <w:t>34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63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5.5</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3</w:t>
            </w:r>
            <w:r>
              <w:rPr>
                <w:rFonts w:ascii="Arial" w:hAnsi="Arial"/>
                <w:sz w:val="20"/>
                <w:szCs w:val="20"/>
                <w:shd w:val="nil" w:color="auto" w:fill="auto"/>
                <w:rtl w:val="0"/>
                <w:lang w:val="de-DE"/>
              </w:rPr>
              <w:t>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85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633" w:hRule="atLeast"/>
        </w:trPr>
        <w:tc>
          <w:tcPr>
            <w:tcW w:type="dxa" w:w="17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6.0</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7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w:t>
            </w:r>
          </w:p>
        </w:tc>
        <w:tc>
          <w:tcPr>
            <w:tcW w:type="dxa" w:w="17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bl>
    <w:p>
      <w:pPr>
        <w:pStyle w:val="Heading 2"/>
        <w:widowControl w:val="0"/>
        <w:spacing w:line="240" w:lineRule="auto"/>
        <w:ind w:left="216" w:hanging="216"/>
        <w:rPr>
          <w:sz w:val="24"/>
          <w:szCs w:val="24"/>
        </w:rPr>
      </w:pPr>
    </w:p>
    <w:p>
      <w:pPr>
        <w:pStyle w:val="Heading 2"/>
        <w:widowControl w:val="0"/>
        <w:spacing w:line="240" w:lineRule="auto"/>
        <w:ind w:left="108" w:hanging="108"/>
        <w:rPr>
          <w:sz w:val="24"/>
          <w:szCs w:val="24"/>
        </w:rPr>
      </w:pPr>
    </w:p>
    <w:p>
      <w:pPr>
        <w:pStyle w:val="Heading 2"/>
        <w:widowControl w:val="0"/>
        <w:spacing w:line="240" w:lineRule="auto"/>
        <w:rPr>
          <w:sz w:val="24"/>
          <w:szCs w:val="24"/>
        </w:rPr>
      </w:pPr>
    </w:p>
    <w:p>
      <w:pPr>
        <w:pStyle w:val="Heading 2"/>
        <w:widowControl w:val="0"/>
        <w:spacing w:line="240" w:lineRule="auto"/>
        <w:ind w:left="2592" w:hanging="2592"/>
        <w:rPr>
          <w:sz w:val="24"/>
          <w:szCs w:val="24"/>
        </w:rPr>
      </w:pPr>
    </w:p>
    <w:p>
      <w:pPr>
        <w:pStyle w:val="Heading 2"/>
        <w:widowControl w:val="0"/>
        <w:spacing w:line="240" w:lineRule="auto"/>
        <w:ind w:left="2484" w:hanging="2484"/>
        <w:rPr>
          <w:sz w:val="24"/>
          <w:szCs w:val="24"/>
        </w:rPr>
      </w:pPr>
    </w:p>
    <w:p>
      <w:pPr>
        <w:pStyle w:val="Body B A A"/>
        <w:spacing w:line="288" w:lineRule="auto"/>
        <w:rPr>
          <w:rFonts w:ascii="Arial" w:cs="Arial" w:hAnsi="Arial" w:eastAsia="Arial"/>
        </w:rPr>
      </w:pPr>
      <w:r>
        <w:rPr>
          <w:rFonts w:ascii="Arial" w:hAnsi="Arial"/>
          <w:i w:val="1"/>
          <w:iCs w:val="1"/>
          <w:rtl w:val="0"/>
          <w:lang w:val="en-US"/>
        </w:rPr>
        <w:t>Functional NBS analyses for the AF &gt; Control contrast repeated under alternative WMH covariate specifications, across the four primary thresholds (t = 4.5, 5.0, 5.5, 6.0). All other covariates (age, sex, education, diastolic BP, mean framewise displacement) held constant.</w:t>
      </w:r>
    </w:p>
    <w:p>
      <w:pPr>
        <w:pStyle w:val="Default"/>
        <w:spacing w:before="0"/>
        <w:rPr>
          <w:rFonts w:ascii="Arial" w:cs="Arial" w:hAnsi="Arial" w:eastAsia="Arial"/>
        </w:rPr>
      </w:pPr>
      <w:r>
        <w:rPr>
          <w:rFonts w:ascii="Arial" w:hAnsi="Arial"/>
          <w:b w:val="1"/>
          <w:bCs w:val="1"/>
          <w:rtl w:val="0"/>
          <w:lang w:val="en-US"/>
        </w:rPr>
        <w:t>Supplementary Table S5b. Stability of the AF &gt; Control subnetwork across primary thresholds.</w:t>
      </w:r>
    </w:p>
    <w:p>
      <w:pPr>
        <w:pStyle w:val="Body B A A"/>
        <w:spacing w:line="288" w:lineRule="auto"/>
        <w:rPr>
          <w:rFonts w:ascii="Arial" w:cs="Arial" w:hAnsi="Arial" w:eastAsia="Arial"/>
        </w:rPr>
      </w:pPr>
    </w:p>
    <w:tbl>
      <w:tblPr>
        <w:tblW w:w="7596"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20"/>
        <w:gridCol w:w="1470"/>
        <w:gridCol w:w="1470"/>
        <w:gridCol w:w="1470"/>
        <w:gridCol w:w="1466"/>
      </w:tblGrid>
      <w:tr>
        <w:tblPrEx>
          <w:shd w:val="clear" w:color="auto" w:fill="4f81bd"/>
        </w:tblPrEx>
        <w:trPr>
          <w:trHeight w:val="853" w:hRule="atLeast"/>
          <w:tblHeader/>
        </w:trPr>
        <w:tc>
          <w:tcPr>
            <w:tcW w:type="dxa" w:w="172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Comparison</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Edge Jaccard</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Edge containment</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Node Jaccard</w:t>
            </w:r>
          </w:p>
        </w:tc>
        <w:tc>
          <w:tcPr>
            <w:tcW w:type="dxa" w:w="146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 xml:space="preserve">Hub-rank </w:t>
            </w:r>
            <w:r>
              <w:rPr>
                <w:rFonts w:ascii="Arial" w:hAnsi="Arial" w:hint="default"/>
                <w:b w:val="1"/>
                <w:bCs w:val="1"/>
                <w:sz w:val="20"/>
                <w:szCs w:val="20"/>
                <w:shd w:val="nil" w:color="auto" w:fill="auto"/>
                <w:rtl w:val="0"/>
                <w:lang w:val="en-US"/>
              </w:rPr>
              <w:t>ρ</w:t>
            </w:r>
          </w:p>
        </w:tc>
      </w:tr>
      <w:tr>
        <w:tblPrEx>
          <w:shd w:val="clear" w:color="auto" w:fill="ced7e7"/>
        </w:tblPrEx>
        <w:trPr>
          <w:trHeight w:val="563" w:hRule="atLeast"/>
        </w:trPr>
        <w:tc>
          <w:tcPr>
            <w:tcW w:type="dxa" w:w="172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 = 4.5 vs 5.0</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0.38</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1.00</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0.50</w:t>
            </w:r>
          </w:p>
        </w:tc>
        <w:tc>
          <w:tcPr>
            <w:tcW w:type="dxa" w:w="146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+0.93</w:t>
            </w:r>
          </w:p>
        </w:tc>
      </w:tr>
      <w:tr>
        <w:tblPrEx>
          <w:shd w:val="clear" w:color="auto" w:fill="ced7e7"/>
        </w:tblPrEx>
        <w:trPr>
          <w:trHeight w:val="563" w:hRule="atLeast"/>
        </w:trPr>
        <w:tc>
          <w:tcPr>
            <w:tcW w:type="dxa" w:w="172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 = 4.5 vs 5.5</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0.13</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1.00</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0.24</w:t>
            </w:r>
          </w:p>
        </w:tc>
        <w:tc>
          <w:tcPr>
            <w:tcW w:type="dxa" w:w="146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+0.82</w:t>
            </w:r>
          </w:p>
        </w:tc>
      </w:tr>
      <w:tr>
        <w:tblPrEx>
          <w:shd w:val="clear" w:color="auto" w:fill="ced7e7"/>
        </w:tblPrEx>
        <w:trPr>
          <w:trHeight w:val="563" w:hRule="atLeast"/>
        </w:trPr>
        <w:tc>
          <w:tcPr>
            <w:tcW w:type="dxa" w:w="172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 = 4.5 vs 6.0</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0.02</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1.00</w:t>
            </w:r>
          </w:p>
        </w:tc>
        <w:tc>
          <w:tcPr>
            <w:tcW w:type="dxa" w:w="147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w:t>
            </w:r>
          </w:p>
        </w:tc>
        <w:tc>
          <w:tcPr>
            <w:tcW w:type="dxa" w:w="146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+0.68</w:t>
            </w:r>
          </w:p>
        </w:tc>
      </w:tr>
    </w:tbl>
    <w:p>
      <w:pPr>
        <w:pStyle w:val="Body B A A"/>
        <w:widowControl w:val="0"/>
        <w:ind w:left="216" w:hanging="216"/>
        <w:jc w:val="left"/>
        <w:rPr>
          <w:rFonts w:ascii="Arial" w:cs="Arial" w:hAnsi="Arial" w:eastAsia="Arial"/>
        </w:rPr>
      </w:pPr>
    </w:p>
    <w:p>
      <w:pPr>
        <w:pStyle w:val="Body B A A"/>
        <w:widowControl w:val="0"/>
        <w:ind w:left="108" w:hanging="108"/>
        <w:jc w:val="left"/>
        <w:rPr>
          <w:rFonts w:ascii="Arial" w:cs="Arial" w:hAnsi="Arial" w:eastAsia="Arial"/>
        </w:rPr>
      </w:pPr>
    </w:p>
    <w:p>
      <w:pPr>
        <w:pStyle w:val="Body B A A"/>
        <w:widowControl w:val="0"/>
        <w:jc w:val="left"/>
        <w:rPr>
          <w:rFonts w:ascii="Arial" w:cs="Arial" w:hAnsi="Arial" w:eastAsia="Arial"/>
        </w:rPr>
      </w:pPr>
    </w:p>
    <w:p>
      <w:pPr>
        <w:pStyle w:val="Body B A A"/>
        <w:widowControl w:val="0"/>
        <w:ind w:left="2592" w:hanging="2592"/>
        <w:jc w:val="left"/>
        <w:rPr>
          <w:rFonts w:ascii="Arial" w:cs="Arial" w:hAnsi="Arial" w:eastAsia="Arial"/>
        </w:rPr>
      </w:pPr>
    </w:p>
    <w:p>
      <w:pPr>
        <w:pStyle w:val="Body B A A"/>
        <w:widowControl w:val="0"/>
        <w:ind w:left="2484" w:hanging="2484"/>
        <w:jc w:val="left"/>
        <w:rPr>
          <w:rFonts w:ascii="Arial" w:cs="Arial" w:hAnsi="Arial" w:eastAsia="Arial"/>
        </w:rPr>
      </w:pPr>
    </w:p>
    <w:p>
      <w:pPr>
        <w:pStyle w:val="Body B A A"/>
        <w:widowControl w:val="0"/>
        <w:ind w:left="2376" w:hanging="2376"/>
        <w:jc w:val="left"/>
        <w:rPr>
          <w:rFonts w:ascii="Arial" w:cs="Arial" w:hAnsi="Arial" w:eastAsia="Arial"/>
        </w:rPr>
      </w:pPr>
    </w:p>
    <w:p>
      <w:pPr>
        <w:pStyle w:val="Body B A A"/>
        <w:widowControl w:val="0"/>
        <w:ind w:left="2268" w:hanging="2268"/>
        <w:jc w:val="left"/>
        <w:rPr>
          <w:rFonts w:ascii="Arial" w:cs="Arial" w:hAnsi="Arial" w:eastAsia="Arial"/>
        </w:rPr>
      </w:pPr>
    </w:p>
    <w:p>
      <w:pPr>
        <w:pStyle w:val="Body B A A"/>
        <w:widowControl w:val="0"/>
        <w:ind w:left="2160" w:hanging="2160"/>
        <w:jc w:val="left"/>
        <w:rPr>
          <w:rFonts w:ascii="Arial" w:cs="Arial" w:hAnsi="Arial" w:eastAsia="Arial"/>
        </w:rPr>
      </w:pPr>
    </w:p>
    <w:p>
      <w:pPr>
        <w:pStyle w:val="Body B A A"/>
        <w:widowControl w:val="0"/>
        <w:ind w:left="2052" w:hanging="2052"/>
        <w:jc w:val="left"/>
        <w:rPr>
          <w:rFonts w:ascii="Arial" w:cs="Arial" w:hAnsi="Arial" w:eastAsia="Arial"/>
        </w:rPr>
      </w:pPr>
    </w:p>
    <w:p>
      <w:pPr>
        <w:pStyle w:val="Body B A A"/>
        <w:widowControl w:val="0"/>
        <w:ind w:left="1944" w:hanging="1944"/>
        <w:jc w:val="left"/>
        <w:rPr>
          <w:rFonts w:ascii="Arial" w:cs="Arial" w:hAnsi="Arial" w:eastAsia="Arial"/>
        </w:rPr>
      </w:pPr>
    </w:p>
    <w:p>
      <w:pPr>
        <w:pStyle w:val="Body B A A"/>
        <w:widowControl w:val="0"/>
        <w:ind w:left="1836" w:hanging="1836"/>
        <w:jc w:val="left"/>
        <w:rPr>
          <w:rFonts w:ascii="Arial" w:cs="Arial" w:hAnsi="Arial" w:eastAsia="Arial"/>
        </w:rPr>
      </w:pPr>
    </w:p>
    <w:p>
      <w:pPr>
        <w:pStyle w:val="Body B A A"/>
        <w:widowControl w:val="0"/>
        <w:ind w:left="1728" w:hanging="1728"/>
        <w:rPr>
          <w:rFonts w:ascii="Arial" w:cs="Arial" w:hAnsi="Arial" w:eastAsia="Arial"/>
        </w:rPr>
      </w:pPr>
    </w:p>
    <w:p>
      <w:pPr>
        <w:pStyle w:val="Body B A A"/>
        <w:widowControl w:val="0"/>
        <w:ind w:left="1620" w:hanging="1620"/>
        <w:rPr>
          <w:rFonts w:ascii="Arial" w:cs="Arial" w:hAnsi="Arial" w:eastAsia="Arial"/>
        </w:rPr>
      </w:pPr>
    </w:p>
    <w:p>
      <w:pPr>
        <w:pStyle w:val="Body B A A"/>
        <w:widowControl w:val="0"/>
        <w:ind w:left="1512" w:hanging="1512"/>
        <w:rPr>
          <w:rFonts w:ascii="Arial" w:cs="Arial" w:hAnsi="Arial" w:eastAsia="Arial"/>
        </w:rPr>
      </w:pPr>
    </w:p>
    <w:p>
      <w:pPr>
        <w:pStyle w:val="Body B A A"/>
        <w:spacing w:line="288" w:lineRule="auto"/>
        <w:rPr>
          <w:rFonts w:ascii="Arial" w:cs="Arial" w:hAnsi="Arial" w:eastAsia="Arial"/>
        </w:rPr>
      </w:pPr>
    </w:p>
    <w:p>
      <w:pPr>
        <w:pStyle w:val="Default"/>
        <w:rPr>
          <w:rFonts w:ascii="Arial" w:cs="Arial" w:hAnsi="Arial" w:eastAsia="Arial"/>
        </w:rPr>
      </w:pPr>
      <w:r>
        <w:rPr>
          <w:rFonts w:ascii="Arial" w:hAnsi="Arial"/>
          <w:i w:val="1"/>
          <w:iCs w:val="1"/>
          <w:rtl w:val="0"/>
          <w:lang w:val="en-US"/>
        </w:rPr>
        <w:t xml:space="preserve">Overlap between the component identified at the primary threshold (t = 4.5) and those at higher thresholds. Jaccard = |A </w:t>
      </w:r>
      <w:r>
        <w:rPr>
          <w:rFonts w:ascii="Arial" w:hAnsi="Arial" w:hint="default"/>
          <w:i w:val="1"/>
          <w:iCs w:val="1"/>
          <w:rtl w:val="0"/>
          <w:lang w:val="en-US"/>
        </w:rPr>
        <w:t xml:space="preserve">∩ </w:t>
      </w:r>
      <w:r>
        <w:rPr>
          <w:rFonts w:ascii="Arial" w:hAnsi="Arial"/>
          <w:i w:val="1"/>
          <w:iCs w:val="1"/>
          <w:rtl w:val="0"/>
          <w:lang w:val="en-US"/>
        </w:rPr>
        <w:t xml:space="preserve">B| / |A </w:t>
      </w:r>
      <w:r>
        <w:rPr>
          <w:rFonts w:ascii="Arial Unicode MS" w:hAnsi="Arial Unicode MS" w:hint="default"/>
          <w:rtl w:val="0"/>
          <w:lang w:val="en-US"/>
        </w:rPr>
        <w:t>∪</w:t>
      </w:r>
      <w:r>
        <w:rPr>
          <w:rFonts w:ascii="Arial" w:hAnsi="Arial"/>
          <w:i w:val="1"/>
          <w:iCs w:val="1"/>
          <w:rtl w:val="0"/>
          <w:lang w:val="en-US"/>
        </w:rPr>
        <w:t xml:space="preserve"> B|; containment = |A </w:t>
      </w:r>
      <w:r>
        <w:rPr>
          <w:rFonts w:ascii="Arial" w:hAnsi="Arial" w:hint="default"/>
          <w:i w:val="1"/>
          <w:iCs w:val="1"/>
          <w:rtl w:val="0"/>
          <w:lang w:val="en-US"/>
        </w:rPr>
        <w:t xml:space="preserve">∩ </w:t>
      </w:r>
      <w:r>
        <w:rPr>
          <w:rFonts w:ascii="Arial" w:hAnsi="Arial"/>
          <w:i w:val="1"/>
          <w:iCs w:val="1"/>
          <w:rtl w:val="0"/>
          <w:lang w:val="en-US"/>
        </w:rPr>
        <w:t xml:space="preserve">B| / min(|A|,|B|), where 1.00 indicates that the smaller component is entirely nested within the larger. Hub-rank </w:t>
      </w:r>
      <w:r>
        <w:rPr>
          <w:rFonts w:ascii="Arial" w:hAnsi="Arial" w:hint="default"/>
          <w:i w:val="1"/>
          <w:iCs w:val="1"/>
          <w:rtl w:val="0"/>
          <w:lang w:val="en-US"/>
        </w:rPr>
        <w:t xml:space="preserve">ρ </w:t>
      </w:r>
      <w:r>
        <w:rPr>
          <w:rFonts w:ascii="Arial" w:hAnsi="Arial"/>
          <w:i w:val="1"/>
          <w:iCs w:val="1"/>
          <w:rtl w:val="0"/>
          <w:lang w:val="en-US"/>
        </w:rPr>
        <w:t>is the Spearman correlation of eigenvector-centrality ranks across nodes shared between solutions. Jaccard values decline at higher thresholds as an arithmetic consequence of the disparity in component size, not of topological reorganisation: containment is 1.00 at every comparison, indicating strictly nested components. The t = 4.5 vs 6.0 hub-rank correlation is based on 7 shared nodes (p = 0.094).</w:t>
      </w:r>
    </w:p>
    <w:p>
      <w:pPr>
        <w:pStyle w:val="Body B A A"/>
        <w:spacing w:line="288" w:lineRule="auto"/>
        <w:rPr>
          <w:rFonts w:ascii="Arial" w:cs="Arial" w:hAnsi="Arial" w:eastAsia="Arial"/>
        </w:rPr>
      </w:pPr>
    </w:p>
    <w:p>
      <w:pPr>
        <w:pStyle w:val="Body B A A"/>
        <w:spacing w:line="288" w:lineRule="auto"/>
        <w:rPr>
          <w:rFonts w:ascii="Arial" w:cs="Arial" w:hAnsi="Arial" w:eastAsia="Arial"/>
        </w:rPr>
      </w:pPr>
    </w:p>
    <w:p>
      <w:pPr>
        <w:pStyle w:val="Default"/>
        <w:spacing w:before="0"/>
        <w:rPr>
          <w:rFonts w:ascii="Arial" w:cs="Arial" w:hAnsi="Arial" w:eastAsia="Arial"/>
          <w:b w:val="1"/>
          <w:bCs w:val="1"/>
        </w:rPr>
      </w:pPr>
      <w:r>
        <w:rPr>
          <w:rFonts w:ascii="Arial" w:hAnsi="Arial"/>
          <w:b w:val="1"/>
          <w:bCs w:val="1"/>
          <w:rtl w:val="0"/>
          <w:lang w:val="en-US"/>
        </w:rPr>
        <w:t>Supplementary Table S</w:t>
      </w:r>
      <w:r>
        <w:rPr>
          <w:rFonts w:ascii="Arial" w:hAnsi="Arial"/>
          <w:b w:val="1"/>
          <w:bCs w:val="1"/>
          <w:rtl w:val="0"/>
          <w:lang w:val="de-DE"/>
        </w:rPr>
        <w:t>6</w:t>
      </w:r>
      <w:r>
        <w:rPr>
          <w:rFonts w:ascii="Arial" w:hAnsi="Arial"/>
          <w:b w:val="1"/>
          <w:bCs w:val="1"/>
          <w:rtl w:val="0"/>
          <w:lang w:val="en-US"/>
        </w:rPr>
        <w:t>. Functional NBS subnetwork sensitivity to high-motion exclusion.</w:t>
      </w:r>
    </w:p>
    <w:p>
      <w:pPr>
        <w:pStyle w:val="Default"/>
        <w:spacing w:before="0"/>
        <w:rPr>
          <w:rFonts w:ascii="Arial" w:cs="Arial" w:hAnsi="Arial" w:eastAsia="Arial"/>
        </w:rPr>
      </w:pPr>
      <w:r>
        <w:rPr>
          <w:rFonts w:ascii="Arial" w:hAnsi="Arial"/>
          <w:rtl w:val="0"/>
          <w:lang w:val="en-US"/>
        </w:rPr>
        <w:t xml:space="preserve">Functional NBS analyses for the AF &gt; Control contrast in the main cohort (N = 738) and in a sensitivity cohort excluding participants with mean rfMRI head motion (UK Biobank Field 25741) &gt; 0.30 mm (n = 14 excluded; N = 724). All other covariates (age, sex, education, diastolic BP, log-transformed total WMH, mean rfMRI head motion) and the primary t-threshold range were held constant. The AF &gt; Control subnetwork remained significant at every primary threshold tested, with subnetwork size at the primary t = 4.5 threshold reduced by less than 5% (264 </w:t>
      </w:r>
      <w:r>
        <w:rPr>
          <w:rFonts w:ascii="Arial" w:hAnsi="Arial" w:hint="default"/>
          <w:rtl w:val="0"/>
          <w:lang w:val="en-US"/>
        </w:rPr>
        <w:t xml:space="preserve">→ </w:t>
      </w:r>
      <w:r>
        <w:rPr>
          <w:rFonts w:ascii="Arial" w:hAnsi="Arial"/>
          <w:rtl w:val="0"/>
          <w:lang w:val="en-US"/>
        </w:rPr>
        <w:t>251 edges) following high-motion exclusion.</w:t>
      </w:r>
    </w:p>
    <w:p>
      <w:pPr>
        <w:pStyle w:val="Default"/>
        <w:spacing w:before="0"/>
        <w:rPr>
          <w:rFonts w:ascii="Arial" w:cs="Arial" w:hAnsi="Arial" w:eastAsia="Arial"/>
        </w:rPr>
      </w:pPr>
    </w:p>
    <w:tbl>
      <w:tblPr>
        <w:tblW w:w="728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064"/>
        <w:gridCol w:w="2608"/>
        <w:gridCol w:w="1194"/>
        <w:gridCol w:w="1415"/>
      </w:tblGrid>
      <w:tr>
        <w:tblPrEx>
          <w:shd w:val="clear" w:color="auto" w:fill="4f81bd"/>
        </w:tblPrEx>
        <w:trPr>
          <w:trHeight w:val="643" w:hRule="atLeast"/>
          <w:tblHeader/>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Primary t-threshold</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Cohort</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nl-NL"/>
              </w:rPr>
              <w:t>Edges</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de-DE"/>
              </w:rPr>
              <w:t>p_FWER</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4.5</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Main (N = 738)</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264</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4.5</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Sensitivity (N = 724)</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251</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5.0</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Main (N = 738)</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de-DE"/>
              </w:rPr>
              <w:t>100</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5.0</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Sensitivity (N = 724)</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100</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5.5</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Main (N = 738)</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34</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5.5</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Sensitivity (N = 724)</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de-DE"/>
              </w:rPr>
              <w:t>33</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0.001</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6.0</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Main (N = 738)</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6</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r>
        <w:tblPrEx>
          <w:shd w:val="clear" w:color="auto" w:fill="ced7e7"/>
        </w:tblPrEx>
        <w:trPr>
          <w:trHeight w:val="423" w:hRule="atLeast"/>
        </w:trPr>
        <w:tc>
          <w:tcPr>
            <w:tcW w:type="dxa" w:w="206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6.0</w:t>
            </w:r>
          </w:p>
        </w:tc>
        <w:tc>
          <w:tcPr>
            <w:tcW w:type="dxa" w:w="2608"/>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Sensitivity (N = 724)</w:t>
            </w:r>
          </w:p>
        </w:tc>
        <w:tc>
          <w:tcPr>
            <w:tcW w:type="dxa" w:w="1194"/>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5</w:t>
            </w:r>
          </w:p>
        </w:tc>
        <w:tc>
          <w:tcPr>
            <w:tcW w:type="dxa" w:w="1415"/>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0.0002</w:t>
            </w:r>
          </w:p>
        </w:tc>
      </w:tr>
    </w:tbl>
    <w:p>
      <w:pPr>
        <w:pStyle w:val="Default"/>
        <w:widowControl w:val="0"/>
        <w:spacing w:before="0" w:line="240" w:lineRule="auto"/>
        <w:ind w:left="216" w:hanging="216"/>
        <w:jc w:val="left"/>
        <w:rPr>
          <w:rFonts w:ascii="Arial" w:cs="Arial" w:hAnsi="Arial" w:eastAsia="Arial"/>
        </w:rPr>
      </w:pPr>
    </w:p>
    <w:p>
      <w:pPr>
        <w:pStyle w:val="Default"/>
        <w:widowControl w:val="0"/>
        <w:spacing w:before="0" w:line="240" w:lineRule="auto"/>
        <w:ind w:left="108" w:hanging="108"/>
        <w:jc w:val="left"/>
        <w:rPr>
          <w:rFonts w:ascii="Arial" w:cs="Arial" w:hAnsi="Arial" w:eastAsia="Arial"/>
        </w:rPr>
      </w:pPr>
    </w:p>
    <w:p>
      <w:pPr>
        <w:pStyle w:val="Default"/>
        <w:widowControl w:val="0"/>
        <w:spacing w:before="0" w:line="240" w:lineRule="auto"/>
        <w:jc w:val="left"/>
        <w:rPr>
          <w:rFonts w:ascii="Arial" w:cs="Arial" w:hAnsi="Arial" w:eastAsia="Arial"/>
        </w:rPr>
      </w:pPr>
    </w:p>
    <w:p>
      <w:pPr>
        <w:pStyle w:val="Default"/>
        <w:widowControl w:val="0"/>
        <w:spacing w:before="0" w:line="240" w:lineRule="auto"/>
        <w:ind w:left="2376" w:hanging="2376"/>
        <w:jc w:val="left"/>
        <w:rPr>
          <w:rFonts w:ascii="Arial" w:cs="Arial" w:hAnsi="Arial" w:eastAsia="Arial"/>
        </w:rPr>
      </w:pPr>
    </w:p>
    <w:p>
      <w:pPr>
        <w:pStyle w:val="Default"/>
        <w:widowControl w:val="0"/>
        <w:spacing w:before="0" w:line="240" w:lineRule="auto"/>
        <w:ind w:left="2268" w:hanging="2268"/>
        <w:jc w:val="left"/>
        <w:rPr>
          <w:rFonts w:ascii="Arial" w:cs="Arial" w:hAnsi="Arial" w:eastAsia="Arial"/>
        </w:rPr>
      </w:pPr>
    </w:p>
    <w:p>
      <w:pPr>
        <w:pStyle w:val="Default"/>
        <w:widowControl w:val="0"/>
        <w:spacing w:before="0" w:line="240" w:lineRule="auto"/>
        <w:ind w:left="2160" w:hanging="2160"/>
        <w:jc w:val="left"/>
        <w:rPr>
          <w:rFonts w:ascii="Arial" w:cs="Arial" w:hAnsi="Arial" w:eastAsia="Arial"/>
        </w:rPr>
      </w:pPr>
    </w:p>
    <w:p>
      <w:pPr>
        <w:pStyle w:val="Default"/>
        <w:widowControl w:val="0"/>
        <w:spacing w:before="0" w:line="240" w:lineRule="auto"/>
        <w:ind w:left="2052" w:hanging="2052"/>
        <w:jc w:val="left"/>
        <w:rPr>
          <w:rFonts w:ascii="Arial" w:cs="Arial" w:hAnsi="Arial" w:eastAsia="Arial"/>
        </w:rPr>
      </w:pPr>
    </w:p>
    <w:p>
      <w:pPr>
        <w:pStyle w:val="Default"/>
        <w:widowControl w:val="0"/>
        <w:spacing w:before="0" w:line="240" w:lineRule="auto"/>
        <w:ind w:left="1944" w:hanging="1944"/>
        <w:jc w:val="left"/>
        <w:rPr>
          <w:rFonts w:ascii="Arial" w:cs="Arial" w:hAnsi="Arial" w:eastAsia="Arial"/>
        </w:rPr>
      </w:pPr>
    </w:p>
    <w:p>
      <w:pPr>
        <w:pStyle w:val="Default"/>
        <w:widowControl w:val="0"/>
        <w:spacing w:before="0" w:line="240" w:lineRule="auto"/>
        <w:ind w:left="1836" w:hanging="1836"/>
        <w:jc w:val="left"/>
        <w:rPr>
          <w:rFonts w:ascii="Arial" w:cs="Arial" w:hAnsi="Arial" w:eastAsia="Arial"/>
        </w:rPr>
      </w:pPr>
    </w:p>
    <w:p>
      <w:pPr>
        <w:pStyle w:val="Default"/>
        <w:widowControl w:val="0"/>
        <w:spacing w:before="0" w:line="240" w:lineRule="auto"/>
        <w:ind w:left="1728" w:hanging="1728"/>
        <w:jc w:val="left"/>
        <w:rPr>
          <w:rFonts w:ascii="Arial" w:cs="Arial" w:hAnsi="Arial" w:eastAsia="Arial"/>
        </w:rPr>
      </w:pPr>
    </w:p>
    <w:p>
      <w:pPr>
        <w:pStyle w:val="Default"/>
        <w:widowControl w:val="0"/>
        <w:spacing w:before="0" w:line="240" w:lineRule="auto"/>
        <w:ind w:left="1620" w:hanging="1620"/>
        <w:jc w:val="left"/>
        <w:rPr>
          <w:rFonts w:ascii="Arial" w:cs="Arial" w:hAnsi="Arial" w:eastAsia="Arial"/>
        </w:rPr>
      </w:pPr>
    </w:p>
    <w:p>
      <w:pPr>
        <w:pStyle w:val="Default"/>
        <w:widowControl w:val="0"/>
        <w:spacing w:before="0" w:line="240" w:lineRule="auto"/>
        <w:ind w:left="1512" w:hanging="1512"/>
        <w:rPr>
          <w:rFonts w:ascii="Arial" w:cs="Arial" w:hAnsi="Arial" w:eastAsia="Arial"/>
        </w:rPr>
      </w:pPr>
    </w:p>
    <w:p>
      <w:pPr>
        <w:pStyle w:val="Default"/>
        <w:widowControl w:val="0"/>
        <w:spacing w:before="0" w:line="240" w:lineRule="auto"/>
        <w:ind w:left="1404" w:hanging="1404"/>
        <w:rPr>
          <w:rFonts w:ascii="Arial" w:cs="Arial" w:hAnsi="Arial" w:eastAsia="Arial"/>
        </w:rPr>
      </w:pPr>
    </w:p>
    <w:p>
      <w:pPr>
        <w:pStyle w:val="Default"/>
        <w:widowControl w:val="0"/>
        <w:spacing w:before="0" w:line="240" w:lineRule="auto"/>
        <w:ind w:left="1296" w:hanging="1296"/>
        <w:rPr>
          <w:rFonts w:ascii="Arial" w:cs="Arial" w:hAnsi="Arial" w:eastAsia="Arial"/>
        </w:rPr>
      </w:pPr>
    </w:p>
    <w:p>
      <w:pPr>
        <w:pStyle w:val="Default"/>
        <w:widowControl w:val="0"/>
        <w:spacing w:before="0" w:line="240" w:lineRule="auto"/>
        <w:ind w:left="1188" w:hanging="1188"/>
        <w:rPr>
          <w:rFonts w:ascii="Arial" w:cs="Arial" w:hAnsi="Arial" w:eastAsia="Arial"/>
        </w:rPr>
      </w:pPr>
    </w:p>
    <w:p>
      <w:pPr>
        <w:pStyle w:val="Default"/>
        <w:widowControl w:val="0"/>
        <w:spacing w:before="0" w:line="240" w:lineRule="auto"/>
        <w:ind w:left="1080" w:hanging="1080"/>
        <w:rPr>
          <w:rFonts w:ascii="Arial" w:cs="Arial" w:hAnsi="Arial" w:eastAsia="Arial"/>
        </w:rPr>
      </w:pPr>
    </w:p>
    <w:p>
      <w:pPr>
        <w:pStyle w:val="Default"/>
        <w:widowControl w:val="0"/>
        <w:spacing w:before="0" w:line="240" w:lineRule="auto"/>
        <w:ind w:left="972" w:hanging="972"/>
        <w:rPr>
          <w:rFonts w:ascii="Arial" w:cs="Arial" w:hAnsi="Arial" w:eastAsia="Arial"/>
        </w:rPr>
      </w:pPr>
    </w:p>
    <w:p>
      <w:pPr>
        <w:pStyle w:val="Default"/>
        <w:widowControl w:val="0"/>
        <w:spacing w:before="0" w:line="240" w:lineRule="auto"/>
        <w:ind w:left="864" w:hanging="864"/>
        <w:rPr>
          <w:rFonts w:ascii="Arial" w:cs="Arial" w:hAnsi="Arial" w:eastAsia="Arial"/>
        </w:rPr>
      </w:pPr>
    </w:p>
    <w:p>
      <w:pPr>
        <w:pStyle w:val="Default"/>
        <w:widowControl w:val="0"/>
        <w:spacing w:before="0" w:line="240" w:lineRule="auto"/>
        <w:ind w:left="756" w:hanging="756"/>
        <w:rPr>
          <w:rFonts w:ascii="Arial" w:cs="Arial" w:hAnsi="Arial" w:eastAsia="Arial"/>
        </w:rPr>
      </w:pPr>
    </w:p>
    <w:p>
      <w:pPr>
        <w:pStyle w:val="Default"/>
        <w:widowControl w:val="0"/>
        <w:spacing w:before="0" w:line="240" w:lineRule="auto"/>
        <w:ind w:left="648" w:hanging="648"/>
        <w:rPr>
          <w:rFonts w:ascii="Arial" w:cs="Arial" w:hAnsi="Arial" w:eastAsia="Arial"/>
        </w:rPr>
      </w:pPr>
    </w:p>
    <w:p>
      <w:pPr>
        <w:pStyle w:val="Default"/>
        <w:widowControl w:val="0"/>
        <w:spacing w:before="0" w:line="240" w:lineRule="auto"/>
        <w:ind w:left="540" w:hanging="540"/>
        <w:rPr>
          <w:rFonts w:ascii="Arial" w:cs="Arial" w:hAnsi="Arial" w:eastAsia="Arial"/>
        </w:rPr>
      </w:pPr>
    </w:p>
    <w:p>
      <w:pPr>
        <w:pStyle w:val="Default"/>
        <w:widowControl w:val="0"/>
        <w:spacing w:before="0" w:line="240" w:lineRule="auto"/>
        <w:ind w:left="432" w:hanging="432"/>
        <w:rPr>
          <w:rFonts w:ascii="Arial" w:cs="Arial" w:hAnsi="Arial" w:eastAsia="Arial"/>
        </w:rPr>
      </w:pPr>
    </w:p>
    <w:p>
      <w:pPr>
        <w:pStyle w:val="Default"/>
        <w:widowControl w:val="0"/>
        <w:spacing w:before="0" w:line="240" w:lineRule="auto"/>
        <w:ind w:left="324" w:hanging="324"/>
        <w:rPr>
          <w:rFonts w:ascii="Arial" w:cs="Arial" w:hAnsi="Arial" w:eastAsia="Arial"/>
        </w:rPr>
      </w:pPr>
    </w:p>
    <w:p>
      <w:pPr>
        <w:pStyle w:val="Heading 2"/>
        <w:keepNext w:val="0"/>
        <w:keepLines w:val="0"/>
        <w:spacing w:before="0" w:after="160" w:line="288" w:lineRule="auto"/>
        <w:rPr>
          <w:b w:val="1"/>
          <w:bCs w:val="1"/>
          <w:sz w:val="24"/>
          <w:szCs w:val="24"/>
        </w:rPr>
      </w:pPr>
      <w:r>
        <w:rPr>
          <w:b w:val="1"/>
          <w:bCs w:val="1"/>
          <w:sz w:val="24"/>
          <w:szCs w:val="24"/>
          <w:rtl w:val="0"/>
          <w:lang w:val="en-US"/>
        </w:rPr>
        <w:t>Supplementary Table S7. Edge-wise QC</w:t>
      </w:r>
      <w:r>
        <w:rPr>
          <w:b w:val="1"/>
          <w:bCs w:val="1"/>
          <w:sz w:val="24"/>
          <w:szCs w:val="24"/>
          <w:rtl w:val="0"/>
          <w:lang w:val="en-US"/>
        </w:rPr>
        <w:t>–</w:t>
      </w:r>
      <w:r>
        <w:rPr>
          <w:b w:val="1"/>
          <w:bCs w:val="1"/>
          <w:sz w:val="24"/>
          <w:szCs w:val="24"/>
          <w:rtl w:val="0"/>
          <w:lang w:val="en-US"/>
        </w:rPr>
        <w:t>FC summary across cohorts.</w:t>
      </w:r>
    </w:p>
    <w:p>
      <w:pPr>
        <w:pStyle w:val="Default"/>
        <w:spacing w:before="0"/>
        <w:rPr>
          <w:rFonts w:ascii="Arial" w:cs="Arial" w:hAnsi="Arial" w:eastAsia="Arial"/>
        </w:rPr>
      </w:pPr>
      <w:r>
        <w:rPr>
          <w:rFonts w:ascii="Arial" w:hAnsi="Arial"/>
          <w:rtl w:val="0"/>
          <w:lang w:val="en-US"/>
        </w:rPr>
        <w:t>Edge-wise QC</w:t>
      </w:r>
      <w:r>
        <w:rPr>
          <w:rFonts w:ascii="Arial" w:hAnsi="Arial" w:hint="default"/>
          <w:rtl w:val="0"/>
          <w:lang w:val="en-US"/>
        </w:rPr>
        <w:t>–</w:t>
      </w:r>
      <w:r>
        <w:rPr>
          <w:rFonts w:ascii="Arial" w:hAnsi="Arial"/>
          <w:rtl w:val="0"/>
          <w:lang w:val="en-US"/>
        </w:rPr>
        <w:t xml:space="preserve">FC analysis using the 216-node connectivity matrices. Mean rfMRI head motion was </w:t>
      </w:r>
      <w:r>
        <w:rPr>
          <w:rFonts w:ascii="Arial" w:hAnsi="Arial"/>
          <w:rtl w:val="0"/>
          <w:lang w:val="de-DE"/>
        </w:rPr>
        <w:t>used from</w:t>
      </w:r>
      <w:r>
        <w:rPr>
          <w:rFonts w:ascii="Arial" w:hAnsi="Arial"/>
          <w:rtl w:val="0"/>
          <w:lang w:val="en-US"/>
        </w:rPr>
        <w:t xml:space="preserve"> UK Biobank Field 25741. Median |QC</w:t>
      </w:r>
      <w:r>
        <w:rPr>
          <w:rFonts w:ascii="Arial" w:hAnsi="Arial" w:hint="default"/>
          <w:rtl w:val="0"/>
          <w:lang w:val="en-US"/>
        </w:rPr>
        <w:t>–</w:t>
      </w:r>
      <w:r>
        <w:rPr>
          <w:rFonts w:ascii="Arial" w:hAnsi="Arial"/>
          <w:rtl w:val="0"/>
          <w:lang w:val="en-US"/>
        </w:rPr>
        <w:t>FC| and 95th percentile fall well below the Parkes et al. (2018) clean benchmarks (&lt; 0.10 and &lt; 0.20 respectively). Distance dependence is mildly positive, opposite in direction to the canonical short-range motion artefact described by Power et al. (2014), indicating no residual distance-structured motion contamination.</w:t>
      </w:r>
    </w:p>
    <w:tbl>
      <w:tblPr>
        <w:tblW w:w="9019"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96"/>
        <w:gridCol w:w="506"/>
        <w:gridCol w:w="1096"/>
        <w:gridCol w:w="1266"/>
        <w:gridCol w:w="1096"/>
        <w:gridCol w:w="1432"/>
        <w:gridCol w:w="927"/>
      </w:tblGrid>
      <w:tr>
        <w:tblPrEx>
          <w:shd w:val="clear" w:color="auto" w:fill="4f81bd"/>
        </w:tblPrEx>
        <w:trPr>
          <w:trHeight w:val="863" w:hRule="atLeast"/>
          <w:tblHeader/>
        </w:trPr>
        <w:tc>
          <w:tcPr>
            <w:tcW w:type="dxa" w:w="2696"/>
            <w:tcBorders>
              <w:top w:val="single" w:color="63d6db" w:sz="4" w:space="0" w:shadow="0" w:frame="0"/>
              <w:left w:val="single" w:color="63d6db"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Cohort</w:t>
            </w:r>
          </w:p>
        </w:tc>
        <w:tc>
          <w:tcPr>
            <w:tcW w:type="dxa" w:w="506"/>
            <w:tcBorders>
              <w:top w:val="single" w:color="63d6db" w:sz="4" w:space="0" w:shadow="0" w:frame="0"/>
              <w:left w:val="single" w:color="888888"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N</w:t>
            </w:r>
          </w:p>
        </w:tc>
        <w:tc>
          <w:tcPr>
            <w:tcW w:type="dxa" w:w="1096"/>
            <w:tcBorders>
              <w:top w:val="single" w:color="63d6db" w:sz="4" w:space="0" w:shadow="0" w:frame="0"/>
              <w:left w:val="single" w:color="888888"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Median |QC</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FC|</w:t>
            </w:r>
          </w:p>
        </w:tc>
        <w:tc>
          <w:tcPr>
            <w:tcW w:type="dxa" w:w="1266"/>
            <w:tcBorders>
              <w:top w:val="single" w:color="63d6db" w:sz="4" w:space="0" w:shadow="0" w:frame="0"/>
              <w:left w:val="single" w:color="888888"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95th pct |QC</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FC|</w:t>
            </w:r>
          </w:p>
        </w:tc>
        <w:tc>
          <w:tcPr>
            <w:tcW w:type="dxa" w:w="1096"/>
            <w:tcBorders>
              <w:top w:val="single" w:color="63d6db" w:sz="4" w:space="0" w:shadow="0" w:frame="0"/>
              <w:left w:val="single" w:color="888888"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nl-NL"/>
              </w:rPr>
              <w:t>Prop p&lt;0.05</w:t>
            </w:r>
          </w:p>
        </w:tc>
        <w:tc>
          <w:tcPr>
            <w:tcW w:type="dxa" w:w="1432"/>
            <w:tcBorders>
              <w:top w:val="single" w:color="63d6db" w:sz="4" w:space="0" w:shadow="0" w:frame="0"/>
              <w:left w:val="single" w:color="888888" w:sz="4" w:space="0" w:shadow="0" w:frame="0"/>
              <w:bottom w:val="single" w:color="63d6db" w:sz="4" w:space="0" w:shadow="0" w:frame="0"/>
              <w:right w:val="single" w:color="888888"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en-US"/>
              </w:rPr>
              <w:t>Median signed QC-FC</w:t>
            </w:r>
          </w:p>
        </w:tc>
        <w:tc>
          <w:tcPr>
            <w:tcW w:type="dxa" w:w="927"/>
            <w:tcBorders>
              <w:top w:val="single" w:color="63d6db" w:sz="4" w:space="0" w:shadow="0" w:frame="0"/>
              <w:left w:val="single" w:color="888888" w:sz="4" w:space="0" w:shadow="0" w:frame="0"/>
              <w:bottom w:val="single" w:color="63d6db" w:sz="4" w:space="0" w:shadow="0" w:frame="0"/>
              <w:right w:val="single" w:color="63d6db" w:sz="4" w:space="0" w:shadow="0" w:frame="0"/>
            </w:tcBorders>
            <w:shd w:val="clear" w:color="auto" w:fill="d9e2f3"/>
            <w:tcMar>
              <w:top w:type="dxa" w:w="80"/>
              <w:left w:type="dxa" w:w="80"/>
              <w:bottom w:type="dxa" w:w="80"/>
              <w:right w:type="dxa" w:w="80"/>
            </w:tcMar>
            <w:vAlign w:val="top"/>
          </w:tcPr>
          <w:p>
            <w:pPr>
              <w:pStyle w:val="Default"/>
              <w:spacing w:before="0" w:line="240" w:lineRule="auto"/>
            </w:pPr>
            <w:r>
              <w:rPr>
                <w:rFonts w:ascii="Arial" w:hAnsi="Arial"/>
                <w:b w:val="1"/>
                <w:bCs w:val="1"/>
                <w:sz w:val="20"/>
                <w:szCs w:val="20"/>
                <w:shd w:val="nil" w:color="auto" w:fill="auto"/>
                <w:rtl w:val="0"/>
                <w:lang w:val="fr-FR"/>
              </w:rPr>
              <w:t xml:space="preserve">Distance </w:t>
            </w:r>
            <w:r>
              <w:rPr>
                <w:rFonts w:ascii="Arial" w:hAnsi="Arial" w:hint="default"/>
                <w:b w:val="1"/>
                <w:bCs w:val="1"/>
                <w:sz w:val="20"/>
                <w:szCs w:val="20"/>
                <w:shd w:val="nil" w:color="auto" w:fill="auto"/>
                <w:rtl w:val="0"/>
                <w:lang w:val="en-US"/>
              </w:rPr>
              <w:t>ρ</w:t>
            </w:r>
          </w:p>
        </w:tc>
      </w:tr>
      <w:tr>
        <w:tblPrEx>
          <w:shd w:val="clear" w:color="auto" w:fill="ced7e7"/>
        </w:tblPrEx>
        <w:trPr>
          <w:trHeight w:val="483" w:hRule="atLeast"/>
        </w:trPr>
        <w:tc>
          <w:tcPr>
            <w:tcW w:type="dxa" w:w="2696"/>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de-DE"/>
              </w:rPr>
              <w:t>Main</w:t>
            </w:r>
          </w:p>
        </w:tc>
        <w:tc>
          <w:tcPr>
            <w:tcW w:type="dxa" w:w="506"/>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738</w:t>
            </w:r>
          </w:p>
        </w:tc>
        <w:tc>
          <w:tcPr>
            <w:tcW w:type="dxa" w:w="1096"/>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0.032</w:t>
            </w:r>
          </w:p>
        </w:tc>
        <w:tc>
          <w:tcPr>
            <w:tcW w:type="dxa" w:w="1266"/>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0.096</w:t>
            </w:r>
          </w:p>
        </w:tc>
        <w:tc>
          <w:tcPr>
            <w:tcW w:type="dxa" w:w="1096"/>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0.136</w:t>
            </w:r>
          </w:p>
        </w:tc>
        <w:tc>
          <w:tcPr>
            <w:tcW w:type="dxa" w:w="1432"/>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+0.003</w:t>
            </w:r>
          </w:p>
        </w:tc>
        <w:tc>
          <w:tcPr>
            <w:tcW w:type="dxa" w:w="927"/>
            <w:tcBorders>
              <w:top w:val="single" w:color="63d6db"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+0.187</w:t>
            </w:r>
          </w:p>
        </w:tc>
      </w:tr>
      <w:tr>
        <w:tblPrEx>
          <w:shd w:val="clear" w:color="auto" w:fill="ced7e7"/>
        </w:tblPrEx>
        <w:trPr>
          <w:trHeight w:val="483" w:hRule="atLeast"/>
        </w:trPr>
        <w:tc>
          <w:tcPr>
            <w:tcW w:type="dxa" w:w="2696"/>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Sensitivity</w:t>
            </w:r>
          </w:p>
        </w:tc>
        <w:tc>
          <w:tcPr>
            <w:tcW w:type="dxa" w:w="506"/>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724</w:t>
            </w:r>
          </w:p>
        </w:tc>
        <w:tc>
          <w:tcPr>
            <w:tcW w:type="dxa" w:w="1096"/>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0.029</w:t>
            </w:r>
          </w:p>
        </w:tc>
        <w:tc>
          <w:tcPr>
            <w:tcW w:type="dxa" w:w="1266"/>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0.085</w:t>
            </w:r>
          </w:p>
        </w:tc>
        <w:tc>
          <w:tcPr>
            <w:tcW w:type="dxa" w:w="1096"/>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0.093</w:t>
            </w:r>
          </w:p>
        </w:tc>
        <w:tc>
          <w:tcPr>
            <w:tcW w:type="dxa" w:w="1432"/>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+0.001</w:t>
            </w:r>
          </w:p>
        </w:tc>
        <w:tc>
          <w:tcPr>
            <w:tcW w:type="dxa" w:w="927"/>
            <w:tcBorders>
              <w:top w:val="single" w:color="888888" w:sz="4" w:space="0" w:shadow="0" w:frame="0"/>
              <w:left w:val="single" w:color="888888" w:sz="4" w:space="0" w:shadow="0" w:frame="0"/>
              <w:bottom w:val="single" w:color="888888" w:sz="4" w:space="0" w:shadow="0" w:frame="0"/>
              <w:right w:val="single" w:color="888888" w:sz="4" w:space="0" w:shadow="0" w:frame="0"/>
            </w:tcBorders>
            <w:shd w:val="clear" w:color="auto" w:fill="auto"/>
            <w:tcMar>
              <w:top w:type="dxa" w:w="80"/>
              <w:left w:type="dxa" w:w="80"/>
              <w:bottom w:type="dxa" w:w="80"/>
              <w:right w:type="dxa" w:w="80"/>
            </w:tcMar>
            <w:vAlign w:val="top"/>
          </w:tcPr>
          <w:p>
            <w:pPr>
              <w:pStyle w:val="Default"/>
              <w:spacing w:before="0" w:line="240" w:lineRule="auto"/>
            </w:pPr>
            <w:r>
              <w:rPr>
                <w:rFonts w:ascii="Arial" w:hAnsi="Arial"/>
                <w:sz w:val="20"/>
                <w:szCs w:val="20"/>
                <w:shd w:val="nil" w:color="auto" w:fill="auto"/>
                <w:rtl w:val="0"/>
                <w:lang w:val="en-US"/>
              </w:rPr>
              <w:t>+0.153</w:t>
            </w:r>
          </w:p>
        </w:tc>
      </w:tr>
    </w:tbl>
    <w:p>
      <w:pPr>
        <w:pStyle w:val="Default"/>
        <w:widowControl w:val="0"/>
        <w:spacing w:before="0" w:line="240" w:lineRule="auto"/>
        <w:ind w:left="216" w:hanging="216"/>
        <w:jc w:val="left"/>
        <w:rPr>
          <w:rFonts w:ascii="Arial" w:cs="Arial" w:hAnsi="Arial" w:eastAsia="Arial"/>
        </w:rPr>
      </w:pPr>
    </w:p>
    <w:p>
      <w:pPr>
        <w:pStyle w:val="Body B A A"/>
        <w:spacing w:line="288" w:lineRule="auto"/>
        <w:rPr>
          <w:rFonts w:ascii="Arial" w:cs="Arial" w:hAnsi="Arial" w:eastAsia="Arial"/>
          <w:i w:val="1"/>
          <w:iCs w:val="1"/>
        </w:rPr>
      </w:pPr>
    </w:p>
    <w:p>
      <w:pPr>
        <w:pStyle w:val="Body B A A"/>
        <w:spacing w:line="288" w:lineRule="auto"/>
        <w:rPr>
          <w:rFonts w:ascii="Arial" w:cs="Arial" w:hAnsi="Arial" w:eastAsia="Arial"/>
          <w:i w:val="1"/>
          <w:iCs w:val="1"/>
        </w:rPr>
      </w:pPr>
    </w:p>
    <w:p>
      <w:pPr>
        <w:pStyle w:val="Heading 2"/>
        <w:spacing w:line="288" w:lineRule="auto"/>
        <w:rPr>
          <w:sz w:val="24"/>
          <w:szCs w:val="24"/>
        </w:rPr>
      </w:pPr>
      <w:r>
        <w:rPr>
          <w:b w:val="1"/>
          <w:bCs w:val="1"/>
          <w:sz w:val="24"/>
          <w:szCs w:val="24"/>
          <w:rtl w:val="0"/>
          <w:lang w:val="en-US"/>
        </w:rPr>
        <w:t>Supplementary Table S8. Small Control &gt; AF subnetwork (primary threshold t = 4.5).</w:t>
      </w:r>
    </w:p>
    <w:p>
      <w:pPr>
        <w:pStyle w:val="Body B A A"/>
        <w:spacing w:line="288" w:lineRule="auto"/>
        <w:rPr>
          <w:rFonts w:ascii="Arial" w:cs="Arial" w:hAnsi="Arial" w:eastAsia="Arial"/>
          <w:i w:val="1"/>
          <w:iCs w:val="1"/>
        </w:rPr>
      </w:pPr>
      <w:r>
        <w:rPr>
          <w:rFonts w:ascii="Arial" w:hAnsi="Arial"/>
          <w:i w:val="1"/>
          <w:iCs w:val="1"/>
          <w:rtl w:val="0"/>
          <w:lang w:val="en-US"/>
        </w:rPr>
        <w:t xml:space="preserve">Edges comprising the small Control &gt; AF subnetwork identified at the primary threshold t = 4.5 (4 nodes, 3 edges; p_FWER = 0.005). The subnetwork did not survive at higher thresholds (t </w:t>
      </w:r>
      <w:r>
        <w:rPr>
          <w:rFonts w:ascii="Arial" w:hAnsi="Arial" w:hint="default"/>
          <w:i w:val="1"/>
          <w:iCs w:val="1"/>
          <w:rtl w:val="0"/>
          <w:lang w:val="en-US"/>
        </w:rPr>
        <w:t xml:space="preserve">≥ </w:t>
      </w:r>
      <w:r>
        <w:rPr>
          <w:rFonts w:ascii="Arial" w:hAnsi="Arial"/>
          <w:i w:val="1"/>
          <w:iCs w:val="1"/>
          <w:rtl w:val="0"/>
          <w:lang w:val="en-US"/>
        </w:rPr>
        <w:t>5.0) and was not pursued in subsequent analyses; it is reported here for completeness.</w:t>
      </w:r>
    </w:p>
    <w:p>
      <w:pPr>
        <w:pStyle w:val="Body B A A"/>
        <w:spacing w:line="288" w:lineRule="auto"/>
        <w:rPr>
          <w:rFonts w:ascii="Arial" w:cs="Arial" w:hAnsi="Arial" w:eastAsia="Arial"/>
          <w:i w:val="1"/>
          <w:iCs w:val="1"/>
        </w:rPr>
      </w:pPr>
    </w:p>
    <w:p>
      <w:pPr>
        <w:pStyle w:val="Body B A A"/>
        <w:spacing w:line="288" w:lineRule="auto"/>
        <w:rPr>
          <w:rFonts w:ascii="Arial" w:cs="Arial" w:hAnsi="Arial" w:eastAsia="Arial"/>
          <w:i w:val="1"/>
          <w:iCs w:val="1"/>
        </w:rPr>
      </w:pPr>
    </w:p>
    <w:tbl>
      <w:tblPr>
        <w:tblW w:w="902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55"/>
        <w:gridCol w:w="2255"/>
        <w:gridCol w:w="2255"/>
        <w:gridCol w:w="2255"/>
      </w:tblGrid>
      <w:tr>
        <w:tblPrEx>
          <w:shd w:val="clear" w:color="auto" w:fill="4f81bd"/>
        </w:tblPrEx>
        <w:trPr>
          <w:trHeight w:val="633" w:hRule="atLeast"/>
          <w:tblHeader/>
        </w:trPr>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Edge</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Region 1</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Region 2</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t-value</w:t>
            </w:r>
          </w:p>
        </w:tc>
      </w:tr>
      <w:tr>
        <w:tblPrEx>
          <w:shd w:val="clear" w:color="auto" w:fill="ced7e7"/>
        </w:tblPrEx>
        <w:trPr>
          <w:trHeight w:val="853" w:hRule="atLeast"/>
        </w:trPr>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1</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7Networks_LH_SomMot_6</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aTHA-lh</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4.72</w:t>
            </w:r>
          </w:p>
        </w:tc>
      </w:tr>
      <w:tr>
        <w:tblPrEx>
          <w:shd w:val="clear" w:color="auto" w:fill="ced7e7"/>
        </w:tblPrEx>
        <w:trPr>
          <w:trHeight w:val="853" w:hRule="atLeast"/>
        </w:trPr>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7Networks_RH_SomMot_7</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aTHA-lh</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4.72</w:t>
            </w:r>
          </w:p>
        </w:tc>
      </w:tr>
      <w:tr>
        <w:tblPrEx>
          <w:shd w:val="clear" w:color="auto" w:fill="ced7e7"/>
        </w:tblPrEx>
        <w:trPr>
          <w:trHeight w:val="853" w:hRule="atLeast"/>
        </w:trPr>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3</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7Networks_RH_SomMot_19</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aTHA-lh</w:t>
            </w:r>
          </w:p>
        </w:tc>
        <w:tc>
          <w:tcPr>
            <w:tcW w:type="dxa" w:w="225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4.57</w:t>
            </w:r>
          </w:p>
        </w:tc>
      </w:tr>
    </w:tbl>
    <w:p>
      <w:pPr>
        <w:pStyle w:val="Body B A A"/>
        <w:widowControl w:val="0"/>
        <w:ind w:left="216" w:hanging="216"/>
        <w:jc w:val="left"/>
        <w:rPr>
          <w:rFonts w:ascii="Arial" w:cs="Arial" w:hAnsi="Arial" w:eastAsia="Arial"/>
          <w:i w:val="1"/>
          <w:iCs w:val="1"/>
        </w:rPr>
      </w:pPr>
    </w:p>
    <w:p>
      <w:pPr>
        <w:pStyle w:val="Body B A A"/>
        <w:widowControl w:val="0"/>
        <w:ind w:left="108" w:hanging="108"/>
        <w:jc w:val="left"/>
        <w:rPr>
          <w:rFonts w:ascii="Arial" w:cs="Arial" w:hAnsi="Arial" w:eastAsia="Arial"/>
          <w:i w:val="1"/>
          <w:iCs w:val="1"/>
        </w:rPr>
      </w:pPr>
    </w:p>
    <w:p>
      <w:pPr>
        <w:pStyle w:val="Body B A A"/>
        <w:widowControl w:val="0"/>
        <w:jc w:val="left"/>
        <w:rPr>
          <w:rFonts w:ascii="Arial" w:cs="Arial" w:hAnsi="Arial" w:eastAsia="Arial"/>
          <w:i w:val="1"/>
          <w:iCs w:val="1"/>
        </w:rPr>
      </w:pPr>
    </w:p>
    <w:p>
      <w:pPr>
        <w:pStyle w:val="Body B A A"/>
        <w:widowControl w:val="0"/>
        <w:ind w:left="2592" w:hanging="2592"/>
        <w:jc w:val="left"/>
        <w:rPr>
          <w:rFonts w:ascii="Arial" w:cs="Arial" w:hAnsi="Arial" w:eastAsia="Arial"/>
          <w:i w:val="1"/>
          <w:iCs w:val="1"/>
        </w:rPr>
      </w:pPr>
    </w:p>
    <w:p>
      <w:pPr>
        <w:pStyle w:val="Body B A A"/>
        <w:widowControl w:val="0"/>
        <w:ind w:left="2484" w:hanging="2484"/>
        <w:jc w:val="left"/>
        <w:rPr>
          <w:rFonts w:ascii="Arial" w:cs="Arial" w:hAnsi="Arial" w:eastAsia="Arial"/>
          <w:i w:val="1"/>
          <w:iCs w:val="1"/>
        </w:rPr>
      </w:pPr>
    </w:p>
    <w:p>
      <w:pPr>
        <w:pStyle w:val="Body B A A"/>
        <w:widowControl w:val="0"/>
        <w:ind w:left="2376" w:hanging="2376"/>
        <w:jc w:val="left"/>
        <w:rPr>
          <w:rFonts w:ascii="Arial" w:cs="Arial" w:hAnsi="Arial" w:eastAsia="Arial"/>
          <w:i w:val="1"/>
          <w:iCs w:val="1"/>
        </w:rPr>
      </w:pPr>
    </w:p>
    <w:p>
      <w:pPr>
        <w:pStyle w:val="Body B A A"/>
        <w:widowControl w:val="0"/>
        <w:ind w:left="2268" w:hanging="2268"/>
        <w:jc w:val="left"/>
        <w:rPr>
          <w:rFonts w:ascii="Arial" w:cs="Arial" w:hAnsi="Arial" w:eastAsia="Arial"/>
          <w:i w:val="1"/>
          <w:iCs w:val="1"/>
        </w:rPr>
      </w:pPr>
    </w:p>
    <w:p>
      <w:pPr>
        <w:pStyle w:val="Body B A A"/>
        <w:widowControl w:val="0"/>
        <w:ind w:left="2160" w:hanging="2160"/>
        <w:jc w:val="left"/>
        <w:rPr>
          <w:rFonts w:ascii="Arial" w:cs="Arial" w:hAnsi="Arial" w:eastAsia="Arial"/>
          <w:i w:val="1"/>
          <w:iCs w:val="1"/>
        </w:rPr>
      </w:pPr>
    </w:p>
    <w:p>
      <w:pPr>
        <w:pStyle w:val="Body B A A"/>
        <w:widowControl w:val="0"/>
        <w:ind w:left="2052" w:hanging="2052"/>
        <w:jc w:val="left"/>
        <w:rPr>
          <w:rFonts w:ascii="Arial" w:cs="Arial" w:hAnsi="Arial" w:eastAsia="Arial"/>
          <w:i w:val="1"/>
          <w:iCs w:val="1"/>
        </w:rPr>
      </w:pPr>
    </w:p>
    <w:p>
      <w:pPr>
        <w:pStyle w:val="Body B A A"/>
        <w:widowControl w:val="0"/>
        <w:ind w:left="1944" w:hanging="1944"/>
        <w:jc w:val="left"/>
        <w:rPr>
          <w:rFonts w:ascii="Arial" w:cs="Arial" w:hAnsi="Arial" w:eastAsia="Arial"/>
          <w:i w:val="1"/>
          <w:iCs w:val="1"/>
        </w:rPr>
      </w:pPr>
    </w:p>
    <w:p>
      <w:pPr>
        <w:pStyle w:val="Body B A A"/>
        <w:widowControl w:val="0"/>
        <w:ind w:left="1836" w:hanging="1836"/>
        <w:jc w:val="left"/>
        <w:rPr>
          <w:rFonts w:ascii="Arial" w:cs="Arial" w:hAnsi="Arial" w:eastAsia="Arial"/>
          <w:i w:val="1"/>
          <w:iCs w:val="1"/>
        </w:rPr>
      </w:pPr>
    </w:p>
    <w:p>
      <w:pPr>
        <w:pStyle w:val="Body B A A"/>
        <w:widowControl w:val="0"/>
        <w:ind w:left="1728" w:hanging="1728"/>
        <w:rPr>
          <w:rFonts w:ascii="Arial" w:cs="Arial" w:hAnsi="Arial" w:eastAsia="Arial"/>
          <w:i w:val="1"/>
          <w:iCs w:val="1"/>
        </w:rPr>
      </w:pPr>
    </w:p>
    <w:p>
      <w:pPr>
        <w:pStyle w:val="Body B A A"/>
        <w:widowControl w:val="0"/>
        <w:ind w:left="1620" w:hanging="1620"/>
        <w:rPr>
          <w:rFonts w:ascii="Arial" w:cs="Arial" w:hAnsi="Arial" w:eastAsia="Arial"/>
          <w:i w:val="1"/>
          <w:iCs w:val="1"/>
        </w:rPr>
      </w:pPr>
    </w:p>
    <w:p>
      <w:pPr>
        <w:pStyle w:val="Body B A A"/>
        <w:widowControl w:val="0"/>
        <w:ind w:left="1512" w:hanging="1512"/>
        <w:rPr>
          <w:rFonts w:ascii="Arial" w:cs="Arial" w:hAnsi="Arial" w:eastAsia="Arial"/>
          <w:i w:val="1"/>
          <w:iCs w:val="1"/>
        </w:rPr>
      </w:pPr>
    </w:p>
    <w:p>
      <w:pPr>
        <w:pStyle w:val="Body B A A"/>
        <w:widowControl w:val="0"/>
        <w:ind w:left="1404" w:hanging="1404"/>
        <w:rPr>
          <w:rFonts w:ascii="Arial" w:cs="Arial" w:hAnsi="Arial" w:eastAsia="Arial"/>
          <w:i w:val="1"/>
          <w:iCs w:val="1"/>
        </w:rPr>
      </w:pPr>
    </w:p>
    <w:p>
      <w:pPr>
        <w:pStyle w:val="Body B A A"/>
        <w:widowControl w:val="0"/>
        <w:ind w:left="1296" w:hanging="1296"/>
        <w:rPr>
          <w:rFonts w:ascii="Arial" w:cs="Arial" w:hAnsi="Arial" w:eastAsia="Arial"/>
          <w:i w:val="1"/>
          <w:iCs w:val="1"/>
        </w:rPr>
      </w:pPr>
    </w:p>
    <w:p>
      <w:pPr>
        <w:pStyle w:val="Body B A A"/>
        <w:widowControl w:val="0"/>
        <w:ind w:left="1188" w:hanging="1188"/>
        <w:rPr>
          <w:rFonts w:ascii="Arial" w:cs="Arial" w:hAnsi="Arial" w:eastAsia="Arial"/>
          <w:i w:val="1"/>
          <w:iCs w:val="1"/>
        </w:rPr>
      </w:pPr>
    </w:p>
    <w:p>
      <w:pPr>
        <w:pStyle w:val="Body B A A"/>
        <w:widowControl w:val="0"/>
        <w:ind w:left="1080" w:hanging="1080"/>
        <w:rPr>
          <w:rFonts w:ascii="Arial" w:cs="Arial" w:hAnsi="Arial" w:eastAsia="Arial"/>
          <w:i w:val="1"/>
          <w:iCs w:val="1"/>
        </w:rPr>
      </w:pPr>
    </w:p>
    <w:p>
      <w:pPr>
        <w:pStyle w:val="Body B A A"/>
        <w:widowControl w:val="0"/>
        <w:ind w:left="972" w:hanging="972"/>
        <w:rPr>
          <w:rFonts w:ascii="Arial" w:cs="Arial" w:hAnsi="Arial" w:eastAsia="Arial"/>
          <w:i w:val="1"/>
          <w:iCs w:val="1"/>
        </w:rPr>
      </w:pPr>
    </w:p>
    <w:p>
      <w:pPr>
        <w:pStyle w:val="Body B A A"/>
        <w:widowControl w:val="0"/>
        <w:ind w:left="864" w:hanging="864"/>
        <w:rPr>
          <w:rFonts w:ascii="Arial" w:cs="Arial" w:hAnsi="Arial" w:eastAsia="Arial"/>
          <w:i w:val="1"/>
          <w:iCs w:val="1"/>
        </w:rPr>
      </w:pPr>
    </w:p>
    <w:p>
      <w:pPr>
        <w:pStyle w:val="Body B A A"/>
        <w:widowControl w:val="0"/>
        <w:ind w:left="756" w:hanging="756"/>
        <w:rPr>
          <w:rFonts w:ascii="Arial" w:cs="Arial" w:hAnsi="Arial" w:eastAsia="Arial"/>
          <w:i w:val="1"/>
          <w:iCs w:val="1"/>
        </w:rPr>
      </w:pPr>
    </w:p>
    <w:p>
      <w:pPr>
        <w:pStyle w:val="Body B A A"/>
        <w:widowControl w:val="0"/>
        <w:ind w:left="648" w:hanging="648"/>
        <w:rPr>
          <w:rFonts w:ascii="Arial" w:cs="Arial" w:hAnsi="Arial" w:eastAsia="Arial"/>
          <w:i w:val="1"/>
          <w:iCs w:val="1"/>
        </w:rPr>
      </w:pPr>
    </w:p>
    <w:p>
      <w:pPr>
        <w:pStyle w:val="Body B A A"/>
        <w:widowControl w:val="0"/>
        <w:ind w:left="540" w:hanging="540"/>
        <w:rPr>
          <w:rFonts w:ascii="Arial" w:cs="Arial" w:hAnsi="Arial" w:eastAsia="Arial"/>
          <w:i w:val="1"/>
          <w:iCs w:val="1"/>
        </w:rPr>
      </w:pPr>
    </w:p>
    <w:p>
      <w:pPr>
        <w:pStyle w:val="Body B A A"/>
        <w:widowControl w:val="0"/>
        <w:ind w:left="432" w:hanging="432"/>
        <w:rPr>
          <w:rFonts w:ascii="Arial" w:cs="Arial" w:hAnsi="Arial" w:eastAsia="Arial"/>
          <w:i w:val="1"/>
          <w:iCs w:val="1"/>
        </w:rPr>
      </w:pPr>
    </w:p>
    <w:p>
      <w:pPr>
        <w:pStyle w:val="Body B A A"/>
        <w:widowControl w:val="0"/>
        <w:ind w:left="324" w:hanging="324"/>
        <w:rPr>
          <w:rFonts w:ascii="Arial" w:cs="Arial" w:hAnsi="Arial" w:eastAsia="Arial"/>
          <w:i w:val="1"/>
          <w:iCs w:val="1"/>
        </w:rPr>
      </w:pPr>
    </w:p>
    <w:p>
      <w:pPr>
        <w:pStyle w:val="Default"/>
        <w:widowControl w:val="0"/>
        <w:spacing w:before="0" w:line="240" w:lineRule="auto"/>
        <w:ind w:left="324" w:hanging="324"/>
        <w:rPr>
          <w:rFonts w:ascii="Arial" w:cs="Arial" w:hAnsi="Arial" w:eastAsia="Arial"/>
        </w:rPr>
      </w:pPr>
    </w:p>
    <w:p>
      <w:pPr>
        <w:pStyle w:val="Default"/>
        <w:widowControl w:val="0"/>
        <w:spacing w:before="0" w:line="240" w:lineRule="auto"/>
        <w:ind w:left="216" w:hanging="216"/>
        <w:rPr>
          <w:rFonts w:ascii="Arial" w:cs="Arial" w:hAnsi="Arial" w:eastAsia="Arial"/>
        </w:rPr>
      </w:pPr>
    </w:p>
    <w:p>
      <w:pPr>
        <w:pStyle w:val="Heading 2"/>
        <w:keepNext w:val="0"/>
        <w:keepLines w:val="0"/>
        <w:spacing w:before="280" w:after="160" w:line="288" w:lineRule="auto"/>
        <w:rPr>
          <w:b w:val="1"/>
          <w:bCs w:val="1"/>
          <w:sz w:val="24"/>
          <w:szCs w:val="24"/>
        </w:rPr>
      </w:pPr>
      <w:r>
        <w:rPr>
          <w:b w:val="1"/>
          <w:bCs w:val="1"/>
          <w:sz w:val="24"/>
          <w:szCs w:val="24"/>
          <w:rtl w:val="0"/>
          <w:lang w:val="en-US"/>
        </w:rPr>
        <w:t>Supplementary Table S9. Top 30 hub nodes of the NBS-identified functional hyperconnectivity subnetwork.</w:t>
      </w:r>
    </w:p>
    <w:p>
      <w:pPr>
        <w:pStyle w:val="Body A"/>
        <w:spacing w:after="140" w:line="288" w:lineRule="auto"/>
        <w:rPr>
          <w:sz w:val="24"/>
          <w:szCs w:val="24"/>
        </w:rPr>
      </w:pPr>
      <w:r>
        <w:rPr>
          <w:i w:val="1"/>
          <w:iCs w:val="1"/>
          <w:sz w:val="24"/>
          <w:szCs w:val="24"/>
          <w:rtl w:val="0"/>
          <w:lang w:val="en-US"/>
        </w:rPr>
        <w:t>Nodes ranked by weighted eigenvector centrality (EC), computed using absolute t-statistics as edge weights (see Methods, "Functional NBS and hub analysis"). Anatomical labels assigned via Harvard-Oxford atlas spatial overlap. Network = Schaefer/Tian network assignment.</w:t>
      </w:r>
    </w:p>
    <w:tbl>
      <w:tblPr>
        <w:tblW w:w="860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99"/>
        <w:gridCol w:w="3200"/>
        <w:gridCol w:w="1201"/>
        <w:gridCol w:w="2399"/>
        <w:gridCol w:w="1001"/>
      </w:tblGrid>
      <w:tr>
        <w:tblPrEx>
          <w:shd w:val="clear" w:color="auto" w:fill="4f81bd"/>
        </w:tblPrEx>
        <w:trPr>
          <w:trHeight w:val="524" w:hRule="atLeast"/>
          <w:tblHeader/>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Rank</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Node label</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Hemisphere</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Network</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EC</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Anterior insular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0.323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Middle frontal gyrus (dlPFC)</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0.283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3</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Heschl's gyrus (primary auditory)</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0.263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4</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Middle frontal gyrus (dlPFC)</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0.255</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5</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Parietal opercular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0.238</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6</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Precuneus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0.230</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7</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Planum temporale</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0.213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8</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Paracingulate gyrus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0.212</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9</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Central opercular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0.199</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10</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Planum polare</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0.198</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11</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Cingulate Gyrus, posterior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0.193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12</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Insular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0.186</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13</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Putamen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Subcortical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0.166</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14</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Superior Frontal Gyrus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Default Mode</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0.160</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15</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Insular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0.148</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16</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Cingulate Gyrus, anterior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0.146</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17</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Frontal Opercular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0.145</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18</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Cingulate Gyrus, anterior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0.142</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19</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Precuneous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0.139</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20</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Cingulate Gyrus, anterior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Default Mode</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0.114</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21</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Paracingulate Gyrus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Default Mode</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0.109</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22</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Superior Frontal Gyrus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0.103</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23</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Frontal Orbital Cortex</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Default Mode</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0.089</w:t>
            </w:r>
          </w:p>
        </w:tc>
      </w:tr>
      <w:tr>
        <w:tblPrEx>
          <w:shd w:val="clear" w:color="auto" w:fill="ced7e7"/>
        </w:tblPrEx>
        <w:trPr>
          <w:trHeight w:val="55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24</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Inferior Frontal Gyrus, pars triangularis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Default Mode</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0.088</w:t>
            </w:r>
          </w:p>
        </w:tc>
      </w:tr>
      <w:tr>
        <w:tblPrEx>
          <w:shd w:val="clear" w:color="auto" w:fill="ced7e7"/>
        </w:tblPrEx>
        <w:trPr>
          <w:trHeight w:val="55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25</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Inferior Frontal Gyrus, pars opercularis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Dorsal Attention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0.086</w:t>
            </w:r>
          </w:p>
        </w:tc>
      </w:tr>
      <w:tr>
        <w:tblPrEx>
          <w:shd w:val="clear" w:color="auto" w:fill="ced7e7"/>
        </w:tblPrEx>
        <w:trPr>
          <w:trHeight w:val="55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26</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Parahippocampal Gyrus, posterior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Visual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0.086</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27</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Middle Frontal Gyrus</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Frontoparietal Control</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0.086</w:t>
            </w:r>
          </w:p>
        </w:tc>
      </w:tr>
      <w:tr>
        <w:tblPrEx>
          <w:shd w:val="clear" w:color="auto" w:fill="ced7e7"/>
        </w:tblPrEx>
        <w:trPr>
          <w:trHeight w:val="40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28</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Cingulate Gyrus, posterior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Somatomotor</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0.083</w:t>
            </w:r>
          </w:p>
        </w:tc>
      </w:tr>
      <w:tr>
        <w:tblPrEx>
          <w:shd w:val="clear" w:color="auto" w:fill="ced7e7"/>
        </w:tblPrEx>
        <w:trPr>
          <w:trHeight w:val="55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29</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Supramarginal Gyrus, anterior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R</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0.080</w:t>
            </w:r>
          </w:p>
        </w:tc>
      </w:tr>
      <w:tr>
        <w:tblPrEx>
          <w:shd w:val="clear" w:color="auto" w:fill="ced7e7"/>
        </w:tblPrEx>
        <w:trPr>
          <w:trHeight w:val="554" w:hRule="atLeast"/>
        </w:trPr>
        <w:tc>
          <w:tcPr>
            <w:tcW w:type="dxa" w:w="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30</w:t>
            </w:r>
          </w:p>
        </w:tc>
        <w:tc>
          <w:tcPr>
            <w:tcW w:type="dxa" w:w="3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Supramarginal Gyrus, posterior division</w:t>
            </w:r>
          </w:p>
        </w:tc>
        <w:tc>
          <w:tcPr>
            <w:tcW w:type="dxa" w:w="12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L</w:t>
            </w:r>
          </w:p>
        </w:tc>
        <w:tc>
          <w:tcPr>
            <w:tcW w:type="dxa" w:w="23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Salience/Ventral Attn</w:t>
            </w:r>
          </w:p>
        </w:tc>
        <w:tc>
          <w:tcPr>
            <w:tcW w:type="dxa" w:w="10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0.072</w:t>
            </w:r>
          </w:p>
        </w:tc>
      </w:tr>
    </w:tbl>
    <w:p>
      <w:pPr>
        <w:pStyle w:val="Body A"/>
        <w:widowControl w:val="0"/>
        <w:spacing w:after="140" w:line="240" w:lineRule="auto"/>
        <w:ind w:left="216" w:hanging="216"/>
        <w:jc w:val="left"/>
        <w:rPr>
          <w:sz w:val="24"/>
          <w:szCs w:val="24"/>
        </w:rPr>
      </w:pPr>
    </w:p>
    <w:p>
      <w:pPr>
        <w:pStyle w:val="Body A"/>
        <w:widowControl w:val="0"/>
        <w:spacing w:after="140" w:line="240" w:lineRule="auto"/>
        <w:ind w:left="108" w:hanging="108"/>
        <w:jc w:val="left"/>
        <w:rPr>
          <w:sz w:val="24"/>
          <w:szCs w:val="24"/>
        </w:rPr>
      </w:pPr>
    </w:p>
    <w:p>
      <w:pPr>
        <w:pStyle w:val="Body A"/>
        <w:widowControl w:val="0"/>
        <w:spacing w:after="140" w:line="240" w:lineRule="auto"/>
        <w:jc w:val="left"/>
        <w:rPr>
          <w:sz w:val="24"/>
          <w:szCs w:val="24"/>
        </w:rPr>
      </w:pPr>
    </w:p>
    <w:p>
      <w:pPr>
        <w:pStyle w:val="Body A"/>
        <w:widowControl w:val="0"/>
        <w:spacing w:after="140" w:line="240" w:lineRule="auto"/>
        <w:ind w:left="2700" w:hanging="2700"/>
        <w:jc w:val="left"/>
        <w:rPr>
          <w:sz w:val="24"/>
          <w:szCs w:val="24"/>
        </w:rPr>
      </w:pPr>
    </w:p>
    <w:p>
      <w:pPr>
        <w:pStyle w:val="Body A"/>
        <w:widowControl w:val="0"/>
        <w:spacing w:after="140" w:line="240" w:lineRule="auto"/>
        <w:ind w:left="2592" w:hanging="2592"/>
        <w:jc w:val="left"/>
        <w:rPr>
          <w:sz w:val="24"/>
          <w:szCs w:val="24"/>
        </w:rPr>
      </w:pPr>
    </w:p>
    <w:p>
      <w:pPr>
        <w:pStyle w:val="Body A"/>
        <w:widowControl w:val="0"/>
        <w:spacing w:after="140" w:line="240" w:lineRule="auto"/>
        <w:ind w:left="2484" w:hanging="2484"/>
        <w:jc w:val="left"/>
        <w:rPr>
          <w:sz w:val="24"/>
          <w:szCs w:val="24"/>
        </w:rPr>
      </w:pPr>
    </w:p>
    <w:p>
      <w:pPr>
        <w:pStyle w:val="Body A"/>
        <w:widowControl w:val="0"/>
        <w:spacing w:after="140" w:line="240" w:lineRule="auto"/>
        <w:ind w:left="2376" w:hanging="2376"/>
        <w:jc w:val="left"/>
        <w:rPr>
          <w:sz w:val="24"/>
          <w:szCs w:val="24"/>
        </w:rPr>
      </w:pPr>
    </w:p>
    <w:p>
      <w:pPr>
        <w:pStyle w:val="Body A"/>
        <w:widowControl w:val="0"/>
        <w:spacing w:after="140" w:line="240" w:lineRule="auto"/>
        <w:ind w:left="2268" w:hanging="2268"/>
        <w:jc w:val="left"/>
        <w:rPr>
          <w:sz w:val="24"/>
          <w:szCs w:val="24"/>
        </w:rPr>
      </w:pPr>
    </w:p>
    <w:p>
      <w:pPr>
        <w:pStyle w:val="Body A"/>
        <w:widowControl w:val="0"/>
        <w:spacing w:after="140" w:line="240" w:lineRule="auto"/>
        <w:ind w:left="2160" w:hanging="2160"/>
        <w:jc w:val="left"/>
        <w:rPr>
          <w:sz w:val="24"/>
          <w:szCs w:val="24"/>
        </w:rPr>
      </w:pPr>
    </w:p>
    <w:p>
      <w:pPr>
        <w:pStyle w:val="Body A"/>
        <w:widowControl w:val="0"/>
        <w:spacing w:after="140" w:line="240" w:lineRule="auto"/>
        <w:ind w:left="2052" w:hanging="2052"/>
        <w:jc w:val="left"/>
        <w:rPr>
          <w:sz w:val="24"/>
          <w:szCs w:val="24"/>
        </w:rPr>
      </w:pPr>
    </w:p>
    <w:p>
      <w:pPr>
        <w:pStyle w:val="Body A"/>
        <w:widowControl w:val="0"/>
        <w:spacing w:after="140" w:line="240" w:lineRule="auto"/>
        <w:ind w:left="1944" w:hanging="1944"/>
        <w:jc w:val="left"/>
        <w:rPr>
          <w:sz w:val="24"/>
          <w:szCs w:val="24"/>
        </w:rPr>
      </w:pPr>
    </w:p>
    <w:p>
      <w:pPr>
        <w:pStyle w:val="Body A"/>
        <w:widowControl w:val="0"/>
        <w:spacing w:after="140" w:line="240" w:lineRule="auto"/>
        <w:ind w:left="1836" w:hanging="1836"/>
        <w:rPr>
          <w:sz w:val="24"/>
          <w:szCs w:val="24"/>
        </w:rPr>
      </w:pPr>
    </w:p>
    <w:p>
      <w:pPr>
        <w:pStyle w:val="Body A"/>
        <w:widowControl w:val="0"/>
        <w:spacing w:after="140" w:line="240" w:lineRule="auto"/>
        <w:ind w:left="1728" w:hanging="1728"/>
        <w:rPr>
          <w:sz w:val="24"/>
          <w:szCs w:val="24"/>
        </w:rPr>
      </w:pPr>
    </w:p>
    <w:p>
      <w:pPr>
        <w:pStyle w:val="Body A"/>
        <w:widowControl w:val="0"/>
        <w:spacing w:after="140" w:line="240" w:lineRule="auto"/>
        <w:ind w:left="1620" w:hanging="1620"/>
        <w:rPr>
          <w:sz w:val="24"/>
          <w:szCs w:val="24"/>
        </w:rPr>
      </w:pPr>
    </w:p>
    <w:p>
      <w:pPr>
        <w:pStyle w:val="Body A"/>
        <w:widowControl w:val="0"/>
        <w:spacing w:after="140" w:line="240" w:lineRule="auto"/>
        <w:ind w:left="1512" w:hanging="1512"/>
        <w:rPr>
          <w:sz w:val="24"/>
          <w:szCs w:val="24"/>
        </w:rPr>
      </w:pPr>
    </w:p>
    <w:p>
      <w:pPr>
        <w:pStyle w:val="Body A"/>
        <w:widowControl w:val="0"/>
        <w:spacing w:after="140" w:line="240" w:lineRule="auto"/>
        <w:ind w:left="1404" w:hanging="1404"/>
        <w:rPr>
          <w:sz w:val="24"/>
          <w:szCs w:val="24"/>
        </w:rPr>
      </w:pPr>
    </w:p>
    <w:p>
      <w:pPr>
        <w:pStyle w:val="Body A"/>
        <w:widowControl w:val="0"/>
        <w:spacing w:after="140" w:line="240" w:lineRule="auto"/>
        <w:ind w:left="1296" w:hanging="1296"/>
        <w:rPr>
          <w:sz w:val="24"/>
          <w:szCs w:val="24"/>
        </w:rPr>
      </w:pPr>
    </w:p>
    <w:p>
      <w:pPr>
        <w:pStyle w:val="Body A"/>
        <w:widowControl w:val="0"/>
        <w:spacing w:after="140" w:line="240" w:lineRule="auto"/>
        <w:ind w:left="1188" w:hanging="1188"/>
        <w:rPr>
          <w:sz w:val="24"/>
          <w:szCs w:val="24"/>
        </w:rPr>
      </w:pPr>
    </w:p>
    <w:p>
      <w:pPr>
        <w:pStyle w:val="Body A"/>
        <w:widowControl w:val="0"/>
        <w:spacing w:after="140" w:line="240" w:lineRule="auto"/>
        <w:ind w:left="1080" w:hanging="1080"/>
        <w:rPr>
          <w:sz w:val="24"/>
          <w:szCs w:val="24"/>
        </w:rPr>
      </w:pPr>
    </w:p>
    <w:p>
      <w:pPr>
        <w:pStyle w:val="Body A"/>
        <w:widowControl w:val="0"/>
        <w:spacing w:after="140" w:line="240" w:lineRule="auto"/>
        <w:ind w:left="972" w:hanging="972"/>
        <w:rPr>
          <w:sz w:val="24"/>
          <w:szCs w:val="24"/>
        </w:rPr>
      </w:pPr>
    </w:p>
    <w:p>
      <w:pPr>
        <w:pStyle w:val="Body A"/>
        <w:widowControl w:val="0"/>
        <w:spacing w:after="140" w:line="240" w:lineRule="auto"/>
        <w:ind w:left="864" w:hanging="864"/>
        <w:rPr>
          <w:sz w:val="24"/>
          <w:szCs w:val="24"/>
        </w:rPr>
      </w:pPr>
    </w:p>
    <w:p>
      <w:pPr>
        <w:pStyle w:val="Body A"/>
        <w:widowControl w:val="0"/>
        <w:spacing w:after="140" w:line="240" w:lineRule="auto"/>
        <w:ind w:left="756" w:hanging="756"/>
        <w:rPr>
          <w:sz w:val="24"/>
          <w:szCs w:val="24"/>
        </w:rPr>
      </w:pPr>
    </w:p>
    <w:p>
      <w:pPr>
        <w:pStyle w:val="Body A"/>
        <w:widowControl w:val="0"/>
        <w:spacing w:after="140" w:line="240" w:lineRule="auto"/>
        <w:ind w:left="648" w:hanging="648"/>
        <w:rPr>
          <w:sz w:val="24"/>
          <w:szCs w:val="24"/>
        </w:rPr>
      </w:pPr>
    </w:p>
    <w:p>
      <w:pPr>
        <w:pStyle w:val="Body A"/>
        <w:widowControl w:val="0"/>
        <w:spacing w:after="140" w:line="240" w:lineRule="auto"/>
        <w:ind w:left="540" w:hanging="540"/>
        <w:rPr>
          <w:sz w:val="24"/>
          <w:szCs w:val="24"/>
        </w:rPr>
      </w:pPr>
    </w:p>
    <w:p>
      <w:pPr>
        <w:pStyle w:val="Body A"/>
        <w:widowControl w:val="0"/>
        <w:spacing w:after="140" w:line="240" w:lineRule="auto"/>
        <w:ind w:left="432" w:hanging="432"/>
        <w:rPr>
          <w:sz w:val="24"/>
          <w:szCs w:val="24"/>
        </w:rPr>
      </w:pPr>
    </w:p>
    <w:p>
      <w:pPr>
        <w:pStyle w:val="Body A"/>
        <w:widowControl w:val="0"/>
        <w:spacing w:after="140" w:line="288" w:lineRule="auto"/>
        <w:ind w:left="324" w:hanging="324"/>
        <w:rPr>
          <w:sz w:val="24"/>
          <w:szCs w:val="24"/>
        </w:rPr>
      </w:pPr>
    </w:p>
    <w:p>
      <w:pPr>
        <w:pStyle w:val="Body A"/>
        <w:widowControl w:val="0"/>
        <w:spacing w:after="140" w:line="288" w:lineRule="auto"/>
        <w:ind w:left="216" w:hanging="216"/>
        <w:rPr>
          <w:sz w:val="24"/>
          <w:szCs w:val="24"/>
        </w:rPr>
      </w:pPr>
    </w:p>
    <w:p>
      <w:pPr>
        <w:pStyle w:val="Body A"/>
        <w:widowControl w:val="0"/>
        <w:spacing w:after="140" w:line="288" w:lineRule="auto"/>
        <w:ind w:left="108" w:hanging="108"/>
        <w:rPr>
          <w:sz w:val="24"/>
          <w:szCs w:val="24"/>
        </w:rPr>
      </w:pPr>
    </w:p>
    <w:p>
      <w:pPr>
        <w:pStyle w:val="Body A"/>
        <w:widowControl w:val="0"/>
        <w:spacing w:after="140" w:line="288" w:lineRule="auto"/>
        <w:rPr>
          <w:sz w:val="24"/>
          <w:szCs w:val="24"/>
        </w:rPr>
      </w:pPr>
    </w:p>
    <w:p>
      <w:pPr>
        <w:pStyle w:val="Heading 2"/>
        <w:spacing w:line="288" w:lineRule="auto"/>
        <w:rPr>
          <w:sz w:val="24"/>
          <w:szCs w:val="24"/>
        </w:rPr>
      </w:pPr>
      <w:r>
        <w:rPr>
          <w:b w:val="1"/>
          <w:bCs w:val="1"/>
          <w:sz w:val="24"/>
          <w:szCs w:val="24"/>
          <w:rtl w:val="0"/>
          <w:lang w:val="en-US"/>
        </w:rPr>
        <w:t>Supplementary Table S10. System segregation and participation: sensitivity to WMH specification.</w:t>
      </w:r>
    </w:p>
    <w:p>
      <w:pPr>
        <w:pStyle w:val="Body B A A"/>
        <w:spacing w:line="288" w:lineRule="auto"/>
        <w:rPr>
          <w:rFonts w:ascii="Arial" w:cs="Arial" w:hAnsi="Arial" w:eastAsia="Arial"/>
          <w:i w:val="1"/>
          <w:iCs w:val="1"/>
        </w:rPr>
      </w:pPr>
      <w:r>
        <w:rPr>
          <w:rFonts w:ascii="Arial" w:hAnsi="Arial"/>
          <w:i w:val="1"/>
          <w:iCs w:val="1"/>
          <w:rtl w:val="0"/>
          <w:lang w:val="en-US"/>
        </w:rPr>
        <w:t xml:space="preserve">Between-group differences (AF vs Controls) in whole-brain system segregation and mean participation coefficient, for the functional (FC) and structural (SC) connectomes, under each of the three alternative WMH specifications. Each metric was z-scored, so </w:t>
      </w:r>
      <w:r>
        <w:rPr>
          <w:rFonts w:ascii="Arial" w:hAnsi="Arial" w:hint="default"/>
          <w:i w:val="1"/>
          <w:iCs w:val="1"/>
          <w:rtl w:val="0"/>
          <w:lang w:val="en-US"/>
        </w:rPr>
        <w:t xml:space="preserve">β </w:t>
      </w:r>
      <w:r>
        <w:rPr>
          <w:rFonts w:ascii="Arial" w:hAnsi="Arial"/>
          <w:i w:val="1"/>
          <w:iCs w:val="1"/>
          <w:rtl w:val="0"/>
          <w:lang w:val="en-US"/>
        </w:rPr>
        <w:t>is the AF effect in SD units (matching the main text). Models adjusted for age, sex, education, diastolic BP, mean framewise displacement (functional only), and the indicated WMH covariate; HC3 robust SEs. FDR correction applied across the two measures within each modality separately, within each WMH specification. Full matched sample (N = 738). The functional dedifferentiation effect (reduced segregation, increased participation) and the structural null are both stable across all three specifications.</w:t>
      </w:r>
    </w:p>
    <w:p>
      <w:pPr>
        <w:pStyle w:val="Body B A A"/>
        <w:spacing w:line="288" w:lineRule="auto"/>
        <w:rPr>
          <w:rFonts w:ascii="Arial" w:cs="Arial" w:hAnsi="Arial" w:eastAsia="Arial"/>
          <w:i w:val="1"/>
          <w:iCs w:val="1"/>
        </w:rPr>
      </w:pPr>
    </w:p>
    <w:tbl>
      <w:tblPr>
        <w:tblW w:w="8779"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97"/>
        <w:gridCol w:w="1098"/>
        <w:gridCol w:w="1097"/>
        <w:gridCol w:w="1098"/>
        <w:gridCol w:w="1096"/>
        <w:gridCol w:w="1099"/>
        <w:gridCol w:w="1096"/>
        <w:gridCol w:w="1098"/>
      </w:tblGrid>
      <w:tr>
        <w:tblPrEx>
          <w:shd w:val="clear" w:color="auto" w:fill="4f81bd"/>
        </w:tblPrEx>
        <w:trPr>
          <w:trHeight w:val="1073" w:hRule="atLeast"/>
          <w:tblHeader/>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Modality</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Measure</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WMH specification</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hint="default"/>
                <w:b w:val="1"/>
                <w:bCs w:val="1"/>
                <w:sz w:val="20"/>
                <w:szCs w:val="20"/>
                <w:shd w:val="nil" w:color="auto" w:fill="auto"/>
                <w:rtl w:val="0"/>
                <w:lang w:val="en-US"/>
              </w:rPr>
              <w:t xml:space="preserve">β </w:t>
            </w:r>
            <w:r>
              <w:rPr>
                <w:rFonts w:ascii="Arial" w:hAnsi="Arial"/>
                <w:b w:val="1"/>
                <w:bCs w:val="1"/>
                <w:sz w:val="20"/>
                <w:szCs w:val="20"/>
                <w:shd w:val="nil" w:color="auto" w:fill="auto"/>
                <w:rtl w:val="0"/>
                <w:lang w:val="en-US"/>
              </w:rPr>
              <w:t>(SD)</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SE</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t</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Cohen's d</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p_FDR</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0.522</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0.079</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6.62</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0.55</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7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0.520</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0.079</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6.61</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0.55</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0.528</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0.079</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6.67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0.56</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0.495</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0.076</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6.49</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0.52</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7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0.491</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0.076</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6.44</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0.51</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0.497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0.077</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6.47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0.52</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&lt; 0.001</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0.012</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0.073</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0.17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0.01</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0.865</w:t>
            </w:r>
          </w:p>
        </w:tc>
      </w:tr>
      <w:tr>
        <w:tblPrEx>
          <w:shd w:val="clear" w:color="auto" w:fill="ced7e7"/>
        </w:tblPrEx>
        <w:trPr>
          <w:trHeight w:val="107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0.012</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0.070</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0.17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0.01</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0.865</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System segregation</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0.028</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0.070</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0.40</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0.03</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0.817</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0.058</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0.074</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0.79</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0.06</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0.864</w:t>
            </w:r>
          </w:p>
        </w:tc>
      </w:tr>
      <w:tr>
        <w:tblPrEx>
          <w:shd w:val="clear" w:color="auto" w:fill="ced7e7"/>
        </w:tblPrEx>
        <w:trPr>
          <w:trHeight w:val="107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0.022</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0.071</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0.31</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0.02</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0.865</w:t>
            </w:r>
          </w:p>
        </w:tc>
      </w:tr>
      <w:tr>
        <w:tblPrEx>
          <w:shd w:val="clear" w:color="auto" w:fill="ced7e7"/>
        </w:tblPrEx>
        <w:trPr>
          <w:trHeight w:val="1053" w:hRule="atLeast"/>
        </w:trPr>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SC</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Participation coefficient</w:t>
            </w:r>
          </w:p>
        </w:tc>
        <w:tc>
          <w:tcPr>
            <w:tcW w:type="dxa" w:w="109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0.017</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0.071</w:t>
            </w:r>
          </w:p>
        </w:tc>
        <w:tc>
          <w:tcPr>
            <w:tcW w:type="dxa" w:w="109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0.23</w:t>
            </w:r>
          </w:p>
        </w:tc>
        <w:tc>
          <w:tcPr>
            <w:tcW w:type="dxa" w:w="10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0.02</w:t>
            </w:r>
          </w:p>
        </w:tc>
        <w:tc>
          <w:tcPr>
            <w:tcW w:type="dxa" w:w="109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0.817</w:t>
            </w:r>
          </w:p>
        </w:tc>
      </w:tr>
    </w:tbl>
    <w:p>
      <w:pPr>
        <w:pStyle w:val="Body B A A"/>
        <w:widowControl w:val="0"/>
        <w:ind w:left="216" w:hanging="216"/>
        <w:jc w:val="left"/>
        <w:rPr>
          <w:rFonts w:ascii="Arial" w:cs="Arial" w:hAnsi="Arial" w:eastAsia="Arial"/>
          <w:i w:val="1"/>
          <w:iCs w:val="1"/>
        </w:rPr>
      </w:pPr>
    </w:p>
    <w:p>
      <w:pPr>
        <w:pStyle w:val="Body B A A"/>
        <w:widowControl w:val="0"/>
        <w:ind w:left="108" w:hanging="108"/>
        <w:jc w:val="left"/>
        <w:rPr>
          <w:rFonts w:ascii="Arial" w:cs="Arial" w:hAnsi="Arial" w:eastAsia="Arial"/>
          <w:i w:val="1"/>
          <w:iCs w:val="1"/>
        </w:rPr>
      </w:pPr>
    </w:p>
    <w:p>
      <w:pPr>
        <w:pStyle w:val="Body B A A"/>
        <w:widowControl w:val="0"/>
        <w:jc w:val="left"/>
        <w:rPr>
          <w:rFonts w:ascii="Arial" w:cs="Arial" w:hAnsi="Arial" w:eastAsia="Arial"/>
          <w:i w:val="1"/>
          <w:iCs w:val="1"/>
        </w:rPr>
      </w:pPr>
    </w:p>
    <w:p>
      <w:pPr>
        <w:pStyle w:val="Body B A A"/>
        <w:widowControl w:val="0"/>
        <w:ind w:left="2592" w:hanging="2592"/>
        <w:jc w:val="left"/>
        <w:rPr>
          <w:rFonts w:ascii="Arial" w:cs="Arial" w:hAnsi="Arial" w:eastAsia="Arial"/>
          <w:i w:val="1"/>
          <w:iCs w:val="1"/>
        </w:rPr>
      </w:pPr>
    </w:p>
    <w:p>
      <w:pPr>
        <w:pStyle w:val="Body B A A"/>
        <w:widowControl w:val="0"/>
        <w:ind w:left="2484" w:hanging="2484"/>
        <w:jc w:val="left"/>
        <w:rPr>
          <w:rFonts w:ascii="Arial" w:cs="Arial" w:hAnsi="Arial" w:eastAsia="Arial"/>
          <w:i w:val="1"/>
          <w:iCs w:val="1"/>
        </w:rPr>
      </w:pPr>
    </w:p>
    <w:p>
      <w:pPr>
        <w:pStyle w:val="Body B A A"/>
        <w:widowControl w:val="0"/>
        <w:ind w:left="2376" w:hanging="2376"/>
        <w:jc w:val="left"/>
        <w:rPr>
          <w:rFonts w:ascii="Arial" w:cs="Arial" w:hAnsi="Arial" w:eastAsia="Arial"/>
          <w:i w:val="1"/>
          <w:iCs w:val="1"/>
        </w:rPr>
      </w:pPr>
    </w:p>
    <w:p>
      <w:pPr>
        <w:pStyle w:val="Body B A A"/>
        <w:widowControl w:val="0"/>
        <w:ind w:left="2268" w:hanging="2268"/>
        <w:jc w:val="left"/>
        <w:rPr>
          <w:rFonts w:ascii="Arial" w:cs="Arial" w:hAnsi="Arial" w:eastAsia="Arial"/>
          <w:i w:val="1"/>
          <w:iCs w:val="1"/>
        </w:rPr>
      </w:pPr>
    </w:p>
    <w:p>
      <w:pPr>
        <w:pStyle w:val="Body B A A"/>
        <w:widowControl w:val="0"/>
        <w:ind w:left="2160" w:hanging="2160"/>
        <w:jc w:val="left"/>
        <w:rPr>
          <w:rFonts w:ascii="Arial" w:cs="Arial" w:hAnsi="Arial" w:eastAsia="Arial"/>
          <w:i w:val="1"/>
          <w:iCs w:val="1"/>
        </w:rPr>
      </w:pPr>
    </w:p>
    <w:p>
      <w:pPr>
        <w:pStyle w:val="Body B A A"/>
        <w:widowControl w:val="0"/>
        <w:ind w:left="2052" w:hanging="2052"/>
        <w:jc w:val="left"/>
        <w:rPr>
          <w:rFonts w:ascii="Arial" w:cs="Arial" w:hAnsi="Arial" w:eastAsia="Arial"/>
          <w:i w:val="1"/>
          <w:iCs w:val="1"/>
        </w:rPr>
      </w:pPr>
    </w:p>
    <w:p>
      <w:pPr>
        <w:pStyle w:val="Body B A A"/>
        <w:widowControl w:val="0"/>
        <w:ind w:left="1944" w:hanging="1944"/>
        <w:jc w:val="left"/>
        <w:rPr>
          <w:rFonts w:ascii="Arial" w:cs="Arial" w:hAnsi="Arial" w:eastAsia="Arial"/>
          <w:i w:val="1"/>
          <w:iCs w:val="1"/>
        </w:rPr>
      </w:pPr>
    </w:p>
    <w:p>
      <w:pPr>
        <w:pStyle w:val="Body B A A"/>
        <w:widowControl w:val="0"/>
        <w:ind w:left="1836" w:hanging="1836"/>
        <w:jc w:val="left"/>
        <w:rPr>
          <w:rFonts w:ascii="Arial" w:cs="Arial" w:hAnsi="Arial" w:eastAsia="Arial"/>
          <w:i w:val="1"/>
          <w:iCs w:val="1"/>
        </w:rPr>
      </w:pPr>
    </w:p>
    <w:p>
      <w:pPr>
        <w:pStyle w:val="Body B A A"/>
        <w:widowControl w:val="0"/>
        <w:ind w:left="1728" w:hanging="1728"/>
        <w:rPr>
          <w:rFonts w:ascii="Arial" w:cs="Arial" w:hAnsi="Arial" w:eastAsia="Arial"/>
          <w:i w:val="1"/>
          <w:iCs w:val="1"/>
        </w:rPr>
      </w:pPr>
    </w:p>
    <w:p>
      <w:pPr>
        <w:pStyle w:val="Body B A A"/>
        <w:widowControl w:val="0"/>
        <w:ind w:left="1620" w:hanging="1620"/>
        <w:rPr>
          <w:rFonts w:ascii="Arial" w:cs="Arial" w:hAnsi="Arial" w:eastAsia="Arial"/>
          <w:i w:val="1"/>
          <w:iCs w:val="1"/>
        </w:rPr>
      </w:pPr>
    </w:p>
    <w:p>
      <w:pPr>
        <w:pStyle w:val="Body B A A"/>
        <w:widowControl w:val="0"/>
        <w:ind w:left="1512" w:hanging="1512"/>
        <w:rPr>
          <w:rFonts w:ascii="Arial" w:cs="Arial" w:hAnsi="Arial" w:eastAsia="Arial"/>
          <w:i w:val="1"/>
          <w:iCs w:val="1"/>
        </w:rPr>
      </w:pPr>
    </w:p>
    <w:p>
      <w:pPr>
        <w:pStyle w:val="Body B A A"/>
        <w:widowControl w:val="0"/>
        <w:ind w:left="1404" w:hanging="1404"/>
        <w:rPr>
          <w:rFonts w:ascii="Arial" w:cs="Arial" w:hAnsi="Arial" w:eastAsia="Arial"/>
          <w:i w:val="1"/>
          <w:iCs w:val="1"/>
        </w:rPr>
      </w:pPr>
    </w:p>
    <w:p>
      <w:pPr>
        <w:pStyle w:val="Body B A A"/>
        <w:widowControl w:val="0"/>
        <w:ind w:left="1296" w:hanging="1296"/>
        <w:rPr>
          <w:rFonts w:ascii="Arial" w:cs="Arial" w:hAnsi="Arial" w:eastAsia="Arial"/>
          <w:i w:val="1"/>
          <w:iCs w:val="1"/>
        </w:rPr>
      </w:pPr>
    </w:p>
    <w:p>
      <w:pPr>
        <w:pStyle w:val="Body B A A"/>
        <w:widowControl w:val="0"/>
        <w:ind w:left="1188" w:hanging="1188"/>
        <w:rPr>
          <w:rFonts w:ascii="Arial" w:cs="Arial" w:hAnsi="Arial" w:eastAsia="Arial"/>
          <w:i w:val="1"/>
          <w:iCs w:val="1"/>
        </w:rPr>
      </w:pPr>
    </w:p>
    <w:p>
      <w:pPr>
        <w:pStyle w:val="Body B A A"/>
        <w:widowControl w:val="0"/>
        <w:ind w:left="1080" w:hanging="1080"/>
        <w:rPr>
          <w:rFonts w:ascii="Arial" w:cs="Arial" w:hAnsi="Arial" w:eastAsia="Arial"/>
          <w:i w:val="1"/>
          <w:iCs w:val="1"/>
        </w:rPr>
      </w:pPr>
    </w:p>
    <w:p>
      <w:pPr>
        <w:pStyle w:val="Body B A A"/>
        <w:widowControl w:val="0"/>
        <w:ind w:left="972" w:hanging="972"/>
        <w:rPr>
          <w:rFonts w:ascii="Arial" w:cs="Arial" w:hAnsi="Arial" w:eastAsia="Arial"/>
          <w:i w:val="1"/>
          <w:iCs w:val="1"/>
        </w:rPr>
      </w:pPr>
    </w:p>
    <w:p>
      <w:pPr>
        <w:pStyle w:val="Body B A A"/>
        <w:widowControl w:val="0"/>
        <w:ind w:left="864" w:hanging="864"/>
        <w:rPr>
          <w:rFonts w:ascii="Arial" w:cs="Arial" w:hAnsi="Arial" w:eastAsia="Arial"/>
          <w:i w:val="1"/>
          <w:iCs w:val="1"/>
        </w:rPr>
      </w:pPr>
    </w:p>
    <w:p>
      <w:pPr>
        <w:pStyle w:val="Body B A A"/>
        <w:widowControl w:val="0"/>
        <w:ind w:left="756" w:hanging="756"/>
        <w:rPr>
          <w:rFonts w:ascii="Arial" w:cs="Arial" w:hAnsi="Arial" w:eastAsia="Arial"/>
          <w:i w:val="1"/>
          <w:iCs w:val="1"/>
        </w:rPr>
      </w:pPr>
    </w:p>
    <w:p>
      <w:pPr>
        <w:pStyle w:val="Body B A A"/>
        <w:widowControl w:val="0"/>
        <w:ind w:left="648" w:hanging="648"/>
        <w:rPr>
          <w:rFonts w:ascii="Arial" w:cs="Arial" w:hAnsi="Arial" w:eastAsia="Arial"/>
          <w:i w:val="1"/>
          <w:iCs w:val="1"/>
        </w:rPr>
      </w:pPr>
    </w:p>
    <w:p>
      <w:pPr>
        <w:pStyle w:val="Body B A A"/>
        <w:widowControl w:val="0"/>
        <w:ind w:left="540" w:hanging="540"/>
        <w:rPr>
          <w:rFonts w:ascii="Arial" w:cs="Arial" w:hAnsi="Arial" w:eastAsia="Arial"/>
          <w:i w:val="1"/>
          <w:iCs w:val="1"/>
        </w:rPr>
      </w:pPr>
    </w:p>
    <w:p>
      <w:pPr>
        <w:pStyle w:val="Body B A A"/>
        <w:widowControl w:val="0"/>
        <w:ind w:left="432" w:hanging="432"/>
        <w:rPr>
          <w:rFonts w:ascii="Arial" w:cs="Arial" w:hAnsi="Arial" w:eastAsia="Arial"/>
          <w:i w:val="1"/>
          <w:iCs w:val="1"/>
        </w:rPr>
      </w:pPr>
    </w:p>
    <w:p>
      <w:pPr>
        <w:pStyle w:val="Body B A A"/>
        <w:widowControl w:val="0"/>
        <w:ind w:left="324" w:hanging="324"/>
        <w:rPr>
          <w:rFonts w:ascii="Arial" w:cs="Arial" w:hAnsi="Arial" w:eastAsia="Arial"/>
          <w:i w:val="1"/>
          <w:iCs w:val="1"/>
        </w:rPr>
      </w:pPr>
    </w:p>
    <w:p>
      <w:pPr>
        <w:pStyle w:val="Body B A A"/>
        <w:widowControl w:val="0"/>
        <w:spacing w:line="288" w:lineRule="auto"/>
        <w:ind w:left="216" w:hanging="216"/>
        <w:rPr>
          <w:rFonts w:ascii="Arial" w:cs="Arial" w:hAnsi="Arial" w:eastAsia="Arial"/>
          <w:i w:val="1"/>
          <w:iCs w:val="1"/>
        </w:rPr>
      </w:pPr>
    </w:p>
    <w:p>
      <w:pPr>
        <w:pStyle w:val="Body B A A"/>
        <w:widowControl w:val="0"/>
        <w:spacing w:line="288" w:lineRule="auto"/>
        <w:ind w:left="108" w:hanging="108"/>
        <w:rPr>
          <w:rFonts w:ascii="Arial" w:cs="Arial" w:hAnsi="Arial" w:eastAsia="Arial"/>
          <w:i w:val="1"/>
          <w:iCs w:val="1"/>
        </w:rPr>
      </w:pPr>
    </w:p>
    <w:p>
      <w:pPr>
        <w:pStyle w:val="Body B A A"/>
        <w:spacing w:line="288" w:lineRule="auto"/>
        <w:rPr>
          <w:rFonts w:ascii="Arial" w:cs="Arial" w:hAnsi="Arial" w:eastAsia="Arial"/>
        </w:rPr>
      </w:pPr>
    </w:p>
    <w:p>
      <w:pPr>
        <w:pStyle w:val="Body B A A"/>
        <w:spacing w:line="288" w:lineRule="auto"/>
        <w:rPr>
          <w:rFonts w:ascii="Arial" w:cs="Arial" w:hAnsi="Arial" w:eastAsia="Arial"/>
        </w:rPr>
      </w:pPr>
    </w:p>
    <w:p>
      <w:pPr>
        <w:pStyle w:val="Heading 2"/>
        <w:spacing w:line="288" w:lineRule="auto"/>
        <w:rPr>
          <w:sz w:val="24"/>
          <w:szCs w:val="24"/>
        </w:rPr>
      </w:pPr>
      <w:r>
        <w:rPr>
          <w:b w:val="1"/>
          <w:bCs w:val="1"/>
          <w:sz w:val="24"/>
          <w:szCs w:val="24"/>
          <w:rtl w:val="0"/>
          <w:lang w:val="en-US"/>
        </w:rPr>
        <w:t>Supplementary Table S11. Brain</w:t>
      </w:r>
      <w:r>
        <w:rPr>
          <w:b w:val="1"/>
          <w:bCs w:val="1"/>
          <w:sz w:val="24"/>
          <w:szCs w:val="24"/>
          <w:rtl w:val="0"/>
          <w:lang w:val="en-US"/>
        </w:rPr>
        <w:t>–</w:t>
      </w:r>
      <w:r>
        <w:rPr>
          <w:b w:val="1"/>
          <w:bCs w:val="1"/>
          <w:sz w:val="24"/>
          <w:szCs w:val="24"/>
          <w:rtl w:val="0"/>
          <w:lang w:val="en-US"/>
        </w:rPr>
        <w:t>behaviour interaction sensitivity to WMH specification.</w:t>
      </w:r>
    </w:p>
    <w:tbl>
      <w:tblPr>
        <w:tblW w:w="8782"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64"/>
        <w:gridCol w:w="1463"/>
        <w:gridCol w:w="1465"/>
        <w:gridCol w:w="1464"/>
        <w:gridCol w:w="1462"/>
        <w:gridCol w:w="1464"/>
      </w:tblGrid>
      <w:tr>
        <w:tblPrEx>
          <w:shd w:val="clear" w:color="auto" w:fill="4f81bd"/>
        </w:tblPrEx>
        <w:trPr>
          <w:trHeight w:val="853" w:hRule="atLeast"/>
          <w:tblHeader/>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WMH specification</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Interaction model</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hint="default"/>
                <w:b w:val="1"/>
                <w:bCs w:val="1"/>
                <w:sz w:val="20"/>
                <w:szCs w:val="20"/>
                <w:shd w:val="nil" w:color="auto" w:fill="auto"/>
                <w:rtl w:val="0"/>
                <w:lang w:val="en-US"/>
              </w:rPr>
              <w:t>β</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SE</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t</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FC Deviation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0.914</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0.337</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2.71</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0.007</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FC Deviation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0.909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0.337</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2.69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0.007</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FC Deviation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0.933</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0.339</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2.75</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0.006</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FC Deviation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0.918</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0.339</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2.71</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0.007</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System segregation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0.045</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0.69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0.487</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System segregation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0.045</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0.69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0.491</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System segregation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0.045</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0.69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0.489</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System segregation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0.045</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0.69</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0.488</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Participation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0.002</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0.03</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0.978</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Participation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0.001</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0.02</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0.983</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Participation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0.002</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0.04</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0.971</w:t>
            </w:r>
          </w:p>
        </w:tc>
      </w:tr>
      <w:tr>
        <w:tblPrEx>
          <w:shd w:val="clear" w:color="auto" w:fill="ced7e7"/>
        </w:tblPrEx>
        <w:trPr>
          <w:trHeight w:val="853" w:hRule="atLeast"/>
        </w:trPr>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46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Participation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46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0.002</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0.065</w:t>
            </w:r>
          </w:p>
        </w:tc>
        <w:tc>
          <w:tcPr>
            <w:tcW w:type="dxa" w:w="1462"/>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0.03</w:t>
            </w:r>
          </w:p>
        </w:tc>
        <w:tc>
          <w:tcPr>
            <w:tcW w:type="dxa" w:w="146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0.978</w:t>
            </w:r>
          </w:p>
        </w:tc>
      </w:tr>
    </w:tbl>
    <w:p>
      <w:pPr>
        <w:pStyle w:val="Heading 2"/>
        <w:widowControl w:val="0"/>
        <w:spacing w:line="240" w:lineRule="auto"/>
        <w:ind w:left="216" w:hanging="216"/>
        <w:rPr>
          <w:sz w:val="24"/>
          <w:szCs w:val="24"/>
        </w:rPr>
      </w:pPr>
    </w:p>
    <w:p>
      <w:pPr>
        <w:pStyle w:val="Heading 2"/>
        <w:widowControl w:val="0"/>
        <w:spacing w:line="240" w:lineRule="auto"/>
        <w:ind w:left="108" w:hanging="108"/>
        <w:rPr>
          <w:sz w:val="24"/>
          <w:szCs w:val="24"/>
        </w:rPr>
      </w:pPr>
    </w:p>
    <w:p>
      <w:pPr>
        <w:pStyle w:val="Heading 2"/>
        <w:widowControl w:val="0"/>
        <w:spacing w:line="240" w:lineRule="auto"/>
        <w:rPr>
          <w:sz w:val="24"/>
          <w:szCs w:val="24"/>
        </w:rPr>
      </w:pPr>
    </w:p>
    <w:p>
      <w:pPr>
        <w:pStyle w:val="Heading 2"/>
        <w:widowControl w:val="0"/>
        <w:spacing w:line="240" w:lineRule="auto"/>
        <w:ind w:left="2592" w:hanging="2592"/>
        <w:rPr>
          <w:sz w:val="24"/>
          <w:szCs w:val="24"/>
        </w:rPr>
      </w:pPr>
    </w:p>
    <w:p>
      <w:pPr>
        <w:pStyle w:val="Heading 2"/>
        <w:widowControl w:val="0"/>
        <w:spacing w:line="240" w:lineRule="auto"/>
        <w:ind w:left="2484" w:hanging="2484"/>
        <w:rPr>
          <w:sz w:val="24"/>
          <w:szCs w:val="24"/>
        </w:rPr>
      </w:pPr>
    </w:p>
    <w:p>
      <w:pPr>
        <w:pStyle w:val="Body B A A"/>
        <w:spacing w:line="288" w:lineRule="auto"/>
      </w:pPr>
      <w:r>
        <w:rPr>
          <w:rFonts w:ascii="Arial" w:hAnsi="Arial"/>
          <w:i w:val="1"/>
          <w:iCs w:val="1"/>
          <w:rtl w:val="0"/>
          <w:lang w:val="en-US"/>
        </w:rPr>
        <w:t xml:space="preserve">Interaction models predicting processing speed, repeated under total WMH (primary) and three WMH subtype specifications: (i) the primary FC deviation </w:t>
      </w:r>
      <w:r>
        <w:rPr>
          <w:rFonts w:ascii="Arial" w:hAnsi="Arial" w:hint="default"/>
          <w:i w:val="1"/>
          <w:iCs w:val="1"/>
          <w:rtl w:val="0"/>
          <w:lang w:val="en-US"/>
        </w:rPr>
        <w:t xml:space="preserve">× </w:t>
      </w:r>
      <w:r>
        <w:rPr>
          <w:rFonts w:ascii="Arial" w:hAnsi="Arial"/>
          <w:i w:val="1"/>
          <w:iCs w:val="1"/>
          <w:rtl w:val="0"/>
          <w:lang w:val="en-US"/>
        </w:rPr>
        <w:t xml:space="preserve">AF interaction; (ii) system segregation </w:t>
      </w:r>
      <w:r>
        <w:rPr>
          <w:rFonts w:ascii="Arial" w:hAnsi="Arial" w:hint="default"/>
          <w:i w:val="1"/>
          <w:iCs w:val="1"/>
          <w:rtl w:val="0"/>
          <w:lang w:val="en-US"/>
        </w:rPr>
        <w:t xml:space="preserve">× </w:t>
      </w:r>
      <w:r>
        <w:rPr>
          <w:rFonts w:ascii="Arial" w:hAnsi="Arial"/>
          <w:i w:val="1"/>
          <w:iCs w:val="1"/>
          <w:rtl w:val="0"/>
          <w:lang w:val="en-US"/>
        </w:rPr>
        <w:t xml:space="preserve">AF; and (iii) participation </w:t>
      </w:r>
      <w:r>
        <w:rPr>
          <w:rFonts w:ascii="Arial" w:hAnsi="Arial" w:hint="default"/>
          <w:i w:val="1"/>
          <w:iCs w:val="1"/>
          <w:rtl w:val="0"/>
          <w:lang w:val="en-US"/>
        </w:rPr>
        <w:t xml:space="preserve">× </w:t>
      </w:r>
      <w:r>
        <w:rPr>
          <w:rFonts w:ascii="Arial" w:hAnsi="Arial"/>
          <w:i w:val="1"/>
          <w:iCs w:val="1"/>
          <w:rtl w:val="0"/>
          <w:lang w:val="en-US"/>
        </w:rPr>
        <w:t>AF, testing whether whole-brain dedifferentiation measures moderate the effect. Models adjusted for age, sex, education, diastolic BP, mean framewise displacement, and the indicated WMH covariate; HC3 robust standard errors (N</w:t>
      </w:r>
      <w:r>
        <w:rPr>
          <w:rFonts w:ascii="Arial" w:hAnsi="Arial" w:hint="default"/>
          <w:i w:val="1"/>
          <w:iCs w:val="1"/>
          <w:rtl w:val="0"/>
          <w:lang w:val="en-US"/>
        </w:rPr>
        <w:t> </w:t>
      </w:r>
      <w:r>
        <w:rPr>
          <w:rFonts w:ascii="Arial" w:hAnsi="Arial"/>
          <w:i w:val="1"/>
          <w:iCs w:val="1"/>
          <w:rtl w:val="0"/>
          <w:lang w:val="en-US"/>
        </w:rPr>
        <w:t>=</w:t>
      </w:r>
      <w:r>
        <w:rPr>
          <w:rFonts w:ascii="Arial" w:hAnsi="Arial" w:hint="default"/>
          <w:i w:val="1"/>
          <w:iCs w:val="1"/>
          <w:rtl w:val="0"/>
          <w:lang w:val="en-US"/>
        </w:rPr>
        <w:t> </w:t>
      </w:r>
      <w:r>
        <w:rPr>
          <w:rFonts w:ascii="Arial" w:hAnsi="Arial"/>
          <w:i w:val="1"/>
          <w:iCs w:val="1"/>
          <w:rtl w:val="0"/>
          <w:lang w:val="en-US"/>
        </w:rPr>
        <w:t xml:space="preserve">738). The FC deviation </w:t>
      </w:r>
      <w:r>
        <w:rPr>
          <w:rFonts w:ascii="Arial" w:hAnsi="Arial" w:hint="default"/>
          <w:i w:val="1"/>
          <w:iCs w:val="1"/>
          <w:rtl w:val="0"/>
          <w:lang w:val="en-US"/>
        </w:rPr>
        <w:t xml:space="preserve">× </w:t>
      </w:r>
      <w:r>
        <w:rPr>
          <w:rFonts w:ascii="Arial" w:hAnsi="Arial"/>
          <w:i w:val="1"/>
          <w:iCs w:val="1"/>
          <w:rtl w:val="0"/>
          <w:lang w:val="en-US"/>
        </w:rPr>
        <w:t>AF interaction is robust across all specifications, whereas neither system segregation nor participation interacts with AF, confirming specificity to subnetwork connectivity magnitude.</w:t>
      </w:r>
    </w:p>
    <w:p>
      <w:pPr>
        <w:pStyle w:val="Heading 2"/>
        <w:spacing w:line="288" w:lineRule="auto"/>
        <w:rPr>
          <w:sz w:val="24"/>
          <w:szCs w:val="24"/>
        </w:rPr>
      </w:pPr>
      <w:r>
        <w:rPr>
          <w:b w:val="1"/>
          <w:bCs w:val="1"/>
          <w:sz w:val="24"/>
          <w:szCs w:val="24"/>
          <w:rtl w:val="0"/>
          <w:lang w:val="en-US"/>
        </w:rPr>
        <w:t>Supplementary Table S12. Hierarchical regression: WMH specification sensitivity and within-group results.</w:t>
      </w:r>
    </w:p>
    <w:p>
      <w:pPr>
        <w:pStyle w:val="Body B A A"/>
        <w:spacing w:line="288" w:lineRule="auto"/>
        <w:rPr>
          <w:rFonts w:ascii="Arial" w:cs="Arial" w:hAnsi="Arial" w:eastAsia="Arial"/>
        </w:rPr>
      </w:pPr>
      <w:r>
        <w:rPr>
          <w:rFonts w:ascii="Arial" w:hAnsi="Arial"/>
          <w:i w:val="1"/>
          <w:iCs w:val="1"/>
          <w:rtl w:val="0"/>
          <w:lang w:val="en-US"/>
        </w:rPr>
        <w:t xml:space="preserve">Hierarchical regression predicting processing speed. The upper panel repeats the analysis in the full matched sample (N = 738) under each WMH specification; the lower panel repeats it separately within AF patients and controls, using total WMH. Baseline model includes age, sex, education, mean framewise displacement, diastolic blood pressure, and the indicated WMH covariate. Step 2 adds the functional deviation score. </w:t>
      </w:r>
      <w:r>
        <w:rPr>
          <w:rFonts w:ascii="Arial" w:hAnsi="Arial" w:hint="default"/>
          <w:i w:val="1"/>
          <w:iCs w:val="1"/>
          <w:rtl w:val="0"/>
          <w:lang w:val="en-US"/>
        </w:rPr>
        <w:t>Δ</w:t>
      </w:r>
      <w:r>
        <w:rPr>
          <w:rFonts w:ascii="Arial" w:hAnsi="Arial"/>
          <w:i w:val="1"/>
          <w:iCs w:val="1"/>
          <w:rtl w:val="0"/>
          <w:lang w:val="en-US"/>
        </w:rPr>
        <w:t>R</w:t>
      </w:r>
      <w:r>
        <w:rPr>
          <w:rFonts w:ascii="Arial" w:hAnsi="Arial" w:hint="default"/>
          <w:i w:val="1"/>
          <w:iCs w:val="1"/>
          <w:rtl w:val="0"/>
          <w:lang w:val="en-US"/>
        </w:rPr>
        <w:t xml:space="preserve">² </w:t>
      </w:r>
      <w:r>
        <w:rPr>
          <w:rFonts w:ascii="Arial" w:hAnsi="Arial"/>
          <w:i w:val="1"/>
          <w:iCs w:val="1"/>
          <w:rtl w:val="0"/>
          <w:lang w:val="en-US"/>
        </w:rPr>
        <w:t>is the change in adjusted R</w:t>
      </w:r>
      <w:r>
        <w:rPr>
          <w:rFonts w:ascii="Arial" w:hAnsi="Arial" w:hint="default"/>
          <w:i w:val="1"/>
          <w:iCs w:val="1"/>
          <w:rtl w:val="0"/>
          <w:lang w:val="en-US"/>
        </w:rPr>
        <w:t xml:space="preserve">² </w:t>
      </w:r>
      <w:r>
        <w:rPr>
          <w:rFonts w:ascii="Arial" w:hAnsi="Arial"/>
          <w:i w:val="1"/>
          <w:iCs w:val="1"/>
          <w:rtl w:val="0"/>
          <w:lang w:val="en-US"/>
        </w:rPr>
        <w:t xml:space="preserve">on adding the functional deviation score and is an in-sample estimate; leakage-controlled out-of-fold estimates are given in Supplementary Table S13. </w:t>
      </w:r>
    </w:p>
    <w:tbl>
      <w:tblPr>
        <w:tblW w:w="6624"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324"/>
        <w:gridCol w:w="1325"/>
        <w:gridCol w:w="1325"/>
        <w:gridCol w:w="1325"/>
        <w:gridCol w:w="1325"/>
      </w:tblGrid>
      <w:tr>
        <w:tblPrEx>
          <w:shd w:val="clear" w:color="auto" w:fill="4f81bd"/>
        </w:tblPrEx>
        <w:trPr>
          <w:trHeight w:val="1053" w:hRule="atLeast"/>
          <w:tblHeader/>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Model</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Baseline R</w:t>
            </w:r>
            <w:r>
              <w:rPr>
                <w:rFonts w:ascii="Arial" w:hAnsi="Arial" w:hint="default"/>
                <w:b w:val="1"/>
                <w:bCs w:val="1"/>
                <w:sz w:val="20"/>
                <w:szCs w:val="20"/>
                <w:shd w:val="nil" w:color="auto" w:fill="auto"/>
                <w:rtl w:val="0"/>
                <w:lang w:val="en-US"/>
              </w:rPr>
              <w:t>²</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Full R</w:t>
            </w:r>
            <w:r>
              <w:rPr>
                <w:rFonts w:ascii="Arial" w:hAnsi="Arial" w:hint="default"/>
                <w:b w:val="1"/>
                <w:bCs w:val="1"/>
                <w:sz w:val="20"/>
                <w:szCs w:val="20"/>
                <w:shd w:val="nil" w:color="auto" w:fill="auto"/>
                <w:rtl w:val="0"/>
                <w:lang w:val="en-US"/>
              </w:rPr>
              <w:t>²</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hint="default"/>
                <w:b w:val="1"/>
                <w:bCs w:val="1"/>
                <w:sz w:val="20"/>
                <w:szCs w:val="20"/>
                <w:shd w:val="nil" w:color="auto" w:fill="auto"/>
                <w:rtl w:val="0"/>
                <w:lang w:val="en-US"/>
              </w:rPr>
              <w:t>Δ</w:t>
            </w:r>
            <w:r>
              <w:rPr>
                <w:rFonts w:ascii="Arial" w:hAnsi="Arial"/>
                <w:b w:val="1"/>
                <w:bCs w:val="1"/>
                <w:sz w:val="20"/>
                <w:szCs w:val="20"/>
                <w:shd w:val="nil" w:color="auto" w:fill="auto"/>
                <w:rtl w:val="0"/>
                <w:lang w:val="en-US"/>
              </w:rPr>
              <w:t>R</w:t>
            </w:r>
            <w:r>
              <w:rPr>
                <w:rFonts w:ascii="Arial" w:hAnsi="Arial" w:hint="default"/>
                <w:b w:val="1"/>
                <w:bCs w:val="1"/>
                <w:sz w:val="20"/>
                <w:szCs w:val="20"/>
                <w:shd w:val="nil" w:color="auto" w:fill="auto"/>
                <w:rtl w:val="0"/>
                <w:lang w:val="en-US"/>
              </w:rPr>
              <w:t>²</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w:t>
            </w:r>
          </w:p>
        </w:tc>
      </w:tr>
      <w:tr>
        <w:tblPrEx>
          <w:shd w:val="clear" w:color="auto" w:fill="ced7e7"/>
        </w:tblPrEx>
        <w:trPr>
          <w:trHeight w:val="853" w:hRule="atLeast"/>
        </w:trPr>
        <w:tc>
          <w:tcPr>
            <w:tcW w:type="dxa" w:w="6624"/>
            <w:gridSpan w:val="5"/>
            <w:tcBorders>
              <w:top w:val="single" w:color="ffffff" w:sz="8" w:space="0" w:shadow="0" w:frame="0"/>
              <w:left w:val="single" w:color="ffffff" w:sz="8" w:space="0" w:shadow="0" w:frame="0"/>
              <w:bottom w:val="single" w:color="ffffff" w:sz="8" w:space="0" w:shadow="0" w:frame="0"/>
              <w:right w:val="nil"/>
            </w:tcBorders>
            <w:shd w:val="clear" w:color="auto" w:fill="auto"/>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Full matched sample (N = 738)</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Total WMH (primary)</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0.215</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0.214</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0.001</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0.781</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Periventricular WMH</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0.214</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0.213</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0.001</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0.779</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Deep WMH</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0.213</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0.212</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0.001</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0.794</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ffffff"/>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Peri + Deep</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0.213</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0.212</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0.001</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0.779</w:t>
            </w:r>
          </w:p>
        </w:tc>
      </w:tr>
      <w:tr>
        <w:tblPrEx>
          <w:shd w:val="clear" w:color="auto" w:fill="ced7e7"/>
        </w:tblPrEx>
        <w:trPr>
          <w:trHeight w:val="853" w:hRule="atLeast"/>
        </w:trPr>
        <w:tc>
          <w:tcPr>
            <w:tcW w:type="dxa" w:w="6624"/>
            <w:gridSpan w:val="5"/>
            <w:tcBorders>
              <w:top w:val="single" w:color="ffffff" w:sz="8" w:space="0" w:shadow="0" w:frame="0"/>
              <w:left w:val="single" w:color="ffffff" w:sz="8" w:space="0" w:shadow="0" w:frame="0"/>
              <w:bottom w:val="single" w:color="ffffff" w:sz="8" w:space="0" w:shadow="0" w:frame="0"/>
              <w:right w:val="nil"/>
            </w:tcBorders>
            <w:shd w:val="clear" w:color="auto" w:fill="auto"/>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By group (total WMH)</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AF patients (n = 246)</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0.254</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0.272</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+0.018</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0.009</w:t>
            </w:r>
          </w:p>
        </w:tc>
      </w:tr>
      <w:tr>
        <w:tblPrEx>
          <w:shd w:val="clear" w:color="auto" w:fill="ced7e7"/>
        </w:tblPrEx>
        <w:trPr>
          <w:trHeight w:val="853" w:hRule="atLeast"/>
        </w:trPr>
        <w:tc>
          <w:tcPr>
            <w:tcW w:type="dxa" w:w="1324"/>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Controls (n = 492)</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0.198</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0.202</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+0.004</w:t>
            </w:r>
          </w:p>
        </w:tc>
        <w:tc>
          <w:tcPr>
            <w:tcW w:type="dxa" w:w="1325"/>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0.075</w:t>
            </w:r>
          </w:p>
        </w:tc>
      </w:tr>
    </w:tbl>
    <w:p>
      <w:pPr>
        <w:pStyle w:val="Body B A A"/>
        <w:widowControl w:val="0"/>
        <w:ind w:left="216" w:hanging="216"/>
        <w:jc w:val="left"/>
        <w:rPr>
          <w:rFonts w:ascii="Arial" w:cs="Arial" w:hAnsi="Arial" w:eastAsia="Arial"/>
        </w:rPr>
      </w:pPr>
    </w:p>
    <w:p>
      <w:pPr>
        <w:pStyle w:val="Body B A A"/>
        <w:widowControl w:val="0"/>
        <w:ind w:left="108" w:hanging="108"/>
        <w:jc w:val="left"/>
        <w:rPr>
          <w:rFonts w:ascii="Arial" w:cs="Arial" w:hAnsi="Arial" w:eastAsia="Arial"/>
        </w:rPr>
      </w:pPr>
    </w:p>
    <w:p>
      <w:pPr>
        <w:pStyle w:val="Body B A A"/>
        <w:widowControl w:val="0"/>
        <w:jc w:val="left"/>
        <w:rPr>
          <w:rFonts w:ascii="Arial" w:cs="Arial" w:hAnsi="Arial" w:eastAsia="Arial"/>
        </w:rPr>
      </w:pPr>
    </w:p>
    <w:p>
      <w:pPr>
        <w:pStyle w:val="Body B A A"/>
        <w:widowControl w:val="0"/>
        <w:ind w:left="2592" w:hanging="2592"/>
        <w:jc w:val="left"/>
        <w:rPr>
          <w:rFonts w:ascii="Arial" w:cs="Arial" w:hAnsi="Arial" w:eastAsia="Arial"/>
        </w:rPr>
      </w:pPr>
    </w:p>
    <w:p>
      <w:pPr>
        <w:pStyle w:val="Body B A A"/>
        <w:widowControl w:val="0"/>
        <w:ind w:left="2484" w:hanging="2484"/>
        <w:jc w:val="left"/>
        <w:rPr>
          <w:rFonts w:ascii="Arial" w:cs="Arial" w:hAnsi="Arial" w:eastAsia="Arial"/>
        </w:rPr>
      </w:pPr>
    </w:p>
    <w:p>
      <w:pPr>
        <w:pStyle w:val="Body B A A"/>
        <w:widowControl w:val="0"/>
        <w:ind w:left="2376" w:hanging="2376"/>
        <w:jc w:val="left"/>
        <w:rPr>
          <w:rFonts w:ascii="Arial" w:cs="Arial" w:hAnsi="Arial" w:eastAsia="Arial"/>
        </w:rPr>
      </w:pPr>
    </w:p>
    <w:p>
      <w:pPr>
        <w:pStyle w:val="Body B A A"/>
        <w:widowControl w:val="0"/>
        <w:ind w:left="2268" w:hanging="2268"/>
        <w:jc w:val="left"/>
        <w:rPr>
          <w:rFonts w:ascii="Arial" w:cs="Arial" w:hAnsi="Arial" w:eastAsia="Arial"/>
        </w:rPr>
      </w:pPr>
    </w:p>
    <w:p>
      <w:pPr>
        <w:pStyle w:val="Body B A A"/>
        <w:widowControl w:val="0"/>
        <w:ind w:left="2160" w:hanging="2160"/>
        <w:jc w:val="left"/>
        <w:rPr>
          <w:rFonts w:ascii="Arial" w:cs="Arial" w:hAnsi="Arial" w:eastAsia="Arial"/>
        </w:rPr>
      </w:pPr>
    </w:p>
    <w:p>
      <w:pPr>
        <w:pStyle w:val="Body B A A"/>
        <w:widowControl w:val="0"/>
        <w:ind w:left="2052" w:hanging="2052"/>
        <w:jc w:val="left"/>
        <w:rPr>
          <w:rFonts w:ascii="Arial" w:cs="Arial" w:hAnsi="Arial" w:eastAsia="Arial"/>
        </w:rPr>
      </w:pPr>
    </w:p>
    <w:p>
      <w:pPr>
        <w:pStyle w:val="Body B A A"/>
        <w:widowControl w:val="0"/>
        <w:ind w:left="1944" w:hanging="1944"/>
        <w:jc w:val="left"/>
        <w:rPr>
          <w:rFonts w:ascii="Arial" w:cs="Arial" w:hAnsi="Arial" w:eastAsia="Arial"/>
        </w:rPr>
      </w:pPr>
    </w:p>
    <w:p>
      <w:pPr>
        <w:pStyle w:val="Body B A A"/>
        <w:widowControl w:val="0"/>
        <w:ind w:left="1836" w:hanging="1836"/>
        <w:jc w:val="left"/>
        <w:rPr>
          <w:rFonts w:ascii="Arial" w:cs="Arial" w:hAnsi="Arial" w:eastAsia="Arial"/>
        </w:rPr>
      </w:pPr>
    </w:p>
    <w:p>
      <w:pPr>
        <w:pStyle w:val="Body B A A"/>
        <w:widowControl w:val="0"/>
        <w:ind w:left="1728" w:hanging="1728"/>
        <w:rPr>
          <w:rFonts w:ascii="Arial" w:cs="Arial" w:hAnsi="Arial" w:eastAsia="Arial"/>
        </w:rPr>
      </w:pPr>
    </w:p>
    <w:p>
      <w:pPr>
        <w:pStyle w:val="Heading 2"/>
        <w:keepNext w:val="0"/>
        <w:keepLines w:val="0"/>
        <w:spacing w:before="280" w:after="160" w:line="288" w:lineRule="auto"/>
        <w:rPr>
          <w:b w:val="1"/>
          <w:bCs w:val="1"/>
          <w:sz w:val="24"/>
          <w:szCs w:val="24"/>
        </w:rPr>
      </w:pPr>
      <w:r>
        <w:rPr>
          <w:b w:val="1"/>
          <w:bCs w:val="1"/>
          <w:sz w:val="24"/>
          <w:szCs w:val="24"/>
          <w:rtl w:val="0"/>
          <w:lang w:val="en-US"/>
        </w:rPr>
        <w:t>Supplementary Table S13. Fully nested cross-validation of the connectivity</w:t>
      </w:r>
      <w:r>
        <w:rPr>
          <w:b w:val="1"/>
          <w:bCs w:val="1"/>
          <w:sz w:val="24"/>
          <w:szCs w:val="24"/>
          <w:rtl w:val="0"/>
          <w:lang w:val="en-US"/>
        </w:rPr>
        <w:t>–</w:t>
      </w:r>
      <w:r>
        <w:rPr>
          <w:b w:val="1"/>
          <w:bCs w:val="1"/>
          <w:sz w:val="24"/>
          <w:szCs w:val="24"/>
          <w:rtl w:val="0"/>
          <w:lang w:val="en-US"/>
        </w:rPr>
        <w:t>processing speed association.</w:t>
      </w:r>
    </w:p>
    <w:p>
      <w:pPr>
        <w:pStyle w:val="Body A"/>
        <w:spacing w:after="140" w:line="288" w:lineRule="auto"/>
      </w:pPr>
      <w:r>
        <w:rPr>
          <w:i w:val="1"/>
          <w:iCs w:val="1"/>
          <w:sz w:val="20"/>
          <w:szCs w:val="20"/>
          <w:rtl w:val="0"/>
          <w:lang w:val="en-US"/>
        </w:rPr>
        <w:t xml:space="preserve">Out-of-fold results from a fully nested cross-validation in which edge selection (t = 4.5, largest connected component), per-edge normative modelling in training controls only, and outcome modelling were all refitted within each training fold, with no test data used at any stage. Values are medians across 100 repeats of 10-fold cross-validation stratified by AF status. Baseline covariates: age, sex, education, mean framewise displacement, log total WMH, and diastolic blood pressure. Significance was assessed by repeating the complete nested procedure with the outcome permuted within group (1,000 permutations); the permuted-outcome median increment was </w:t>
      </w:r>
      <w:r>
        <w:rPr>
          <w:i w:val="1"/>
          <w:iCs w:val="1"/>
          <w:sz w:val="20"/>
          <w:szCs w:val="20"/>
          <w:rtl w:val="0"/>
          <w:lang w:val="en-US"/>
        </w:rPr>
        <w:t>−</w:t>
      </w:r>
      <w:r>
        <w:rPr>
          <w:i w:val="1"/>
          <w:iCs w:val="1"/>
          <w:sz w:val="20"/>
          <w:szCs w:val="20"/>
          <w:rtl w:val="0"/>
          <w:lang w:val="en-US"/>
        </w:rPr>
        <w:t xml:space="preserve">0.005 (within AF) and </w:t>
      </w:r>
      <w:r>
        <w:rPr>
          <w:i w:val="1"/>
          <w:iCs w:val="1"/>
          <w:sz w:val="20"/>
          <w:szCs w:val="20"/>
          <w:rtl w:val="0"/>
          <w:lang w:val="en-US"/>
        </w:rPr>
        <w:t>−</w:t>
      </w:r>
      <w:r>
        <w:rPr>
          <w:i w:val="1"/>
          <w:iCs w:val="1"/>
          <w:sz w:val="20"/>
          <w:szCs w:val="20"/>
          <w:rtl w:val="0"/>
          <w:lang w:val="en-US"/>
        </w:rPr>
        <w:t>0.003 (interaction model). The reported interval is the 2.5th</w:t>
      </w:r>
      <w:r>
        <w:rPr>
          <w:i w:val="1"/>
          <w:iCs w:val="1"/>
          <w:sz w:val="20"/>
          <w:szCs w:val="20"/>
          <w:rtl w:val="0"/>
          <w:lang w:val="en-US"/>
        </w:rPr>
        <w:t>–</w:t>
      </w:r>
      <w:r>
        <w:rPr>
          <w:i w:val="1"/>
          <w:iCs w:val="1"/>
          <w:sz w:val="20"/>
          <w:szCs w:val="20"/>
          <w:rtl w:val="0"/>
          <w:lang w:val="en-US"/>
        </w:rPr>
        <w:t xml:space="preserve">97.5th percentile of </w:t>
      </w:r>
      <w:r>
        <w:rPr>
          <w:i w:val="1"/>
          <w:iCs w:val="1"/>
          <w:sz w:val="20"/>
          <w:szCs w:val="20"/>
          <w:rtl w:val="0"/>
          <w:lang w:val="en-US"/>
        </w:rPr>
        <w:t>Δ</w:t>
      </w:r>
      <w:r>
        <w:rPr>
          <w:i w:val="1"/>
          <w:iCs w:val="1"/>
          <w:sz w:val="20"/>
          <w:szCs w:val="20"/>
          <w:rtl w:val="0"/>
          <w:lang w:val="en-US"/>
        </w:rPr>
        <w:t>R</w:t>
      </w:r>
      <w:r>
        <w:rPr>
          <w:i w:val="1"/>
          <w:iCs w:val="1"/>
          <w:sz w:val="20"/>
          <w:szCs w:val="20"/>
          <w:rtl w:val="0"/>
          <w:lang w:val="en-US"/>
        </w:rPr>
        <w:t>²</w:t>
      </w:r>
      <w:r>
        <w:rPr>
          <w:i w:val="1"/>
          <w:iCs w:val="1"/>
          <w:sz w:val="20"/>
          <w:szCs w:val="20"/>
          <w:rtl w:val="0"/>
          <w:lang w:val="en-US"/>
        </w:rPr>
        <w:t>_cv across repeats and reflects variability across fold splits rather than sampling uncertainty. Mean fold-specific mask size was 208 edges; fold-mask stability was median pairwise Dice = 0.63 (minimum 0.55).</w:t>
      </w:r>
    </w:p>
    <w:tbl>
      <w:tblPr>
        <w:tblW w:w="902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288"/>
        <w:gridCol w:w="1289"/>
        <w:gridCol w:w="1288"/>
        <w:gridCol w:w="1289"/>
        <w:gridCol w:w="1288"/>
        <w:gridCol w:w="1289"/>
        <w:gridCol w:w="1289"/>
      </w:tblGrid>
      <w:tr>
        <w:tblPrEx>
          <w:shd w:val="clear" w:color="auto" w:fill="4f81bd"/>
        </w:tblPrEx>
        <w:trPr>
          <w:trHeight w:val="780" w:hRule="atLeast"/>
          <w:tblHeader/>
        </w:trPr>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Model</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Population</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R</w:t>
            </w:r>
            <w:r>
              <w:rPr>
                <w:rFonts w:ascii="Arial" w:hAnsi="Arial" w:hint="default"/>
                <w:b w:val="1"/>
                <w:bCs w:val="1"/>
                <w:sz w:val="20"/>
                <w:szCs w:val="20"/>
                <w:shd w:val="nil" w:color="auto" w:fill="auto"/>
                <w:rtl w:val="0"/>
                <w:lang w:val="en-US"/>
              </w:rPr>
              <w:t>²</w:t>
            </w:r>
            <w:r>
              <w:rPr>
                <w:rFonts w:ascii="Arial" w:hAnsi="Arial"/>
                <w:b w:val="1"/>
                <w:bCs w:val="1"/>
                <w:sz w:val="20"/>
                <w:szCs w:val="20"/>
                <w:shd w:val="nil" w:color="auto" w:fill="auto"/>
                <w:rtl w:val="0"/>
                <w:lang w:val="en-US"/>
              </w:rPr>
              <w:t>_cv baseline</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R</w:t>
            </w:r>
            <w:r>
              <w:rPr>
                <w:rFonts w:ascii="Arial" w:hAnsi="Arial" w:hint="default"/>
                <w:b w:val="1"/>
                <w:bCs w:val="1"/>
                <w:sz w:val="20"/>
                <w:szCs w:val="20"/>
                <w:shd w:val="nil" w:color="auto" w:fill="auto"/>
                <w:rtl w:val="0"/>
                <w:lang w:val="en-US"/>
              </w:rPr>
              <w:t>²</w:t>
            </w:r>
            <w:r>
              <w:rPr>
                <w:rFonts w:ascii="Arial" w:hAnsi="Arial"/>
                <w:b w:val="1"/>
                <w:bCs w:val="1"/>
                <w:sz w:val="20"/>
                <w:szCs w:val="20"/>
                <w:shd w:val="nil" w:color="auto" w:fill="auto"/>
                <w:rtl w:val="0"/>
                <w:lang w:val="en-US"/>
              </w:rPr>
              <w:t>_cv augmented</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 xml:space="preserve">Median </w:t>
            </w:r>
            <w:r>
              <w:rPr>
                <w:rFonts w:ascii="Arial" w:hAnsi="Arial" w:hint="default"/>
                <w:b w:val="1"/>
                <w:bCs w:val="1"/>
                <w:sz w:val="20"/>
                <w:szCs w:val="20"/>
                <w:shd w:val="nil" w:color="auto" w:fill="auto"/>
                <w:rtl w:val="0"/>
                <w:lang w:val="en-US"/>
              </w:rPr>
              <w:t>Δ</w:t>
            </w:r>
            <w:r>
              <w:rPr>
                <w:rFonts w:ascii="Arial" w:hAnsi="Arial"/>
                <w:b w:val="1"/>
                <w:bCs w:val="1"/>
                <w:sz w:val="20"/>
                <w:szCs w:val="20"/>
                <w:shd w:val="nil" w:color="auto" w:fill="auto"/>
                <w:rtl w:val="0"/>
                <w:lang w:val="en-US"/>
              </w:rPr>
              <w:t>R</w:t>
            </w:r>
            <w:r>
              <w:rPr>
                <w:rFonts w:ascii="Arial" w:hAnsi="Arial" w:hint="default"/>
                <w:b w:val="1"/>
                <w:bCs w:val="1"/>
                <w:sz w:val="20"/>
                <w:szCs w:val="20"/>
                <w:shd w:val="nil" w:color="auto" w:fill="auto"/>
                <w:rtl w:val="0"/>
                <w:lang w:val="en-US"/>
              </w:rPr>
              <w:t>²</w:t>
            </w:r>
            <w:r>
              <w:rPr>
                <w:rFonts w:ascii="Arial" w:hAnsi="Arial"/>
                <w:b w:val="1"/>
                <w:bCs w:val="1"/>
                <w:sz w:val="20"/>
                <w:szCs w:val="20"/>
                <w:shd w:val="nil" w:color="auto" w:fill="auto"/>
                <w:rtl w:val="0"/>
                <w:lang w:val="en-US"/>
              </w:rPr>
              <w:t>_cv</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2.5</w:t>
            </w:r>
            <w:r>
              <w:rPr>
                <w:rFonts w:ascii="Arial" w:hAnsi="Arial" w:hint="default"/>
                <w:b w:val="1"/>
                <w:bCs w:val="1"/>
                <w:sz w:val="20"/>
                <w:szCs w:val="20"/>
                <w:shd w:val="nil" w:color="auto" w:fill="auto"/>
                <w:rtl w:val="0"/>
                <w:lang w:val="en-US"/>
              </w:rPr>
              <w:t>–</w:t>
            </w:r>
            <w:r>
              <w:rPr>
                <w:rFonts w:ascii="Arial" w:hAnsi="Arial"/>
                <w:b w:val="1"/>
                <w:bCs w:val="1"/>
                <w:sz w:val="20"/>
                <w:szCs w:val="20"/>
                <w:shd w:val="nil" w:color="auto" w:fill="auto"/>
                <w:rtl w:val="0"/>
                <w:lang w:val="en-US"/>
              </w:rPr>
              <w:t>97.5th pctile</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80"/>
              <w:left w:type="dxa" w:w="80"/>
              <w:bottom w:type="dxa" w:w="80"/>
              <w:right w:type="dxa" w:w="80"/>
            </w:tcMar>
            <w:vAlign w:val="top"/>
          </w:tcPr>
          <w:p>
            <w:pPr>
              <w:pStyle w:val="Body B A A"/>
            </w:pPr>
            <w:r>
              <w:rPr>
                <w:rFonts w:ascii="Arial" w:hAnsi="Arial"/>
                <w:b w:val="1"/>
                <w:bCs w:val="1"/>
                <w:sz w:val="20"/>
                <w:szCs w:val="20"/>
                <w:shd w:val="nil" w:color="auto" w:fill="auto"/>
                <w:rtl w:val="0"/>
                <w:lang w:val="en-US"/>
              </w:rPr>
              <w:t>Permutation p</w:t>
            </w:r>
          </w:p>
        </w:tc>
      </w:tr>
      <w:tr>
        <w:tblPrEx>
          <w:shd w:val="clear" w:color="auto" w:fill="ced7e7"/>
        </w:tblPrEx>
        <w:trPr>
          <w:trHeight w:val="833" w:hRule="atLeast"/>
        </w:trPr>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Baseline + deviation score</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AF (n = 246)</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+0.218</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+0.231</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+0.013</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0.001 to +0.023</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0.024</w:t>
            </w:r>
          </w:p>
        </w:tc>
      </w:tr>
      <w:tr>
        <w:tblPrEx>
          <w:shd w:val="clear" w:color="auto" w:fill="ced7e7"/>
        </w:tblPrEx>
        <w:trPr>
          <w:trHeight w:val="833" w:hRule="atLeast"/>
        </w:trPr>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 xml:space="preserve">Baseline + score + score </w:t>
            </w:r>
            <w:r>
              <w:rPr>
                <w:rFonts w:ascii="Arial" w:hAnsi="Arial" w:hint="default"/>
                <w:sz w:val="20"/>
                <w:szCs w:val="20"/>
                <w:shd w:val="nil" w:color="auto" w:fill="auto"/>
                <w:rtl w:val="0"/>
                <w:lang w:val="en-US"/>
              </w:rPr>
              <w:t xml:space="preserve">× </w:t>
            </w:r>
            <w:r>
              <w:rPr>
                <w:rFonts w:ascii="Arial" w:hAnsi="Arial"/>
                <w:sz w:val="20"/>
                <w:szCs w:val="20"/>
                <w:shd w:val="nil" w:color="auto" w:fill="auto"/>
                <w:rtl w:val="0"/>
                <w:lang w:val="en-US"/>
              </w:rPr>
              <w:t>AF</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Full sample (N = 738)</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+0.205</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+0.209</w:t>
            </w:r>
          </w:p>
        </w:tc>
        <w:tc>
          <w:tcPr>
            <w:tcW w:type="dxa" w:w="1288"/>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+0.005</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hint="default"/>
                <w:sz w:val="20"/>
                <w:szCs w:val="20"/>
                <w:shd w:val="nil" w:color="auto" w:fill="auto"/>
                <w:rtl w:val="0"/>
                <w:lang w:val="en-US"/>
              </w:rPr>
              <w:t>−</w:t>
            </w:r>
            <w:r>
              <w:rPr>
                <w:rFonts w:ascii="Arial" w:hAnsi="Arial"/>
                <w:sz w:val="20"/>
                <w:szCs w:val="20"/>
                <w:shd w:val="nil" w:color="auto" w:fill="auto"/>
                <w:rtl w:val="0"/>
                <w:lang w:val="en-US"/>
              </w:rPr>
              <w:t>0.002 to +0.009</w:t>
            </w:r>
          </w:p>
        </w:tc>
        <w:tc>
          <w:tcPr>
            <w:tcW w:type="dxa" w:w="128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ef2f8"/>
            <w:tcMar>
              <w:top w:type="dxa" w:w="80"/>
              <w:left w:type="dxa" w:w="80"/>
              <w:bottom w:type="dxa" w:w="80"/>
              <w:right w:type="dxa" w:w="80"/>
            </w:tcMar>
            <w:vAlign w:val="top"/>
          </w:tcPr>
          <w:p>
            <w:pPr>
              <w:pStyle w:val="Body B A A"/>
            </w:pPr>
            <w:r>
              <w:rPr>
                <w:rFonts w:ascii="Arial" w:hAnsi="Arial"/>
                <w:sz w:val="20"/>
                <w:szCs w:val="20"/>
                <w:shd w:val="nil" w:color="auto" w:fill="auto"/>
                <w:rtl w:val="0"/>
                <w:lang w:val="en-US"/>
              </w:rPr>
              <w:t>0.025</w:t>
            </w:r>
          </w:p>
        </w:tc>
      </w:tr>
    </w:tbl>
    <w:p>
      <w:pPr>
        <w:pStyle w:val="Body A"/>
        <w:widowControl w:val="0"/>
        <w:spacing w:after="140" w:line="240" w:lineRule="auto"/>
        <w:ind w:left="216" w:hanging="216"/>
        <w:jc w:val="left"/>
      </w:pPr>
    </w:p>
    <w:p>
      <w:pPr>
        <w:pStyle w:val="Body A"/>
        <w:widowControl w:val="0"/>
        <w:spacing w:after="140" w:line="240" w:lineRule="auto"/>
        <w:ind w:left="108" w:hanging="108"/>
        <w:jc w:val="left"/>
      </w:pPr>
    </w:p>
    <w:p>
      <w:pPr>
        <w:pStyle w:val="Body A"/>
        <w:widowControl w:val="0"/>
        <w:spacing w:after="140" w:line="240" w:lineRule="auto"/>
        <w:jc w:val="left"/>
      </w:pPr>
    </w:p>
    <w:p>
      <w:pPr>
        <w:pStyle w:val="Body A"/>
        <w:widowControl w:val="0"/>
        <w:spacing w:after="140" w:line="240" w:lineRule="auto"/>
        <w:ind w:left="2592" w:hanging="2592"/>
        <w:jc w:val="left"/>
      </w:pPr>
    </w:p>
    <w:p>
      <w:pPr>
        <w:pStyle w:val="Body A"/>
        <w:widowControl w:val="0"/>
        <w:spacing w:after="140" w:line="240" w:lineRule="auto"/>
        <w:ind w:left="2484" w:hanging="2484"/>
        <w:jc w:val="left"/>
      </w:pPr>
    </w:p>
    <w:p>
      <w:pPr>
        <w:pStyle w:val="Body A"/>
        <w:widowControl w:val="0"/>
        <w:spacing w:after="140" w:line="240" w:lineRule="auto"/>
        <w:ind w:left="2376" w:hanging="2376"/>
        <w:jc w:val="left"/>
      </w:pPr>
    </w:p>
    <w:p>
      <w:pPr>
        <w:pStyle w:val="Body A"/>
        <w:widowControl w:val="0"/>
        <w:spacing w:after="140" w:line="240" w:lineRule="auto"/>
        <w:ind w:left="2268" w:hanging="2268"/>
        <w:jc w:val="left"/>
      </w:pPr>
    </w:p>
    <w:p>
      <w:pPr>
        <w:pStyle w:val="Body A"/>
        <w:widowControl w:val="0"/>
        <w:spacing w:after="140" w:line="240" w:lineRule="auto"/>
        <w:ind w:left="2160" w:hanging="2160"/>
        <w:jc w:val="left"/>
      </w:pPr>
    </w:p>
    <w:p>
      <w:pPr>
        <w:pStyle w:val="Body A"/>
        <w:widowControl w:val="0"/>
        <w:spacing w:after="140" w:line="240" w:lineRule="auto"/>
        <w:ind w:left="2052" w:hanging="2052"/>
        <w:jc w:val="left"/>
      </w:pPr>
    </w:p>
    <w:p>
      <w:pPr>
        <w:pStyle w:val="Body A"/>
        <w:spacing w:after="140" w:line="288" w:lineRule="auto"/>
      </w:pPr>
    </w:p>
    <w:p>
      <w:pPr>
        <w:pStyle w:val="Heading 2"/>
        <w:keepNext w:val="0"/>
        <w:keepLines w:val="0"/>
        <w:spacing w:before="280" w:after="160" w:line="288" w:lineRule="auto"/>
        <w:rPr>
          <w:b w:val="1"/>
          <w:bCs w:val="1"/>
          <w:sz w:val="24"/>
          <w:szCs w:val="24"/>
        </w:rPr>
      </w:pPr>
      <w:r>
        <w:rPr>
          <w:b w:val="1"/>
          <w:bCs w:val="1"/>
          <w:sz w:val="24"/>
          <w:szCs w:val="24"/>
          <w:rtl w:val="0"/>
          <w:lang w:val="en-US"/>
        </w:rPr>
        <w:t>Supplementary Table S14. Structure</w:t>
      </w:r>
      <w:r>
        <w:rPr>
          <w:b w:val="1"/>
          <w:bCs w:val="1"/>
          <w:sz w:val="24"/>
          <w:szCs w:val="24"/>
          <w:rtl w:val="0"/>
          <w:lang w:val="en-US"/>
        </w:rPr>
        <w:t>–</w:t>
      </w:r>
      <w:r>
        <w:rPr>
          <w:b w:val="1"/>
          <w:bCs w:val="1"/>
          <w:sz w:val="24"/>
          <w:szCs w:val="24"/>
          <w:rtl w:val="0"/>
          <w:lang w:val="en-US"/>
        </w:rPr>
        <w:t>function moderation within AF patients only.</w:t>
      </w:r>
    </w:p>
    <w:p>
      <w:pPr>
        <w:pStyle w:val="Body A"/>
        <w:spacing w:after="140" w:line="288" w:lineRule="auto"/>
        <w:rPr>
          <w:sz w:val="24"/>
          <w:szCs w:val="24"/>
        </w:rPr>
      </w:pPr>
      <w:r>
        <w:rPr>
          <w:sz w:val="24"/>
          <w:szCs w:val="24"/>
          <w:rtl w:val="0"/>
          <w:lang w:val="en-US"/>
        </w:rPr>
        <w:t xml:space="preserve">Two exploratory moderation models testing whether structural network organisation modulates the FC deviation </w:t>
      </w:r>
      <w:r>
        <w:rPr>
          <w:sz w:val="24"/>
          <w:szCs w:val="24"/>
          <w:rtl w:val="0"/>
          <w:lang w:val="en-US"/>
        </w:rPr>
        <w:t xml:space="preserve">→ </w:t>
      </w:r>
      <w:r>
        <w:rPr>
          <w:sz w:val="24"/>
          <w:szCs w:val="24"/>
          <w:rtl w:val="0"/>
          <w:lang w:val="en-US"/>
        </w:rPr>
        <w:t>processing speed relationship within the AF group (n</w:t>
      </w:r>
      <w:r>
        <w:rPr>
          <w:sz w:val="24"/>
          <w:szCs w:val="24"/>
          <w:rtl w:val="0"/>
          <w:lang w:val="en-US"/>
        </w:rPr>
        <w:t> </w:t>
      </w:r>
      <w:r>
        <w:rPr>
          <w:sz w:val="24"/>
          <w:szCs w:val="24"/>
          <w:rtl w:val="0"/>
          <w:lang w:val="en-US"/>
        </w:rPr>
        <w:t>=</w:t>
      </w:r>
      <w:r>
        <w:rPr>
          <w:sz w:val="24"/>
          <w:szCs w:val="24"/>
          <w:rtl w:val="0"/>
          <w:lang w:val="en-US"/>
        </w:rPr>
        <w:t> </w:t>
      </w:r>
      <w:r>
        <w:rPr>
          <w:sz w:val="24"/>
          <w:szCs w:val="24"/>
          <w:rtl w:val="0"/>
          <w:lang w:val="en-US"/>
        </w:rPr>
        <w:t>246), following the Gabusi et al. (2022) approach. Predictors z-scored; models adjusted for age, sex, education, log total WMH, diastolic BP, and mean framewise displacement; HC3 robust SEs. Neither structural system segregation nor structural participation moderated the effect, indicating that the within-AF magnitude</w:t>
      </w:r>
      <w:r>
        <w:rPr>
          <w:sz w:val="24"/>
          <w:szCs w:val="24"/>
          <w:rtl w:val="0"/>
          <w:lang w:val="en-US"/>
        </w:rPr>
        <w:t>–</w:t>
      </w:r>
      <w:r>
        <w:rPr>
          <w:sz w:val="24"/>
          <w:szCs w:val="24"/>
          <w:rtl w:val="0"/>
          <w:lang w:val="en-US"/>
        </w:rPr>
        <w:t>speed association does not depend on structural network organisation.</w:t>
      </w:r>
    </w:p>
    <w:p>
      <w:pPr>
        <w:pStyle w:val="Heading 3"/>
        <w:keepNext w:val="0"/>
        <w:keepLines w:val="0"/>
        <w:spacing w:before="220" w:after="120" w:line="288" w:lineRule="auto"/>
        <w:rPr>
          <w:b w:val="1"/>
          <w:bCs w:val="1"/>
          <w:i w:val="1"/>
          <w:iCs w:val="1"/>
          <w:outline w:val="0"/>
          <w:color w:val="000000"/>
          <w:sz w:val="24"/>
          <w:szCs w:val="24"/>
          <w:u w:val="none" w:color="000000"/>
          <w:lang w:val="it-IT"/>
          <w14:textFill>
            <w14:solidFill>
              <w14:srgbClr w14:val="000000"/>
            </w14:solidFill>
          </w14:textFill>
        </w:rPr>
      </w:pPr>
      <w:r>
        <w:rPr>
          <w:b w:val="1"/>
          <w:bCs w:val="1"/>
          <w:i w:val="1"/>
          <w:iCs w:val="1"/>
          <w:outline w:val="0"/>
          <w:color w:val="000000"/>
          <w:sz w:val="24"/>
          <w:szCs w:val="24"/>
          <w:u w:val="none" w:color="000000"/>
          <w:rtl w:val="0"/>
          <w:lang w:val="it-IT"/>
          <w14:textFill>
            <w14:solidFill>
              <w14:srgbClr w14:val="000000"/>
            </w14:solidFill>
          </w14:textFill>
        </w:rPr>
        <w:t xml:space="preserve">Model 1. FC deviation </w:t>
      </w:r>
      <w:r>
        <w:rPr>
          <w:b w:val="1"/>
          <w:bCs w:val="1"/>
          <w:i w:val="1"/>
          <w:iCs w:val="1"/>
          <w:outline w:val="0"/>
          <w:color w:val="000000"/>
          <w:sz w:val="24"/>
          <w:szCs w:val="24"/>
          <w:u w:val="none" w:color="000000"/>
          <w:rtl w:val="0"/>
          <w:lang w:val="it-IT"/>
          <w14:textFill>
            <w14:solidFill>
              <w14:srgbClr w14:val="000000"/>
            </w14:solidFill>
          </w14:textFill>
        </w:rPr>
        <w:t xml:space="preserve">× </w:t>
      </w:r>
      <w:r>
        <w:rPr>
          <w:b w:val="1"/>
          <w:bCs w:val="1"/>
          <w:i w:val="1"/>
          <w:iCs w:val="1"/>
          <w:outline w:val="0"/>
          <w:color w:val="000000"/>
          <w:sz w:val="24"/>
          <w:szCs w:val="24"/>
          <w:u w:val="none" w:color="000000"/>
          <w:rtl w:val="0"/>
          <w:lang w:val="it-IT"/>
          <w14:textFill>
            <w14:solidFill>
              <w14:srgbClr w14:val="000000"/>
            </w14:solidFill>
          </w14:textFill>
        </w:rPr>
        <w:t>structural system segregation.</w:t>
      </w:r>
    </w:p>
    <w:tbl>
      <w:tblPr>
        <w:tblW w:w="790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99"/>
        <w:gridCol w:w="1301"/>
        <w:gridCol w:w="1300"/>
        <w:gridCol w:w="900"/>
        <w:gridCol w:w="900"/>
      </w:tblGrid>
      <w:tr>
        <w:tblPrEx>
          <w:shd w:val="clear" w:color="auto" w:fill="4f81bd"/>
        </w:tblPrEx>
        <w:trPr>
          <w:trHeight w:val="404" w:hRule="atLeast"/>
          <w:tblHeader/>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Predictor</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β</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SE</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t</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w:t>
            </w:r>
          </w:p>
        </w:tc>
      </w:tr>
      <w:tr>
        <w:tblPrEx>
          <w:shd w:val="clear" w:color="auto" w:fill="ced7e7"/>
        </w:tblPrEx>
        <w:trPr>
          <w:trHeight w:val="404"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FC deviation</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0.161</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0.073</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2.19</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0.029</w:t>
            </w:r>
          </w:p>
        </w:tc>
      </w:tr>
      <w:tr>
        <w:tblPrEx>
          <w:shd w:val="clear" w:color="auto" w:fill="ced7e7"/>
        </w:tblPrEx>
        <w:trPr>
          <w:trHeight w:val="450"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Structural system segregation (z)</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rFonts w:ascii="Arial Unicode MS" w:hAnsi="Arial Unicode MS"/>
                <w:sz w:val="18"/>
                <w:szCs w:val="18"/>
                <w:shd w:val="nil" w:color="auto" w:fill="auto"/>
                <w:rtl w:val="0"/>
                <w:lang w:val="en-US"/>
              </w:rPr>
              <w:t>0.035</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0.072</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rFonts w:ascii="Arial Unicode MS" w:hAnsi="Arial Unicode MS"/>
                <w:sz w:val="18"/>
                <w:szCs w:val="18"/>
                <w:shd w:val="nil" w:color="auto" w:fill="auto"/>
                <w:rtl w:val="0"/>
                <w:lang w:val="en-US"/>
              </w:rPr>
              <w:t>0.49</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0.626</w:t>
            </w:r>
          </w:p>
        </w:tc>
      </w:tr>
      <w:tr>
        <w:tblPrEx>
          <w:shd w:val="clear" w:color="auto" w:fill="ced7e7"/>
        </w:tblPrEx>
        <w:trPr>
          <w:trHeight w:val="594"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 xml:space="preserve">FC deviation </w:t>
            </w:r>
            <w:r>
              <w:rPr>
                <w:sz w:val="18"/>
                <w:szCs w:val="18"/>
                <w:shd w:val="nil" w:color="auto" w:fill="auto"/>
                <w:rtl w:val="0"/>
                <w:lang w:val="en-US"/>
              </w:rPr>
              <w:t xml:space="preserve">× </w:t>
            </w:r>
            <w:r>
              <w:rPr>
                <w:sz w:val="18"/>
                <w:szCs w:val="18"/>
                <w:shd w:val="nil" w:color="auto" w:fill="auto"/>
                <w:rtl w:val="0"/>
                <w:lang w:val="en-US"/>
              </w:rPr>
              <w:t>structural system segregation</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rFonts w:ascii="Arial Unicode MS" w:hAnsi="Arial Unicode MS" w:hint="default"/>
                <w:sz w:val="18"/>
                <w:szCs w:val="18"/>
                <w:shd w:val="nil" w:color="auto" w:fill="auto"/>
                <w:rtl w:val="0"/>
                <w:lang w:val="en-US"/>
              </w:rPr>
              <w:t>−</w:t>
            </w:r>
            <w:r>
              <w:rPr>
                <w:rFonts w:ascii="Arial Unicode MS" w:hAnsi="Arial Unicode MS"/>
                <w:sz w:val="18"/>
                <w:szCs w:val="18"/>
                <w:shd w:val="nil" w:color="auto" w:fill="auto"/>
                <w:rtl w:val="0"/>
                <w:lang w:val="en-US"/>
              </w:rPr>
              <w:t>0.048</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0.060</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rFonts w:ascii="Arial Unicode MS" w:hAnsi="Arial Unicode MS" w:hint="default"/>
                <w:sz w:val="18"/>
                <w:szCs w:val="18"/>
                <w:shd w:val="nil" w:color="auto" w:fill="auto"/>
                <w:rtl w:val="0"/>
                <w:lang w:val="en-US"/>
              </w:rPr>
              <w:t>−</w:t>
            </w:r>
            <w:r>
              <w:rPr>
                <w:rFonts w:ascii="Arial Unicode MS" w:hAnsi="Arial Unicode MS"/>
                <w:sz w:val="18"/>
                <w:szCs w:val="18"/>
                <w:shd w:val="nil" w:color="auto" w:fill="auto"/>
                <w:rtl w:val="0"/>
                <w:lang w:val="en-US"/>
              </w:rPr>
              <w:t>0.81</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0.421</w:t>
            </w:r>
          </w:p>
        </w:tc>
      </w:tr>
    </w:tbl>
    <w:p>
      <w:pPr>
        <w:pStyle w:val="Heading 3"/>
        <w:keepNext w:val="0"/>
        <w:keepLines w:val="0"/>
        <w:widowControl w:val="0"/>
        <w:spacing w:before="220" w:after="120" w:line="240" w:lineRule="auto"/>
        <w:ind w:left="216" w:hanging="216"/>
        <w:rPr>
          <w:b w:val="1"/>
          <w:bCs w:val="1"/>
          <w:i w:val="1"/>
          <w:iCs w:val="1"/>
          <w:outline w:val="0"/>
          <w:color w:val="000000"/>
          <w:sz w:val="24"/>
          <w:szCs w:val="24"/>
          <w:u w:val="none" w:color="000000"/>
          <w:lang w:val="it-IT"/>
          <w14:textFill>
            <w14:solidFill>
              <w14:srgbClr w14:val="000000"/>
            </w14:solidFill>
          </w14:textFill>
        </w:rPr>
      </w:pPr>
    </w:p>
    <w:p>
      <w:pPr>
        <w:pStyle w:val="Heading 3"/>
        <w:keepNext w:val="0"/>
        <w:keepLines w:val="0"/>
        <w:widowControl w:val="0"/>
        <w:spacing w:before="220" w:after="120" w:line="240" w:lineRule="auto"/>
        <w:ind w:left="108" w:hanging="108"/>
        <w:rPr>
          <w:b w:val="1"/>
          <w:bCs w:val="1"/>
          <w:i w:val="1"/>
          <w:iCs w:val="1"/>
          <w:outline w:val="0"/>
          <w:color w:val="000000"/>
          <w:sz w:val="24"/>
          <w:szCs w:val="24"/>
          <w:u w:val="none" w:color="000000"/>
          <w:lang w:val="it-IT"/>
          <w14:textFill>
            <w14:solidFill>
              <w14:srgbClr w14:val="000000"/>
            </w14:solidFill>
          </w14:textFill>
        </w:rPr>
      </w:pPr>
    </w:p>
    <w:p>
      <w:pPr>
        <w:pStyle w:val="Heading 3"/>
        <w:keepNext w:val="0"/>
        <w:keepLines w:val="0"/>
        <w:widowControl w:val="0"/>
        <w:spacing w:before="220" w:after="120" w:line="240" w:lineRule="auto"/>
        <w:rPr>
          <w:b w:val="1"/>
          <w:bCs w:val="1"/>
          <w:i w:val="1"/>
          <w:iCs w:val="1"/>
          <w:outline w:val="0"/>
          <w:color w:val="000000"/>
          <w:sz w:val="24"/>
          <w:szCs w:val="24"/>
          <w:u w:val="none" w:color="000000"/>
          <w:lang w:val="it-IT"/>
          <w14:textFill>
            <w14:solidFill>
              <w14:srgbClr w14:val="000000"/>
            </w14:solidFill>
          </w14:textFill>
        </w:rPr>
      </w:pPr>
    </w:p>
    <w:p>
      <w:pPr>
        <w:pStyle w:val="Heading 3"/>
        <w:keepNext w:val="0"/>
        <w:keepLines w:val="0"/>
        <w:widowControl w:val="0"/>
        <w:spacing w:before="220" w:after="120" w:line="240" w:lineRule="auto"/>
        <w:ind w:left="2700" w:hanging="2700"/>
        <w:rPr>
          <w:b w:val="1"/>
          <w:bCs w:val="1"/>
          <w:i w:val="1"/>
          <w:iCs w:val="1"/>
          <w:outline w:val="0"/>
          <w:color w:val="000000"/>
          <w:sz w:val="24"/>
          <w:szCs w:val="24"/>
          <w:u w:val="none" w:color="000000"/>
          <w:lang w:val="it-IT"/>
          <w14:textFill>
            <w14:solidFill>
              <w14:srgbClr w14:val="000000"/>
            </w14:solidFill>
          </w14:textFill>
        </w:rPr>
      </w:pPr>
    </w:p>
    <w:p>
      <w:pPr>
        <w:pStyle w:val="Heading 3"/>
        <w:keepLines w:val="0"/>
        <w:spacing w:before="220" w:after="120" w:line="288" w:lineRule="auto"/>
        <w:rPr>
          <w:b w:val="1"/>
          <w:bCs w:val="1"/>
          <w:i w:val="1"/>
          <w:iCs w:val="1"/>
          <w:outline w:val="0"/>
          <w:color w:val="000000"/>
          <w:sz w:val="24"/>
          <w:szCs w:val="24"/>
          <w:u w:val="none" w:color="000000"/>
          <w:lang w:val="it-IT"/>
          <w14:textFill>
            <w14:solidFill>
              <w14:srgbClr w14:val="000000"/>
            </w14:solidFill>
          </w14:textFill>
        </w:rPr>
      </w:pPr>
      <w:r>
        <w:rPr>
          <w:b w:val="1"/>
          <w:bCs w:val="1"/>
          <w:i w:val="1"/>
          <w:iCs w:val="1"/>
          <w:outline w:val="0"/>
          <w:color w:val="000000"/>
          <w:sz w:val="24"/>
          <w:szCs w:val="24"/>
          <w:u w:val="none" w:color="000000"/>
          <w:rtl w:val="0"/>
          <w:lang w:val="it-IT"/>
          <w14:textFill>
            <w14:solidFill>
              <w14:srgbClr w14:val="000000"/>
            </w14:solidFill>
          </w14:textFill>
        </w:rPr>
        <w:t xml:space="preserve">Model 2. FC deviation </w:t>
      </w:r>
      <w:r>
        <w:rPr>
          <w:b w:val="1"/>
          <w:bCs w:val="1"/>
          <w:i w:val="1"/>
          <w:iCs w:val="1"/>
          <w:outline w:val="0"/>
          <w:color w:val="000000"/>
          <w:sz w:val="24"/>
          <w:szCs w:val="24"/>
          <w:u w:val="none" w:color="000000"/>
          <w:rtl w:val="0"/>
          <w:lang w:val="it-IT"/>
          <w14:textFill>
            <w14:solidFill>
              <w14:srgbClr w14:val="000000"/>
            </w14:solidFill>
          </w14:textFill>
        </w:rPr>
        <w:t xml:space="preserve">× </w:t>
      </w:r>
      <w:r>
        <w:rPr>
          <w:b w:val="1"/>
          <w:bCs w:val="1"/>
          <w:i w:val="1"/>
          <w:iCs w:val="1"/>
          <w:outline w:val="0"/>
          <w:color w:val="000000"/>
          <w:sz w:val="24"/>
          <w:szCs w:val="24"/>
          <w:u w:val="none" w:color="000000"/>
          <w:rtl w:val="0"/>
          <w:lang w:val="it-IT"/>
          <w14:textFill>
            <w14:solidFill>
              <w14:srgbClr w14:val="000000"/>
            </w14:solidFill>
          </w14:textFill>
        </w:rPr>
        <w:t>structural participation.</w:t>
      </w:r>
    </w:p>
    <w:tbl>
      <w:tblPr>
        <w:tblW w:w="790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99"/>
        <w:gridCol w:w="1301"/>
        <w:gridCol w:w="1300"/>
        <w:gridCol w:w="900"/>
        <w:gridCol w:w="900"/>
      </w:tblGrid>
      <w:tr>
        <w:tblPrEx>
          <w:shd w:val="clear" w:color="auto" w:fill="4f81bd"/>
        </w:tblPrEx>
        <w:trPr>
          <w:trHeight w:val="404" w:hRule="atLeast"/>
          <w:tblHeader/>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Predictor</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β</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SE</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t</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A"/>
              <w:spacing w:after="60" w:line="240" w:lineRule="auto"/>
            </w:pPr>
            <w:r>
              <w:rPr>
                <w:b w:val="1"/>
                <w:bCs w:val="1"/>
                <w:sz w:val="18"/>
                <w:szCs w:val="18"/>
                <w:shd w:val="nil" w:color="auto" w:fill="auto"/>
                <w:rtl w:val="0"/>
                <w:lang w:val="en-US"/>
              </w:rPr>
              <w:t>p</w:t>
            </w:r>
          </w:p>
        </w:tc>
      </w:tr>
      <w:tr>
        <w:tblPrEx>
          <w:shd w:val="clear" w:color="auto" w:fill="ced7e7"/>
        </w:tblPrEx>
        <w:trPr>
          <w:trHeight w:val="404"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FC deviation</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0.147</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0.069</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2.13</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0.034</w:t>
            </w:r>
          </w:p>
        </w:tc>
      </w:tr>
      <w:tr>
        <w:tblPrEx>
          <w:shd w:val="clear" w:color="auto" w:fill="ced7e7"/>
        </w:tblPrEx>
        <w:trPr>
          <w:trHeight w:val="404"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Structural participation (z)</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0.018</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0.069</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0.26</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0.794</w:t>
            </w:r>
          </w:p>
        </w:tc>
      </w:tr>
      <w:tr>
        <w:tblPrEx>
          <w:shd w:val="clear" w:color="auto" w:fill="ced7e7"/>
        </w:tblPrEx>
        <w:trPr>
          <w:trHeight w:val="404" w:hRule="atLeast"/>
        </w:trPr>
        <w:tc>
          <w:tcPr>
            <w:tcW w:type="dxa" w:w="34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 xml:space="preserve">FC deviation </w:t>
            </w:r>
            <w:r>
              <w:rPr>
                <w:sz w:val="18"/>
                <w:szCs w:val="18"/>
                <w:shd w:val="nil" w:color="auto" w:fill="auto"/>
                <w:rtl w:val="0"/>
                <w:lang w:val="en-US"/>
              </w:rPr>
              <w:t xml:space="preserve">× </w:t>
            </w:r>
            <w:r>
              <w:rPr>
                <w:sz w:val="18"/>
                <w:szCs w:val="18"/>
                <w:shd w:val="nil" w:color="auto" w:fill="auto"/>
                <w:rtl w:val="0"/>
                <w:lang w:val="en-US"/>
              </w:rPr>
              <w:t>structural participation</w:t>
            </w:r>
          </w:p>
        </w:tc>
        <w:tc>
          <w:tcPr>
            <w:tcW w:type="dxa" w:w="13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r>
              <w:rPr>
                <w:sz w:val="18"/>
                <w:szCs w:val="18"/>
                <w:shd w:val="nil" w:color="auto" w:fill="auto"/>
                <w:rtl w:val="0"/>
                <w:lang w:val="en-US"/>
              </w:rPr>
              <w:t>0.032</w:t>
            </w:r>
          </w:p>
        </w:tc>
        <w:tc>
          <w:tcPr>
            <w:tcW w:type="dxa" w:w="13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0.057</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w:t>
            </w:r>
            <w:r>
              <w:rPr>
                <w:sz w:val="18"/>
                <w:szCs w:val="18"/>
                <w:shd w:val="nil" w:color="auto" w:fill="auto"/>
                <w:rtl w:val="0"/>
                <w:lang w:val="en-US"/>
              </w:rPr>
              <w:t>0.57</w:t>
            </w:r>
          </w:p>
        </w:tc>
        <w:tc>
          <w:tcPr>
            <w:tcW w:type="dxa" w:w="9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60" w:line="240" w:lineRule="auto"/>
            </w:pPr>
            <w:r>
              <w:rPr>
                <w:sz w:val="18"/>
                <w:szCs w:val="18"/>
                <w:shd w:val="nil" w:color="auto" w:fill="auto"/>
                <w:rtl w:val="0"/>
                <w:lang w:val="en-US"/>
              </w:rPr>
              <w:t>0.571</w:t>
            </w:r>
          </w:p>
        </w:tc>
      </w:tr>
    </w:tbl>
    <w:p>
      <w:pPr>
        <w:pStyle w:val="Heading 3"/>
        <w:keepLines w:val="0"/>
        <w:widowControl w:val="0"/>
        <w:spacing w:before="220" w:after="120" w:line="240" w:lineRule="auto"/>
        <w:ind w:left="216" w:hanging="216"/>
        <w:rPr>
          <w:b w:val="1"/>
          <w:bCs w:val="1"/>
          <w:i w:val="1"/>
          <w:iCs w:val="1"/>
          <w:outline w:val="0"/>
          <w:color w:val="000000"/>
          <w:sz w:val="24"/>
          <w:szCs w:val="24"/>
          <w:u w:val="none" w:color="000000"/>
          <w:lang w:val="it-IT"/>
          <w14:textFill>
            <w14:solidFill>
              <w14:srgbClr w14:val="000000"/>
            </w14:solidFill>
          </w14:textFill>
        </w:rPr>
      </w:pPr>
    </w:p>
    <w:p>
      <w:pPr>
        <w:pStyle w:val="Heading 3"/>
        <w:keepLines w:val="0"/>
        <w:widowControl w:val="0"/>
        <w:spacing w:before="220" w:after="120" w:line="240" w:lineRule="auto"/>
        <w:ind w:left="108" w:hanging="108"/>
        <w:rPr>
          <w:b w:val="1"/>
          <w:bCs w:val="1"/>
          <w:i w:val="1"/>
          <w:iCs w:val="1"/>
          <w:outline w:val="0"/>
          <w:color w:val="000000"/>
          <w:sz w:val="24"/>
          <w:szCs w:val="24"/>
          <w:u w:val="none" w:color="000000"/>
          <w:lang w:val="it-IT"/>
          <w14:textFill>
            <w14:solidFill>
              <w14:srgbClr w14:val="000000"/>
            </w14:solidFill>
          </w14:textFill>
        </w:rPr>
      </w:pPr>
    </w:p>
    <w:p>
      <w:pPr>
        <w:pStyle w:val="Heading 3"/>
        <w:keepLines w:val="0"/>
        <w:widowControl w:val="0"/>
        <w:spacing w:before="220" w:after="120" w:line="240" w:lineRule="auto"/>
        <w:rPr>
          <w:b w:val="1"/>
          <w:bCs w:val="1"/>
          <w:i w:val="1"/>
          <w:iCs w:val="1"/>
          <w:outline w:val="0"/>
          <w:color w:val="000000"/>
          <w:sz w:val="24"/>
          <w:szCs w:val="24"/>
          <w:u w:val="none" w:color="000000"/>
          <w:lang w:val="it-IT"/>
          <w14:textFill>
            <w14:solidFill>
              <w14:srgbClr w14:val="000000"/>
            </w14:solidFill>
          </w14:textFill>
        </w:rPr>
      </w:pPr>
    </w:p>
    <w:p>
      <w:pPr>
        <w:pStyle w:val="Heading 3"/>
        <w:keepNext w:val="0"/>
        <w:keepLines w:val="0"/>
        <w:widowControl w:val="0"/>
        <w:spacing w:before="220" w:after="120" w:line="240" w:lineRule="auto"/>
        <w:ind w:left="2700" w:hanging="2700"/>
        <w:rPr>
          <w:b w:val="1"/>
          <w:bCs w:val="1"/>
          <w:i w:val="1"/>
          <w:iCs w:val="1"/>
          <w:outline w:val="0"/>
          <w:color w:val="000000"/>
          <w:sz w:val="24"/>
          <w:szCs w:val="24"/>
          <w:u w:val="none" w:color="000000"/>
          <w:lang w:val="it-IT"/>
          <w14:textFill>
            <w14:solidFill>
              <w14:srgbClr w14:val="000000"/>
            </w14:solidFill>
          </w14:textFill>
        </w:rPr>
      </w:pPr>
    </w:p>
    <w:p>
      <w:pPr>
        <w:pStyle w:val="Heading 3"/>
        <w:keepNext w:val="0"/>
        <w:keepLines w:val="0"/>
        <w:widowControl w:val="0"/>
        <w:spacing w:before="220" w:after="120" w:line="240" w:lineRule="auto"/>
        <w:ind w:left="2592" w:hanging="2592"/>
        <w:rPr>
          <w:b w:val="1"/>
          <w:bCs w:val="1"/>
          <w:i w:val="1"/>
          <w:iCs w:val="1"/>
          <w:outline w:val="0"/>
          <w:color w:val="000000"/>
          <w:sz w:val="24"/>
          <w:szCs w:val="24"/>
          <w:u w:val="none" w:color="000000"/>
          <w:lang w:val="it-IT"/>
          <w14:textFill>
            <w14:solidFill>
              <w14:srgbClr w14:val="000000"/>
            </w14:solidFill>
          </w14:textFill>
        </w:rPr>
      </w:pPr>
    </w:p>
    <w:p>
      <w:pPr>
        <w:pStyle w:val="Default"/>
        <w:widowControl w:val="0"/>
        <w:spacing w:before="0"/>
        <w:rPr>
          <w:rFonts w:ascii="Arial" w:cs="Arial" w:hAnsi="Arial" w:eastAsia="Arial"/>
        </w:rPr>
      </w:pPr>
    </w:p>
    <w:p>
      <w:pPr>
        <w:pStyle w:val="Default"/>
        <w:spacing w:before="0"/>
        <w:rPr>
          <w:rFonts w:ascii="Arial" w:cs="Arial" w:hAnsi="Arial" w:eastAsia="Arial"/>
        </w:rPr>
      </w:pPr>
    </w:p>
    <w:p>
      <w:pPr>
        <w:pStyle w:val="Default"/>
        <w:spacing w:before="0" w:after="240"/>
        <w:rPr>
          <w:rFonts w:ascii="Arial" w:cs="Arial" w:hAnsi="Arial" w:eastAsia="Arial"/>
        </w:rPr>
      </w:pPr>
      <w:r>
        <w:rPr>
          <w:rFonts w:ascii="Arial" w:hAnsi="Arial"/>
          <w:b w:val="1"/>
          <w:bCs w:val="1"/>
          <w:rtl w:val="0"/>
          <w:lang w:val="en-US"/>
        </w:rPr>
        <w:t>Motion-related Quality Control</w:t>
      </w:r>
    </w:p>
    <w:p>
      <w:pPr>
        <w:pStyle w:val="Default"/>
        <w:spacing w:before="0" w:after="240"/>
        <w:rPr>
          <w:rFonts w:ascii="Arial" w:cs="Arial" w:hAnsi="Arial" w:eastAsia="Arial"/>
        </w:rPr>
      </w:pPr>
      <w:r>
        <w:rPr>
          <w:rFonts w:ascii="Arial" w:hAnsi="Arial"/>
          <w:rtl w:val="0"/>
          <w:lang w:val="en-US"/>
        </w:rPr>
        <w:t>To ensure that the reported functional connectivity findings were not driven by residual head motion, we conducted five complementary motion-related quality control analyses on the 216-node connectivity matrices used in the primary analysis (Schaefer 200 + Tian S1 16, global signal regression applied). Mean rfMRI head motion was operationalised throughout as UK Biobank Field 25741 ("Mean rfMRI head motion, averaged across space and time points"). Analyses were performed in the main cohort (N = 738) and repeated in a sensitivity cohort excluding participants with mean rfMRI head motion &gt; 0.30 mm (n = 14 excluded; N = 724).</w:t>
      </w:r>
    </w:p>
    <w:p>
      <w:pPr>
        <w:pStyle w:val="Default"/>
        <w:spacing w:before="0" w:after="240"/>
        <w:rPr>
          <w:rFonts w:ascii="Arial" w:cs="Arial" w:hAnsi="Arial" w:eastAsia="Arial"/>
        </w:rPr>
      </w:pPr>
      <w:r>
        <w:rPr>
          <w:rFonts w:ascii="Arial" w:hAnsi="Arial"/>
          <w:b w:val="1"/>
          <w:bCs w:val="1"/>
          <w:rtl w:val="0"/>
          <w:lang w:val="en-US"/>
        </w:rPr>
        <w:t>(i) Group rfMRI head motion.</w:t>
      </w:r>
      <w:r>
        <w:rPr>
          <w:rFonts w:ascii="Arial" w:hAnsi="Arial"/>
          <w:rtl w:val="0"/>
          <w:lang w:val="en-US"/>
        </w:rPr>
        <w:t xml:space="preserve"> AF participants and matched controls did not differ in mean rfMRI head motion in either cohort (main: AF median = 0.130 mm, Control median = 0.129 mm, Mann</w:t>
      </w:r>
      <w:r>
        <w:rPr>
          <w:rFonts w:ascii="Arial" w:hAnsi="Arial" w:hint="default"/>
          <w:rtl w:val="0"/>
          <w:lang w:val="en-US"/>
        </w:rPr>
        <w:t>–</w:t>
      </w:r>
      <w:r>
        <w:rPr>
          <w:rFonts w:ascii="Arial" w:hAnsi="Arial"/>
          <w:rtl w:val="0"/>
          <w:lang w:val="en-US"/>
        </w:rPr>
        <w:t>Whitney p = 0.83; sensitivity: AF median = 0.128 mm, Control median = 0.128 mm, Mann</w:t>
      </w:r>
      <w:r>
        <w:rPr>
          <w:rFonts w:ascii="Arial" w:hAnsi="Arial" w:hint="default"/>
          <w:rtl w:val="0"/>
          <w:lang w:val="en-US"/>
        </w:rPr>
        <w:t>–</w:t>
      </w:r>
      <w:r>
        <w:rPr>
          <w:rFonts w:ascii="Arial" w:hAnsi="Arial"/>
          <w:rtl w:val="0"/>
          <w:lang w:val="en-US"/>
        </w:rPr>
        <w:t>Whitney p = 0.97; Supplementary Figure S4). The 14 participants exceeding the 0.30 mm threshold (3 AF, 11 control; top 1.9% of the cohort) were retained in the main analysis and excluded in the sensitivity cohort.</w:t>
      </w:r>
    </w:p>
    <w:p>
      <w:pPr>
        <w:pStyle w:val="Default"/>
        <w:spacing w:before="0" w:after="240"/>
        <w:rPr>
          <w:rFonts w:ascii="Arial" w:cs="Arial" w:hAnsi="Arial" w:eastAsia="Arial"/>
        </w:rPr>
      </w:pPr>
      <w:r>
        <w:rPr>
          <w:rFonts w:ascii="Arial" w:hAnsi="Arial"/>
          <w:b w:val="1"/>
          <w:bCs w:val="1"/>
          <w:rtl w:val="0"/>
          <w:lang w:val="en-US"/>
        </w:rPr>
        <w:t>(ii) Edge-wise QC</w:t>
      </w:r>
      <w:r>
        <w:rPr>
          <w:rFonts w:ascii="Arial" w:hAnsi="Arial" w:hint="default"/>
          <w:b w:val="1"/>
          <w:bCs w:val="1"/>
          <w:rtl w:val="0"/>
          <w:lang w:val="en-US"/>
        </w:rPr>
        <w:t>–</w:t>
      </w:r>
      <w:r>
        <w:rPr>
          <w:rFonts w:ascii="Arial" w:hAnsi="Arial"/>
          <w:b w:val="1"/>
          <w:bCs w:val="1"/>
          <w:rtl w:val="0"/>
          <w:lang w:val="it-IT"/>
        </w:rPr>
        <w:t>FC.</w:t>
      </w:r>
      <w:r>
        <w:rPr>
          <w:rFonts w:ascii="Arial" w:hAnsi="Arial"/>
          <w:rtl w:val="0"/>
          <w:lang w:val="en-US"/>
        </w:rPr>
        <w:t xml:space="preserve"> For each of the 23,220 upper-triangular edges, the Pearson correlation between edge weight and subject-level mean rfMRI head motion was computed. In the main cohort, median |QC</w:t>
      </w:r>
      <w:r>
        <w:rPr>
          <w:rFonts w:ascii="Arial" w:hAnsi="Arial" w:hint="default"/>
          <w:rtl w:val="0"/>
          <w:lang w:val="en-US"/>
        </w:rPr>
        <w:t>–</w:t>
      </w:r>
      <w:r>
        <w:rPr>
          <w:rFonts w:ascii="Arial" w:hAnsi="Arial"/>
          <w:rtl w:val="0"/>
          <w:lang w:val="en-US"/>
        </w:rPr>
        <w:t>FC| was 0.032 (Parkes 2018 clean threshold &lt; 0.10), the 95th percentile was 0.096 (Parkes threshold &lt; 0.20), the proportion of edges with p &lt; 0.05 was 0.136, and the median signed QC</w:t>
      </w:r>
      <w:r>
        <w:rPr>
          <w:rFonts w:ascii="Arial" w:hAnsi="Arial" w:hint="default"/>
          <w:rtl w:val="0"/>
          <w:lang w:val="en-US"/>
        </w:rPr>
        <w:t>–</w:t>
      </w:r>
      <w:r>
        <w:rPr>
          <w:rFonts w:ascii="Arial" w:hAnsi="Arial"/>
          <w:rtl w:val="0"/>
          <w:lang w:val="en-US"/>
        </w:rPr>
        <w:t>FC was +0.003 (Supplementary Table S7). All metrics improved marginally in the sensitivity cohort (median |QC</w:t>
      </w:r>
      <w:r>
        <w:rPr>
          <w:rFonts w:ascii="Arial" w:hAnsi="Arial" w:hint="default"/>
          <w:rtl w:val="0"/>
          <w:lang w:val="en-US"/>
        </w:rPr>
        <w:t>–</w:t>
      </w:r>
      <w:r>
        <w:rPr>
          <w:rFonts w:ascii="Arial" w:hAnsi="Arial"/>
          <w:rtl w:val="0"/>
          <w:lang w:val="en-US"/>
        </w:rPr>
        <w:t>FC| = 0.029, 95th percentile = 0.085, prop p&lt;0.05 = 0.093), indicating that the 14 high-motion participants did not bias edge-level connectivity.</w:t>
      </w:r>
    </w:p>
    <w:p>
      <w:pPr>
        <w:pStyle w:val="Default"/>
        <w:spacing w:before="0" w:after="240"/>
        <w:rPr>
          <w:rFonts w:ascii="Arial" w:cs="Arial" w:hAnsi="Arial" w:eastAsia="Arial"/>
        </w:rPr>
      </w:pPr>
      <w:r>
        <w:rPr>
          <w:rFonts w:ascii="Arial" w:hAnsi="Arial"/>
          <w:b w:val="1"/>
          <w:bCs w:val="1"/>
          <w:rtl w:val="0"/>
          <w:lang w:val="en-US"/>
        </w:rPr>
        <w:t>(iii) Network-level motion contamination.</w:t>
      </w:r>
      <w:r>
        <w:rPr>
          <w:rFonts w:ascii="Arial" w:hAnsi="Arial"/>
          <w:rtl w:val="0"/>
          <w:lang w:val="en-US"/>
        </w:rPr>
        <w:t xml:space="preserve"> Median |QC</w:t>
      </w:r>
      <w:r>
        <w:rPr>
          <w:rFonts w:ascii="Arial" w:hAnsi="Arial" w:hint="default"/>
          <w:rtl w:val="0"/>
          <w:lang w:val="en-US"/>
        </w:rPr>
        <w:t>–</w:t>
      </w:r>
      <w:r>
        <w:rPr>
          <w:rFonts w:ascii="Arial" w:hAnsi="Arial"/>
          <w:rtl w:val="0"/>
          <w:lang w:val="en-US"/>
        </w:rPr>
        <w:t>FC| was aggregated across the seven Yeo cortical networks and the subcortical block (Supplementary Figure S5). All 64 within- and between-network blocks fell well below the 0.10 threshold (range 0.021</w:t>
      </w:r>
      <w:r>
        <w:rPr>
          <w:rFonts w:ascii="Arial" w:hAnsi="Arial" w:hint="default"/>
          <w:rtl w:val="0"/>
          <w:lang w:val="en-US"/>
        </w:rPr>
        <w:t>–</w:t>
      </w:r>
      <w:r>
        <w:rPr>
          <w:rFonts w:ascii="Arial" w:hAnsi="Arial"/>
          <w:rtl w:val="0"/>
          <w:lang w:val="en-US"/>
        </w:rPr>
        <w:t xml:space="preserve">0.061). Mildly elevated values were concentrated in the Limbic network (OFC, temporal pole </w:t>
      </w:r>
      <w:r>
        <w:rPr>
          <w:rFonts w:ascii="Arial" w:hAnsi="Arial" w:hint="default"/>
          <w:rtl w:val="0"/>
          <w:lang w:val="en-US"/>
        </w:rPr>
        <w:t xml:space="preserve">— </w:t>
      </w:r>
      <w:r>
        <w:rPr>
          <w:rFonts w:ascii="Arial" w:hAnsi="Arial"/>
          <w:rtl w:val="0"/>
          <w:lang w:val="en-US"/>
        </w:rPr>
        <w:t>regions of known susceptibility-induced signal dropout) and subcortical block (proximal to ventricles and major arteries), consistent with expected MR physics rather than motion-related contamination.</w:t>
      </w:r>
    </w:p>
    <w:p>
      <w:pPr>
        <w:pStyle w:val="Default"/>
        <w:spacing w:before="0" w:after="240"/>
        <w:rPr>
          <w:rFonts w:ascii="Arial" w:cs="Arial" w:hAnsi="Arial" w:eastAsia="Arial"/>
        </w:rPr>
      </w:pPr>
      <w:r>
        <w:rPr>
          <w:rFonts w:ascii="Arial" w:hAnsi="Arial"/>
          <w:b w:val="1"/>
          <w:bCs w:val="1"/>
          <w:rtl w:val="0"/>
          <w:lang w:val="en-US"/>
        </w:rPr>
        <w:t>(iv) Distance dependence.</w:t>
      </w:r>
      <w:r>
        <w:rPr>
          <w:rFonts w:ascii="Arial" w:hAnsi="Arial"/>
          <w:rtl w:val="0"/>
          <w:lang w:val="en-US"/>
        </w:rPr>
        <w:t xml:space="preserve"> The Spearman correlation between Euclidean inter-node distance and edge-wise QC</w:t>
      </w:r>
      <w:r>
        <w:rPr>
          <w:rFonts w:ascii="Arial" w:hAnsi="Arial" w:hint="default"/>
          <w:rtl w:val="0"/>
          <w:lang w:val="en-US"/>
        </w:rPr>
        <w:t>–</w:t>
      </w:r>
      <w:r>
        <w:rPr>
          <w:rFonts w:ascii="Arial" w:hAnsi="Arial"/>
          <w:rtl w:val="0"/>
          <w:lang w:val="en-US"/>
        </w:rPr>
        <w:t>FC was +0.19 in the main cohort and +0.15 in the sensitivity cohort (Supplementary Figure S6). The direction is opposite to the canonical short-range motion artefact described by Power et al. (2014), in which motion inflates short-range connectivity and yields a negative distance</w:t>
      </w:r>
      <w:r>
        <w:rPr>
          <w:rFonts w:ascii="Arial" w:hAnsi="Arial" w:hint="default"/>
          <w:rtl w:val="0"/>
          <w:lang w:val="en-US"/>
        </w:rPr>
        <w:t>–</w:t>
      </w:r>
      <w:r>
        <w:rPr>
          <w:rFonts w:ascii="Arial" w:hAnsi="Arial"/>
          <w:rtl w:val="0"/>
          <w:lang w:val="it-IT"/>
        </w:rPr>
        <w:t>QC</w:t>
      </w:r>
      <w:r>
        <w:rPr>
          <w:rFonts w:ascii="Arial" w:hAnsi="Arial" w:hint="default"/>
          <w:rtl w:val="0"/>
          <w:lang w:val="en-US"/>
        </w:rPr>
        <w:t>–</w:t>
      </w:r>
      <w:r>
        <w:rPr>
          <w:rFonts w:ascii="Arial" w:hAnsi="Arial"/>
          <w:rtl w:val="0"/>
          <w:lang w:val="en-US"/>
        </w:rPr>
        <w:t>FC slope. The absence of that signature indicates no residual distance-structured motion contamination. Benchmarking studies report global signal regression to increase, rather than reverse, negative distance dependence (Ciric et al., 2017; Parkes et al., 2018), so the positive slope observed here is reported descriptively and is not attributed to a specific denoising step</w:t>
      </w:r>
      <w:r>
        <w:rPr>
          <w:rFonts w:ascii="Arial" w:hAnsi="Arial"/>
          <w:rtl w:val="0"/>
          <w:lang w:val="de-DE"/>
        </w:rPr>
        <w:t>.</w:t>
      </w:r>
    </w:p>
    <w:p>
      <w:pPr>
        <w:pStyle w:val="Default"/>
        <w:spacing w:before="0" w:after="240"/>
        <w:rPr>
          <w:rFonts w:ascii="Arial" w:cs="Arial" w:hAnsi="Arial" w:eastAsia="Arial"/>
        </w:rPr>
      </w:pPr>
      <w:r>
        <w:rPr>
          <w:rFonts w:ascii="Arial" w:hAnsi="Arial"/>
          <w:b w:val="1"/>
          <w:bCs w:val="1"/>
          <w:rtl w:val="0"/>
          <w:lang w:val="en-US"/>
        </w:rPr>
        <w:t>(v) NBS sensitivity to high-motion exclusion.</w:t>
      </w:r>
      <w:r>
        <w:rPr>
          <w:rFonts w:ascii="Arial" w:hAnsi="Arial"/>
          <w:rtl w:val="0"/>
          <w:lang w:val="en-US"/>
        </w:rPr>
        <w:t xml:space="preserve"> All NBS analyses were repeated in the sensitivity cohort (N = 724). The AF &gt; Control hyperconnectivity subnetwork remained significant at every primary threshold tested, with subnetwork size at the primary t = 4.5 threshold reduced by less than 2% (114 </w:t>
      </w:r>
      <w:r>
        <w:rPr>
          <w:rFonts w:ascii="Arial" w:hAnsi="Arial" w:hint="default"/>
          <w:rtl w:val="0"/>
          <w:lang w:val="en-US"/>
        </w:rPr>
        <w:t xml:space="preserve">→ </w:t>
      </w:r>
      <w:r>
        <w:rPr>
          <w:rFonts w:ascii="Arial" w:hAnsi="Arial"/>
          <w:rtl w:val="0"/>
          <w:lang w:val="en-US"/>
        </w:rPr>
        <w:t xml:space="preserve">112 nodes) and less than 5% (264 </w:t>
      </w:r>
      <w:r>
        <w:rPr>
          <w:rFonts w:ascii="Arial" w:hAnsi="Arial" w:hint="default"/>
          <w:rtl w:val="0"/>
          <w:lang w:val="en-US"/>
        </w:rPr>
        <w:t xml:space="preserve">→ </w:t>
      </w:r>
      <w:r>
        <w:rPr>
          <w:rFonts w:ascii="Arial" w:hAnsi="Arial"/>
          <w:rtl w:val="0"/>
          <w:lang w:val="en-US"/>
        </w:rPr>
        <w:t>251 edges) compared to the main cohort; edge counts across thresholds are reported in Supplementary Table S6, confirming that the reported network-level findings are not attributable to the 14 high-motion participants.</w:t>
      </w:r>
    </w:p>
    <w:p>
      <w:pPr>
        <w:pStyle w:val="Default"/>
        <w:spacing w:before="0" w:after="240"/>
        <w:rPr>
          <w:rFonts w:ascii="Arial" w:cs="Arial" w:hAnsi="Arial" w:eastAsia="Arial"/>
        </w:rPr>
      </w:pPr>
    </w:p>
    <w:p>
      <w:pPr>
        <w:pStyle w:val="Default"/>
        <w:spacing w:before="0" w:after="240" w:line="360" w:lineRule="auto"/>
        <w:rPr>
          <w:rFonts w:ascii="Arial" w:cs="Arial" w:hAnsi="Arial" w:eastAsia="Arial"/>
        </w:rPr>
      </w:pPr>
      <w:r>
        <w:rPr>
          <w:rFonts w:ascii="Arial" w:hAnsi="Arial"/>
          <w:b w:val="1"/>
          <w:bCs w:val="1"/>
          <w:rtl w:val="0"/>
          <w:lang w:val="en-US"/>
        </w:rPr>
        <w:t>References</w:t>
      </w:r>
    </w:p>
    <w:p>
      <w:pPr>
        <w:pStyle w:val="Default"/>
        <w:spacing w:before="0" w:after="240" w:line="360" w:lineRule="auto"/>
        <w:rPr>
          <w:rFonts w:ascii="Arial" w:cs="Arial" w:hAnsi="Arial" w:eastAsia="Arial"/>
        </w:rPr>
      </w:pPr>
      <w:r>
        <w:rPr>
          <w:rFonts w:ascii="Arial" w:hAnsi="Arial"/>
          <w:rtl w:val="0"/>
          <w:lang w:val="en-US"/>
        </w:rPr>
        <w:t>Ciric R, Wolf DH, Power JD, Roalf DR, Baum GL, Ruparel K, Shinohara RT, Elliott MA, Eickhoff SB, Davatzikos C, Gur RC, Gur RE, Bassett DS, Satterthwaite TD (2017): Benchmarking of participant-level confound regression strategies for the control of motion artifact in studies of functional connectivity. NeuroImage 154:174</w:t>
      </w:r>
      <w:r>
        <w:rPr>
          <w:rFonts w:ascii="Arial" w:hAnsi="Arial" w:hint="default"/>
          <w:rtl w:val="0"/>
          <w:lang w:val="en-US"/>
        </w:rPr>
        <w:t>–</w:t>
      </w:r>
      <w:r>
        <w:rPr>
          <w:rFonts w:ascii="Arial" w:hAnsi="Arial"/>
          <w:rtl w:val="0"/>
          <w:lang w:val="en-US"/>
        </w:rPr>
        <w:t>187.</w:t>
      </w:r>
    </w:p>
    <w:p>
      <w:pPr>
        <w:pStyle w:val="Default"/>
        <w:spacing w:before="0" w:after="240" w:line="360" w:lineRule="auto"/>
        <w:rPr>
          <w:rFonts w:ascii="Arial" w:cs="Arial" w:hAnsi="Arial" w:eastAsia="Arial"/>
        </w:rPr>
      </w:pPr>
      <w:r>
        <w:rPr>
          <w:rFonts w:ascii="Arial" w:hAnsi="Arial"/>
          <w:rtl w:val="0"/>
          <w:lang w:val="en-US"/>
        </w:rPr>
        <w:t>Gabusi I, Pontillo G, Petracca M, Battocchio M, Bosticardo S, Costabile T, Daducci A, Pane C, Riccio E, Pisani A, Brunetti A, Schiavi S, Cocozza S (2022): Structural disconnection and functional reorganization in Fabry disease: a multimodal MRI study. Brain Commun 4:fcac187.</w:t>
      </w:r>
    </w:p>
    <w:p>
      <w:pPr>
        <w:pStyle w:val="Default"/>
        <w:spacing w:before="0" w:after="240" w:line="360" w:lineRule="auto"/>
        <w:rPr>
          <w:rFonts w:ascii="Arial" w:cs="Arial" w:hAnsi="Arial" w:eastAsia="Arial"/>
        </w:rPr>
      </w:pPr>
      <w:r>
        <w:rPr>
          <w:rFonts w:ascii="Arial" w:hAnsi="Arial"/>
          <w:rtl w:val="0"/>
          <w:lang w:val="en-US"/>
        </w:rPr>
        <w:t>Parkes L, Fulcher B, Y</w:t>
      </w:r>
      <w:r>
        <w:rPr>
          <w:rFonts w:ascii="Arial" w:hAnsi="Arial" w:hint="default"/>
          <w:rtl w:val="0"/>
          <w:lang w:val="en-US"/>
        </w:rPr>
        <w:t>ü</w:t>
      </w:r>
      <w:r>
        <w:rPr>
          <w:rFonts w:ascii="Arial" w:hAnsi="Arial"/>
          <w:rtl w:val="0"/>
          <w:lang w:val="en-US"/>
        </w:rPr>
        <w:t>cel M, Fornito A (2018): An evaluation of the efficacy, reliability, and sensitivity of motion correction strategies for resting-state functional MRI. NeuroImage 171:415</w:t>
      </w:r>
      <w:r>
        <w:rPr>
          <w:rFonts w:ascii="Arial" w:hAnsi="Arial" w:hint="default"/>
          <w:rtl w:val="0"/>
          <w:lang w:val="en-US"/>
        </w:rPr>
        <w:t>–</w:t>
      </w:r>
      <w:r>
        <w:rPr>
          <w:rFonts w:ascii="Arial" w:hAnsi="Arial"/>
          <w:rtl w:val="0"/>
          <w:lang w:val="en-US"/>
        </w:rPr>
        <w:t>436.</w:t>
      </w:r>
    </w:p>
    <w:p>
      <w:pPr>
        <w:pStyle w:val="Default"/>
        <w:spacing w:before="0" w:after="240" w:line="360" w:lineRule="auto"/>
      </w:pPr>
      <w:r>
        <w:rPr>
          <w:rFonts w:ascii="Arial" w:hAnsi="Arial"/>
          <w:rtl w:val="0"/>
          <w:lang w:val="en-US"/>
        </w:rPr>
        <w:t>Power JD, Mitra A, Laumann TO, Snyder AZ, Schlaggar BL, Petersen SE (2014): Methods to detect, characterize, and remove motion artifact in resting state fMRI. NeuroImage 84:320</w:t>
      </w:r>
      <w:r>
        <w:rPr>
          <w:rFonts w:ascii="Arial" w:hAnsi="Arial" w:hint="default"/>
          <w:rtl w:val="0"/>
          <w:lang w:val="en-US"/>
        </w:rPr>
        <w:t>–</w:t>
      </w:r>
      <w:r>
        <w:rPr>
          <w:rFonts w:ascii="Arial" w:hAnsi="Arial"/>
          <w:rtl w:val="0"/>
          <w:lang w:val="en-US"/>
        </w:rPr>
        <w:t>341.</w:t>
      </w:r>
    </w:p>
    <w:sectPr>
      <w:headerReference w:type="default" r:id="rId11"/>
      <w:headerReference w:type="first" r:id="rId12"/>
      <w:footerReference w:type="default" r:id="rId13"/>
      <w:footerReference w:type="first" r:id="rId14"/>
      <w:pgSz w:w="11900" w:h="16840" w:orient="portrait"/>
      <w:pgMar w:top="1440" w:right="1440" w:bottom="1440" w:left="1440" w:header="720" w:footer="720"/>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right" w:pos="9000"/>
        <w:tab w:val="clear" w:pos="9020"/>
      </w:tabs>
    </w:pPr>
    <w:r>
      <w:rPr>
        <w:rtl w:val="0"/>
      </w:rPr>
      <w:t>Akdeniz et al.</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both"/>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A"/>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2">
    <w:name w:val="Heading 2"/>
    <w:next w:val="Body A"/>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3">
    <w:name w:val="Heading 3"/>
    <w:next w:val="Body A"/>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434343"/>
      <w:spacing w:val="0"/>
      <w:kern w:val="0"/>
      <w:position w:val="0"/>
      <w:sz w:val="28"/>
      <w:szCs w:val="28"/>
      <w:u w:val="none" w:color="434343"/>
      <w:shd w:val="nil" w:color="auto" w:fill="auto"/>
      <w:vertAlign w:val="baseline"/>
      <w:lang w:val="en-US"/>
      <w14:textOutline w14:w="12700" w14:cap="flat">
        <w14:noFill/>
        <w14:miter w14:lim="400000"/>
      </w14:textOutline>
      <w14:textFill>
        <w14:solidFill>
          <w14:srgbClr w14:val="434343"/>
        </w14:solidFill>
      </w14:textFill>
    </w:rPr>
  </w:style>
  <w:style w:type="paragraph" w:styleId="Body B A A">
    <w:name w:val="Body B A A"/>
    <w:next w:val="Body B A A"/>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