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2898" w14:textId="77777777" w:rsidR="00B7245D" w:rsidRDefault="00B7245D" w:rsidP="00B7245D">
      <w:pPr>
        <w:rPr>
          <w:rFonts w:ascii="Times New Roman" w:eastAsia="SimSun" w:hAnsi="Times New Roman" w:cs="Times New Roman"/>
          <w:b/>
          <w:bCs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Sepplementary 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information</w:t>
      </w:r>
    </w:p>
    <w:p w14:paraId="20610B63" w14:textId="77777777" w:rsidR="00B7245D" w:rsidRDefault="00B7245D" w:rsidP="00B7245D">
      <w:pPr>
        <w:rPr>
          <w:rFonts w:ascii="Times New Roman" w:eastAsia="SimSun" w:hAnsi="Times New Roman" w:cs="Times New Roman"/>
          <w:b/>
          <w:bCs/>
          <w:color w:val="1F1F1F"/>
          <w:sz w:val="24"/>
        </w:rPr>
      </w:pPr>
    </w:p>
    <w:p w14:paraId="45FEA956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Fig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.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 S1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 xml:space="preserve"> </w:t>
      </w:r>
      <w:r>
        <w:rPr>
          <w:rFonts w:ascii="Times New Roman" w:eastAsia="SimSun" w:hAnsi="Times New Roman" w:cs="Times New Roman"/>
          <w:color w:val="1F1F1F"/>
          <w:sz w:val="24"/>
        </w:rPr>
        <w:t>Construction and identification of OsSalT overexpression transgenic plants. (A) Schematic representation of OsSalT coding sequence (CDS) transformation vector constructs. NPTII, neomycin phosphotransferase II gene; nos ter, nopa line synthase terminator. RB and LB, left and right T- DNA borders. (B) mRNA clone of OsSalT generated by amplification, The detailed primer information is shown in Table S1</w:t>
      </w:r>
    </w:p>
    <w:p w14:paraId="55B30FF3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5177B099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Fig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.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 S2</w:t>
      </w:r>
      <w:r>
        <w:rPr>
          <w:rFonts w:ascii="Times New Roman" w:eastAsia="SimSun" w:hAnsi="Times New Roman" w:cs="Times New Roman"/>
          <w:color w:val="1F1F1F"/>
          <w:sz w:val="24"/>
        </w:rPr>
        <w:t> Gene ontology (GO) classification of differentially expressed genes (DEGs)</w:t>
      </w:r>
    </w:p>
    <w:p w14:paraId="77BEB6D2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color w:val="1F1F1F"/>
          <w:sz w:val="24"/>
        </w:rPr>
        <w:t xml:space="preserve"> </w:t>
      </w:r>
    </w:p>
    <w:p w14:paraId="6A787CF0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Fig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.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 S3 </w:t>
      </w:r>
      <w:r>
        <w:rPr>
          <w:rFonts w:ascii="Times New Roman" w:eastAsia="SimSun" w:hAnsi="Times New Roman" w:cs="Times New Roman"/>
          <w:color w:val="1F1F1F"/>
          <w:sz w:val="24"/>
        </w:rPr>
        <w:t>KEGG enrichment pathways of down regulated genes in OsSalT-OE lines</w:t>
      </w:r>
    </w:p>
    <w:p w14:paraId="2B5DFDB2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4FDA6ED4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Fig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 xml:space="preserve">. 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>S4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 xml:space="preserve"> </w:t>
      </w:r>
      <w:r>
        <w:rPr>
          <w:rFonts w:ascii="Times New Roman" w:eastAsia="SimSun" w:hAnsi="Times New Roman" w:cs="Times New Roman"/>
          <w:color w:val="1F1F1F"/>
          <w:sz w:val="24"/>
        </w:rPr>
        <w:t>Expression profile of genes related to ‘alpha-Linolenic acid metabolism’ metabolic pathways</w:t>
      </w:r>
    </w:p>
    <w:p w14:paraId="09DA9AB4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226D9D25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Fig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 xml:space="preserve">. 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S5 </w:t>
      </w:r>
      <w:r>
        <w:rPr>
          <w:rFonts w:ascii="Times New Roman" w:eastAsia="SimSun" w:hAnsi="Times New Roman" w:cs="Times New Roman"/>
          <w:color w:val="1F1F1F"/>
          <w:sz w:val="24"/>
        </w:rPr>
        <w:t>qRT-PCR analysis of alpha-Linolenic acid metabolism-related gene expression profiles by time crossing. The relative expression levels of three DEGs encoding loxF, AOC and ACAT4 were calculated according to the 2−ΔΔCt method using the ToUBQ gene as an internal reference gene. The leaves of tomato exposed to 0, 1, 2, 4, 6 days drought treatment were used for RNA extraction and RT-qPCR. The experiments were repeated three independent biological replicates. The detailed primer information is shown in Table S1</w:t>
      </w:r>
    </w:p>
    <w:p w14:paraId="62325F4B" w14:textId="77777777" w:rsidR="00B7245D" w:rsidRDefault="00B7245D" w:rsidP="00B7245D">
      <w:pPr>
        <w:rPr>
          <w:rFonts w:ascii="Times New Roman" w:eastAsia="SimSun" w:hAnsi="Times New Roman" w:cs="Times New Roman"/>
          <w:b/>
          <w:bCs/>
          <w:color w:val="1F1F1F"/>
          <w:sz w:val="24"/>
        </w:rPr>
      </w:pPr>
    </w:p>
    <w:p w14:paraId="417EABB2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 xml:space="preserve">Tab. S1 </w:t>
      </w:r>
      <w:r>
        <w:rPr>
          <w:rFonts w:ascii="Times New Roman" w:eastAsia="SimSun" w:hAnsi="Times New Roman" w:cs="Times New Roman" w:hint="eastAsia"/>
          <w:color w:val="1F1F1F"/>
          <w:sz w:val="24"/>
        </w:rPr>
        <w:t>Primer sequences required for this study.</w:t>
      </w:r>
    </w:p>
    <w:p w14:paraId="338D9146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590AFA74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Tab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 xml:space="preserve">. 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>S2</w:t>
      </w:r>
      <w:r>
        <w:rPr>
          <w:rFonts w:ascii="Times New Roman" w:eastAsia="SimSun" w:hAnsi="Times New Roman" w:cs="Times New Roman"/>
          <w:color w:val="1F1F1F"/>
          <w:sz w:val="24"/>
        </w:rPr>
        <w:t xml:space="preserve"> Summary of RNA-seq data</w:t>
      </w:r>
      <w:r>
        <w:rPr>
          <w:rFonts w:ascii="Times New Roman" w:eastAsia="SimSun" w:hAnsi="Times New Roman" w:cs="Times New Roman" w:hint="eastAsia"/>
          <w:color w:val="1F1F1F"/>
          <w:sz w:val="24"/>
        </w:rPr>
        <w:t>.</w:t>
      </w:r>
    </w:p>
    <w:p w14:paraId="15370DAF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7C14A85F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Tab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.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 S3</w:t>
      </w:r>
      <w:r>
        <w:rPr>
          <w:rFonts w:ascii="Times New Roman" w:eastAsia="SimSun" w:hAnsi="Times New Roman" w:cs="Times New Roman"/>
          <w:color w:val="1F1F1F"/>
          <w:sz w:val="24"/>
        </w:rPr>
        <w:t xml:space="preserve"> Enrichment of DEGs in GO term</w:t>
      </w:r>
      <w:r>
        <w:rPr>
          <w:rFonts w:ascii="Times New Roman" w:eastAsia="SimSun" w:hAnsi="Times New Roman" w:cs="Times New Roman" w:hint="eastAsia"/>
          <w:color w:val="1F1F1F"/>
          <w:sz w:val="24"/>
        </w:rPr>
        <w:t>.</w:t>
      </w:r>
    </w:p>
    <w:p w14:paraId="3F8C2E63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7FDC58C3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Tab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.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 S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4</w:t>
      </w:r>
      <w:r>
        <w:rPr>
          <w:rFonts w:ascii="Times New Roman" w:eastAsia="SimSun" w:hAnsi="Times New Roman" w:cs="Times New Roman"/>
          <w:color w:val="1F1F1F"/>
          <w:sz w:val="24"/>
        </w:rPr>
        <w:t xml:space="preserve"> Enrichment of DEGs in KEGG term</w:t>
      </w:r>
      <w:r>
        <w:rPr>
          <w:rFonts w:ascii="Times New Roman" w:eastAsia="SimSun" w:hAnsi="Times New Roman" w:cs="Times New Roman" w:hint="eastAsia"/>
          <w:color w:val="1F1F1F"/>
          <w:sz w:val="24"/>
        </w:rPr>
        <w:t>.</w:t>
      </w:r>
    </w:p>
    <w:p w14:paraId="43463803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</w:p>
    <w:p w14:paraId="77DF98A3" w14:textId="77777777" w:rsidR="00B7245D" w:rsidRDefault="00B7245D" w:rsidP="00B7245D">
      <w:pPr>
        <w:rPr>
          <w:rFonts w:ascii="Times New Roman" w:eastAsia="SimSun" w:hAnsi="Times New Roman" w:cs="Times New Roman"/>
          <w:color w:val="1F1F1F"/>
          <w:sz w:val="24"/>
        </w:rPr>
      </w:pPr>
      <w:r>
        <w:rPr>
          <w:rFonts w:ascii="Times New Roman" w:eastAsia="SimSun" w:hAnsi="Times New Roman" w:cs="Times New Roman"/>
          <w:b/>
          <w:bCs/>
          <w:color w:val="1F1F1F"/>
          <w:sz w:val="24"/>
        </w:rPr>
        <w:t>Tab</w:t>
      </w:r>
      <w:r>
        <w:rPr>
          <w:rFonts w:ascii="Times New Roman" w:eastAsia="SimSun" w:hAnsi="Times New Roman" w:cs="Times New Roman" w:hint="eastAsia"/>
          <w:b/>
          <w:bCs/>
          <w:color w:val="1F1F1F"/>
          <w:sz w:val="24"/>
        </w:rPr>
        <w:t>.</w:t>
      </w:r>
      <w:r>
        <w:rPr>
          <w:rFonts w:ascii="Times New Roman" w:eastAsia="SimSun" w:hAnsi="Times New Roman" w:cs="Times New Roman"/>
          <w:b/>
          <w:bCs/>
          <w:color w:val="1F1F1F"/>
          <w:sz w:val="24"/>
        </w:rPr>
        <w:t xml:space="preserve"> S5</w:t>
      </w:r>
      <w:r>
        <w:rPr>
          <w:rFonts w:ascii="Times New Roman" w:eastAsia="SimSun" w:hAnsi="Times New Roman" w:cs="Times New Roman"/>
          <w:color w:val="1F1F1F"/>
          <w:sz w:val="24"/>
        </w:rPr>
        <w:t xml:space="preserve"> Gene FPKM raw data </w:t>
      </w:r>
      <w:r>
        <w:rPr>
          <w:rFonts w:ascii="Times New Roman" w:eastAsia="SimSun" w:hAnsi="Times New Roman" w:cs="Times New Roman" w:hint="eastAsia"/>
          <w:color w:val="1F1F1F"/>
          <w:sz w:val="24"/>
        </w:rPr>
        <w:t>.</w:t>
      </w:r>
    </w:p>
    <w:p w14:paraId="2ACE1FAD" w14:textId="77777777" w:rsidR="00EB4A2D" w:rsidRDefault="00EB4A2D"/>
    <w:sectPr w:rsidR="00EB4A2D" w:rsidSect="00B7245D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3117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EFE55A" wp14:editId="083E979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EFA557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FE55A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7EFA557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1C2B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5D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B7245D"/>
    <w:rsid w:val="00BC4042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76BA"/>
  <w15:chartTrackingRefBased/>
  <w15:docId w15:val="{BFE56349-35A7-4B33-9C8D-A2E45754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45D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45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45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45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45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45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45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45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45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45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45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45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45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2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45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2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45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45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B724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sid w:val="00B7245D"/>
    <w:rPr>
      <w:rFonts w:eastAsiaTheme="minorEastAsia"/>
      <w:sz w:val="18"/>
      <w:szCs w:val="18"/>
      <w:lang w:val="en-US" w:eastAsia="zh-CN"/>
      <w14:ligatures w14:val="none"/>
    </w:rPr>
  </w:style>
  <w:style w:type="paragraph" w:styleId="Header">
    <w:name w:val="header"/>
    <w:basedOn w:val="Normal"/>
    <w:link w:val="HeaderChar"/>
    <w:qFormat/>
    <w:rsid w:val="00B72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B7245D"/>
    <w:rPr>
      <w:rFonts w:eastAsiaTheme="minorEastAsia"/>
      <w:sz w:val="18"/>
      <w:szCs w:val="18"/>
      <w:lang w:val="en-US"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7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2026-09-14T07:38:00Z</dcterms:created>
  <dcterms:modified xsi:type="dcterms:W3CDTF">2026-09-14T07:38:00Z</dcterms:modified>
</cp:coreProperties>
</file>