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62A29F" w14:textId="77777777" w:rsidR="00E8561A" w:rsidRPr="00E8561A" w:rsidRDefault="00E8561A" w:rsidP="00E8561A">
      <w:pPr>
        <w:spacing w:line="480" w:lineRule="auto"/>
        <w:jc w:val="both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ru-RU"/>
          <w14:ligatures w14:val="none"/>
        </w:rPr>
      </w:pPr>
    </w:p>
    <w:p w14:paraId="7EBD8D3D" w14:textId="77777777" w:rsidR="00E8561A" w:rsidRDefault="00E8561A" w:rsidP="00E8561A">
      <w:pPr>
        <w:spacing w:line="480" w:lineRule="auto"/>
        <w:jc w:val="both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ru-RU"/>
          <w14:ligatures w14:val="none"/>
        </w:rPr>
      </w:pPr>
      <w:r w:rsidRPr="00E8561A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ru-RU"/>
          <w14:ligatures w14:val="none"/>
        </w:rPr>
        <w:t xml:space="preserve">Supplementary materials. </w:t>
      </w:r>
    </w:p>
    <w:p w14:paraId="38A8AB30" w14:textId="2FD0F7C2" w:rsidR="00E8561A" w:rsidRPr="00E8561A" w:rsidRDefault="00E8561A" w:rsidP="00E8561A">
      <w:pPr>
        <w:spacing w:line="480" w:lineRule="auto"/>
        <w:jc w:val="both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ru-RU"/>
          <w14:ligatures w14:val="none"/>
        </w:rPr>
      </w:pPr>
      <w:r w:rsidRPr="00E8561A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ru-RU"/>
          <w14:ligatures w14:val="none"/>
        </w:rPr>
        <w:br/>
      </w:r>
      <w:r w:rsidRPr="00E8561A">
        <w:rPr>
          <w:rFonts w:ascii="Arial" w:eastAsia="Arial" w:hAnsi="Arial" w:cs="Arial"/>
          <w:color w:val="000000"/>
          <w:kern w:val="0"/>
          <w:sz w:val="20"/>
          <w:szCs w:val="20"/>
          <w:lang w:eastAsia="ru-RU"/>
          <w14:ligatures w14:val="none"/>
        </w:rPr>
        <w:t xml:space="preserve">Supplementary table 1. Pathological outcomes by f-BN / </w:t>
      </w:r>
      <w:proofErr w:type="spellStart"/>
      <w:r w:rsidRPr="00E8561A">
        <w:rPr>
          <w:rFonts w:ascii="Arial" w:eastAsia="Arial" w:hAnsi="Arial" w:cs="Arial"/>
          <w:color w:val="000000"/>
          <w:kern w:val="0"/>
          <w:sz w:val="20"/>
          <w:szCs w:val="20"/>
          <w:lang w:eastAsia="ru-RU"/>
          <w14:ligatures w14:val="none"/>
        </w:rPr>
        <w:t>i</w:t>
      </w:r>
      <w:proofErr w:type="spellEnd"/>
      <w:r w:rsidRPr="00E8561A">
        <w:rPr>
          <w:rFonts w:ascii="Arial" w:eastAsia="Arial" w:hAnsi="Arial" w:cs="Arial"/>
          <w:color w:val="000000"/>
          <w:kern w:val="0"/>
          <w:sz w:val="20"/>
          <w:szCs w:val="20"/>
          <w:lang w:eastAsia="ru-RU"/>
          <w14:ligatures w14:val="none"/>
        </w:rPr>
        <w:t>-BN concordance group (unifocal subgroup; n=3</w:t>
      </w:r>
      <w:r w:rsidRPr="00E8561A">
        <w:rPr>
          <w:rFonts w:ascii="Arial" w:eastAsia="Arial" w:hAnsi="Arial" w:cs="Arial"/>
          <w:color w:val="000000"/>
          <w:kern w:val="0"/>
          <w:sz w:val="20"/>
          <w:szCs w:val="20"/>
          <w:lang w:val="en-US" w:eastAsia="ru-RU"/>
          <w14:ligatures w14:val="none"/>
        </w:rPr>
        <w:t>68</w:t>
      </w:r>
      <w:r w:rsidRPr="00E8561A">
        <w:rPr>
          <w:rFonts w:ascii="Arial" w:eastAsia="Arial" w:hAnsi="Arial" w:cs="Arial"/>
          <w:color w:val="000000"/>
          <w:kern w:val="0"/>
          <w:sz w:val="20"/>
          <w:szCs w:val="20"/>
          <w:lang w:eastAsia="ru-RU"/>
          <w14:ligatures w14:val="none"/>
        </w:rPr>
        <w:t xml:space="preserve"> who underwent </w:t>
      </w:r>
      <w:proofErr w:type="spellStart"/>
      <w:r w:rsidRPr="00E8561A">
        <w:rPr>
          <w:rFonts w:ascii="Arial" w:eastAsia="Arial" w:hAnsi="Arial" w:cs="Arial"/>
          <w:color w:val="000000"/>
          <w:kern w:val="0"/>
          <w:sz w:val="20"/>
          <w:szCs w:val="20"/>
          <w:lang w:eastAsia="ru-RU"/>
          <w14:ligatures w14:val="none"/>
        </w:rPr>
        <w:t>ePLND</w:t>
      </w:r>
      <w:proofErr w:type="spellEnd"/>
      <w:r w:rsidRPr="00E8561A">
        <w:rPr>
          <w:rFonts w:ascii="Arial" w:eastAsia="Arial" w:hAnsi="Arial" w:cs="Arial"/>
          <w:color w:val="000000"/>
          <w:kern w:val="0"/>
          <w:sz w:val="20"/>
          <w:szCs w:val="20"/>
          <w:lang w:eastAsia="ru-RU"/>
          <w14:ligatures w14:val="none"/>
        </w:rPr>
        <w:t>).</w:t>
      </w:r>
    </w:p>
    <w:tbl>
      <w:tblPr>
        <w:tblStyle w:val="ac"/>
        <w:tblW w:w="9000" w:type="dxa"/>
        <w:tblLook w:val="04A0" w:firstRow="1" w:lastRow="0" w:firstColumn="1" w:lastColumn="0" w:noHBand="0" w:noVBand="1"/>
      </w:tblPr>
      <w:tblGrid>
        <w:gridCol w:w="2830"/>
        <w:gridCol w:w="670"/>
        <w:gridCol w:w="890"/>
        <w:gridCol w:w="1310"/>
        <w:gridCol w:w="1100"/>
        <w:gridCol w:w="1100"/>
        <w:gridCol w:w="1100"/>
      </w:tblGrid>
      <w:tr w:rsidR="00E8561A" w:rsidRPr="00E8561A" w14:paraId="1C235E36" w14:textId="77777777" w:rsidTr="00213332">
        <w:tc>
          <w:tcPr>
            <w:tcW w:w="2830" w:type="dxa"/>
          </w:tcPr>
          <w:p w14:paraId="39BC1632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Concordance group (n=3</w:t>
            </w:r>
            <w:r w:rsidRPr="00E8561A">
              <w:rPr>
                <w:color w:val="000000"/>
                <w:sz w:val="18"/>
                <w:szCs w:val="18"/>
                <w:lang w:val="ru-RU"/>
              </w:rPr>
              <w:t xml:space="preserve">68 </w:t>
            </w:r>
            <w:proofErr w:type="spellStart"/>
            <w:r w:rsidRPr="00E8561A">
              <w:rPr>
                <w:color w:val="000000"/>
                <w:sz w:val="18"/>
                <w:szCs w:val="18"/>
              </w:rPr>
              <w:t>ePLND</w:t>
            </w:r>
            <w:proofErr w:type="spellEnd"/>
            <w:r w:rsidRPr="00E8561A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670" w:type="dxa"/>
          </w:tcPr>
          <w:p w14:paraId="7FAC5A1F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890" w:type="dxa"/>
          </w:tcPr>
          <w:p w14:paraId="120A4EED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b/>
                <w:bCs/>
                <w:color w:val="000000"/>
                <w:sz w:val="18"/>
                <w:szCs w:val="18"/>
              </w:rPr>
              <w:t>pN1 (%)</w:t>
            </w:r>
          </w:p>
        </w:tc>
        <w:tc>
          <w:tcPr>
            <w:tcW w:w="1310" w:type="dxa"/>
          </w:tcPr>
          <w:p w14:paraId="308290B9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b/>
                <w:bCs/>
                <w:color w:val="000000"/>
                <w:sz w:val="18"/>
                <w:szCs w:val="18"/>
              </w:rPr>
              <w:t>pT3 (%)</w:t>
            </w:r>
          </w:p>
        </w:tc>
        <w:tc>
          <w:tcPr>
            <w:tcW w:w="1100" w:type="dxa"/>
          </w:tcPr>
          <w:p w14:paraId="1BF6CCA5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b/>
                <w:bCs/>
                <w:color w:val="000000"/>
                <w:sz w:val="18"/>
                <w:szCs w:val="18"/>
              </w:rPr>
              <w:t>SM+ (%)</w:t>
            </w:r>
          </w:p>
        </w:tc>
        <w:tc>
          <w:tcPr>
            <w:tcW w:w="1100" w:type="dxa"/>
          </w:tcPr>
          <w:p w14:paraId="66159BB3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b/>
                <w:bCs/>
                <w:color w:val="000000"/>
                <w:sz w:val="18"/>
                <w:szCs w:val="18"/>
              </w:rPr>
              <w:t>ECE (%)</w:t>
            </w:r>
          </w:p>
        </w:tc>
        <w:tc>
          <w:tcPr>
            <w:tcW w:w="1100" w:type="dxa"/>
          </w:tcPr>
          <w:p w14:paraId="6602FFFC" w14:textId="77777777" w:rsidR="00E8561A" w:rsidRPr="00E8561A" w:rsidRDefault="00E8561A" w:rsidP="00E8561A">
            <w:pPr>
              <w:spacing w:line="48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E8561A">
              <w:rPr>
                <w:b/>
                <w:bCs/>
                <w:color w:val="000000"/>
                <w:sz w:val="18"/>
                <w:szCs w:val="18"/>
              </w:rPr>
              <w:t>SVI (%)</w:t>
            </w:r>
          </w:p>
        </w:tc>
      </w:tr>
      <w:tr w:rsidR="00E8561A" w:rsidRPr="00E8561A" w14:paraId="1E620E39" w14:textId="77777777" w:rsidTr="00213332">
        <w:tc>
          <w:tcPr>
            <w:tcW w:w="2830" w:type="dxa"/>
          </w:tcPr>
          <w:p w14:paraId="13E1F42B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 xml:space="preserve">Both below threshold (both omit </w:t>
            </w:r>
            <w:proofErr w:type="spellStart"/>
            <w:r w:rsidRPr="00E8561A">
              <w:rPr>
                <w:color w:val="000000"/>
                <w:sz w:val="18"/>
                <w:szCs w:val="18"/>
              </w:rPr>
              <w:t>ePLND</w:t>
            </w:r>
            <w:proofErr w:type="spellEnd"/>
            <w:r w:rsidRPr="00E8561A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670" w:type="dxa"/>
          </w:tcPr>
          <w:p w14:paraId="5E60D216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890" w:type="dxa"/>
          </w:tcPr>
          <w:p w14:paraId="4368863C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b/>
                <w:bCs/>
                <w:color w:val="000000"/>
                <w:sz w:val="18"/>
                <w:szCs w:val="18"/>
              </w:rPr>
              <w:t>2.8</w:t>
            </w:r>
          </w:p>
        </w:tc>
        <w:tc>
          <w:tcPr>
            <w:tcW w:w="1310" w:type="dxa"/>
          </w:tcPr>
          <w:p w14:paraId="1BF28963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22.2</w:t>
            </w:r>
          </w:p>
        </w:tc>
        <w:tc>
          <w:tcPr>
            <w:tcW w:w="1100" w:type="dxa"/>
          </w:tcPr>
          <w:p w14:paraId="428D496C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17.6</w:t>
            </w:r>
          </w:p>
        </w:tc>
        <w:tc>
          <w:tcPr>
            <w:tcW w:w="1100" w:type="dxa"/>
          </w:tcPr>
          <w:p w14:paraId="41467F63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17.2</w:t>
            </w:r>
          </w:p>
        </w:tc>
        <w:tc>
          <w:tcPr>
            <w:tcW w:w="1100" w:type="dxa"/>
          </w:tcPr>
          <w:p w14:paraId="4891D9EC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9.4</w:t>
            </w:r>
          </w:p>
        </w:tc>
      </w:tr>
      <w:tr w:rsidR="00E8561A" w:rsidRPr="00E8561A" w14:paraId="0867746E" w14:textId="77777777" w:rsidTr="00213332">
        <w:tc>
          <w:tcPr>
            <w:tcW w:w="2830" w:type="dxa"/>
          </w:tcPr>
          <w:p w14:paraId="32C8723B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 xml:space="preserve">Both above threshold (both recommend </w:t>
            </w:r>
            <w:proofErr w:type="spellStart"/>
            <w:r w:rsidRPr="00E8561A">
              <w:rPr>
                <w:color w:val="000000"/>
                <w:sz w:val="18"/>
                <w:szCs w:val="18"/>
              </w:rPr>
              <w:t>ePLND</w:t>
            </w:r>
            <w:proofErr w:type="spellEnd"/>
            <w:r w:rsidRPr="00E8561A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670" w:type="dxa"/>
          </w:tcPr>
          <w:p w14:paraId="4ED30CE3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890" w:type="dxa"/>
          </w:tcPr>
          <w:p w14:paraId="11A236EF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b/>
                <w:bCs/>
                <w:color w:val="000000"/>
                <w:sz w:val="18"/>
                <w:szCs w:val="18"/>
              </w:rPr>
              <w:t>15.6</w:t>
            </w:r>
          </w:p>
        </w:tc>
        <w:tc>
          <w:tcPr>
            <w:tcW w:w="1310" w:type="dxa"/>
          </w:tcPr>
          <w:p w14:paraId="172239D5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40.8</w:t>
            </w:r>
          </w:p>
        </w:tc>
        <w:tc>
          <w:tcPr>
            <w:tcW w:w="1100" w:type="dxa"/>
          </w:tcPr>
          <w:p w14:paraId="17114D0A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34.3</w:t>
            </w:r>
          </w:p>
        </w:tc>
        <w:tc>
          <w:tcPr>
            <w:tcW w:w="1100" w:type="dxa"/>
          </w:tcPr>
          <w:p w14:paraId="0DC53601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43.5</w:t>
            </w:r>
          </w:p>
        </w:tc>
        <w:tc>
          <w:tcPr>
            <w:tcW w:w="1100" w:type="dxa"/>
          </w:tcPr>
          <w:p w14:paraId="61B56EC5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20.9</w:t>
            </w:r>
          </w:p>
        </w:tc>
      </w:tr>
      <w:tr w:rsidR="00E8561A" w:rsidRPr="00E8561A" w14:paraId="167ADB22" w14:textId="77777777" w:rsidTr="00213332">
        <w:tc>
          <w:tcPr>
            <w:tcW w:w="2830" w:type="dxa"/>
          </w:tcPr>
          <w:p w14:paraId="03EA52EB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Only f-BN above threshold</w:t>
            </w:r>
          </w:p>
        </w:tc>
        <w:tc>
          <w:tcPr>
            <w:tcW w:w="670" w:type="dxa"/>
          </w:tcPr>
          <w:p w14:paraId="4F7BA244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90" w:type="dxa"/>
          </w:tcPr>
          <w:p w14:paraId="550CDA93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1310" w:type="dxa"/>
          </w:tcPr>
          <w:p w14:paraId="692A2B5E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60.0</w:t>
            </w:r>
          </w:p>
        </w:tc>
        <w:tc>
          <w:tcPr>
            <w:tcW w:w="1100" w:type="dxa"/>
          </w:tcPr>
          <w:p w14:paraId="11CE998E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66.7</w:t>
            </w:r>
          </w:p>
        </w:tc>
        <w:tc>
          <w:tcPr>
            <w:tcW w:w="1100" w:type="dxa"/>
          </w:tcPr>
          <w:p w14:paraId="3DE59F59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00" w:type="dxa"/>
          </w:tcPr>
          <w:p w14:paraId="2D1EED1A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0</w:t>
            </w:r>
          </w:p>
        </w:tc>
      </w:tr>
      <w:tr w:rsidR="00E8561A" w:rsidRPr="00E8561A" w14:paraId="50D7C4EF" w14:textId="77777777" w:rsidTr="00213332">
        <w:tc>
          <w:tcPr>
            <w:tcW w:w="2830" w:type="dxa"/>
          </w:tcPr>
          <w:p w14:paraId="02357548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 xml:space="preserve">Only </w:t>
            </w:r>
            <w:proofErr w:type="spellStart"/>
            <w:r w:rsidRPr="00E8561A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E8561A">
              <w:rPr>
                <w:color w:val="000000"/>
                <w:sz w:val="18"/>
                <w:szCs w:val="18"/>
              </w:rPr>
              <w:t>-BN above threshold</w:t>
            </w:r>
          </w:p>
        </w:tc>
        <w:tc>
          <w:tcPr>
            <w:tcW w:w="670" w:type="dxa"/>
          </w:tcPr>
          <w:p w14:paraId="57E0FB09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90" w:type="dxa"/>
          </w:tcPr>
          <w:p w14:paraId="6D0B64BB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10" w:type="dxa"/>
          </w:tcPr>
          <w:p w14:paraId="69245051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00" w:type="dxa"/>
          </w:tcPr>
          <w:p w14:paraId="312A3354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00" w:type="dxa"/>
          </w:tcPr>
          <w:p w14:paraId="3AFFF9AE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00" w:type="dxa"/>
          </w:tcPr>
          <w:p w14:paraId="091A4BBA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0</w:t>
            </w:r>
          </w:p>
        </w:tc>
      </w:tr>
    </w:tbl>
    <w:p w14:paraId="00AADEAB" w14:textId="77777777" w:rsidR="00E8561A" w:rsidRPr="00E8561A" w:rsidRDefault="00E8561A" w:rsidP="00E8561A">
      <w:pPr>
        <w:spacing w:line="480" w:lineRule="auto"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ru-RU"/>
          <w14:ligatures w14:val="none"/>
        </w:rPr>
      </w:pPr>
      <w:r w:rsidRPr="00E8561A">
        <w:rPr>
          <w:rFonts w:ascii="Arial" w:eastAsia="Arial" w:hAnsi="Arial" w:cs="Arial"/>
          <w:color w:val="000000"/>
          <w:kern w:val="0"/>
          <w:sz w:val="16"/>
          <w:szCs w:val="16"/>
          <w:lang w:eastAsia="ru-RU"/>
          <w14:ligatures w14:val="none"/>
        </w:rPr>
        <w:t xml:space="preserve">SM+ = positive surgical margin; ECE = extracapsular extension, SVI – seminal vesicle invasion. pN1 rates in the two discordant groups are based on small denominators (both n=5) and should be interpreted with caution. </w:t>
      </w:r>
    </w:p>
    <w:p w14:paraId="49F9A381" w14:textId="77777777" w:rsidR="002B0F31" w:rsidRPr="002B0F31" w:rsidRDefault="002B0F31" w:rsidP="002B0F31">
      <w:pPr>
        <w:spacing w:line="480" w:lineRule="auto"/>
        <w:jc w:val="both"/>
        <w:rPr>
          <w:rFonts w:ascii="Arial" w:hAnsi="Arial" w:cs="Arial"/>
        </w:rPr>
      </w:pPr>
      <w:r w:rsidRPr="002B0F31">
        <w:rPr>
          <w:rFonts w:ascii="Arial" w:hAnsi="Arial" w:cs="Arial"/>
        </w:rPr>
        <w:t>Pathological outcomes (pN1, pT3, positive surgical margins, ECE, SVI) stratified by full-bilateral (f-BN) versus ipsilateral-only (</w:t>
      </w:r>
      <w:proofErr w:type="spellStart"/>
      <w:r w:rsidRPr="002B0F31">
        <w:rPr>
          <w:rFonts w:ascii="Arial" w:hAnsi="Arial" w:cs="Arial"/>
        </w:rPr>
        <w:t>i</w:t>
      </w:r>
      <w:proofErr w:type="spellEnd"/>
      <w:r w:rsidRPr="002B0F31">
        <w:rPr>
          <w:rFonts w:ascii="Arial" w:hAnsi="Arial" w:cs="Arial"/>
        </w:rPr>
        <w:t xml:space="preserve">-BN) Briganti nomogram concordance group in the unifocal subgroup (n=368 who underwent </w:t>
      </w:r>
      <w:proofErr w:type="spellStart"/>
      <w:r w:rsidRPr="002B0F31">
        <w:rPr>
          <w:rFonts w:ascii="Arial" w:hAnsi="Arial" w:cs="Arial"/>
        </w:rPr>
        <w:t>ePLND</w:t>
      </w:r>
      <w:proofErr w:type="spellEnd"/>
      <w:r w:rsidRPr="002B0F31">
        <w:rPr>
          <w:rFonts w:ascii="Arial" w:hAnsi="Arial" w:cs="Arial"/>
        </w:rPr>
        <w:t>). Discordant groups are based on small denominators (n=5 each)</w:t>
      </w:r>
    </w:p>
    <w:p w14:paraId="3D68EC07" w14:textId="77777777" w:rsidR="002B0F31" w:rsidRDefault="002B0F31">
      <w:r>
        <w:br w:type="page"/>
      </w:r>
    </w:p>
    <w:p w14:paraId="2064E258" w14:textId="163A0C06" w:rsidR="00E8561A" w:rsidRPr="002B0F31" w:rsidRDefault="00E8561A" w:rsidP="002B0F31">
      <w:pPr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ru-RU"/>
          <w14:ligatures w14:val="none"/>
        </w:rPr>
      </w:pPr>
      <w:r w:rsidRPr="00E8561A">
        <w:rPr>
          <w:rFonts w:ascii="Arial" w:eastAsia="Arial" w:hAnsi="Arial" w:cs="Arial"/>
          <w:color w:val="000000"/>
          <w:kern w:val="0"/>
          <w:sz w:val="20"/>
          <w:szCs w:val="20"/>
          <w:lang w:eastAsia="ru-RU"/>
          <w14:ligatures w14:val="none"/>
        </w:rPr>
        <w:lastRenderedPageBreak/>
        <w:t xml:space="preserve">Supplementary table 2. Diagnostic performance of f-BN and </w:t>
      </w:r>
      <w:proofErr w:type="spellStart"/>
      <w:r w:rsidRPr="00E8561A">
        <w:rPr>
          <w:rFonts w:ascii="Arial" w:eastAsia="Arial" w:hAnsi="Arial" w:cs="Arial"/>
          <w:color w:val="000000"/>
          <w:kern w:val="0"/>
          <w:sz w:val="20"/>
          <w:szCs w:val="20"/>
          <w:lang w:eastAsia="ru-RU"/>
          <w14:ligatures w14:val="none"/>
        </w:rPr>
        <w:t>i</w:t>
      </w:r>
      <w:proofErr w:type="spellEnd"/>
      <w:r w:rsidRPr="00E8561A">
        <w:rPr>
          <w:rFonts w:ascii="Arial" w:eastAsia="Arial" w:hAnsi="Arial" w:cs="Arial"/>
          <w:color w:val="000000"/>
          <w:kern w:val="0"/>
          <w:sz w:val="20"/>
          <w:szCs w:val="20"/>
          <w:lang w:eastAsia="ru-RU"/>
          <w14:ligatures w14:val="none"/>
        </w:rPr>
        <w:t>-BN for LNI prediction (multifocal subgroup</w:t>
      </w:r>
      <w:r w:rsidR="002B0F31">
        <w:rPr>
          <w:rFonts w:ascii="Arial" w:eastAsia="Arial" w:hAnsi="Arial" w:cs="Arial"/>
          <w:color w:val="000000"/>
          <w:kern w:val="0"/>
          <w:sz w:val="20"/>
          <w:szCs w:val="20"/>
          <w:lang w:eastAsia="ru-RU"/>
          <w14:ligatures w14:val="none"/>
        </w:rPr>
        <w:t xml:space="preserve"> </w:t>
      </w:r>
      <w:r w:rsidRPr="00E8561A">
        <w:rPr>
          <w:rFonts w:ascii="Arial" w:eastAsia="Arial" w:hAnsi="Arial" w:cs="Arial"/>
          <w:color w:val="000000"/>
          <w:kern w:val="0"/>
          <w:sz w:val="20"/>
          <w:szCs w:val="20"/>
          <w:lang w:eastAsia="ru-RU"/>
          <w14:ligatures w14:val="none"/>
        </w:rPr>
        <w:t>n=57</w:t>
      </w:r>
      <w:r w:rsidR="002B0F31">
        <w:rPr>
          <w:rFonts w:ascii="Arial" w:eastAsia="Arial" w:hAnsi="Arial" w:cs="Arial"/>
          <w:color w:val="000000"/>
          <w:kern w:val="0"/>
          <w:sz w:val="20"/>
          <w:szCs w:val="20"/>
          <w:lang w:val="en-US" w:eastAsia="ru-RU"/>
          <w14:ligatures w14:val="none"/>
        </w:rPr>
        <w:t xml:space="preserve">; </w:t>
      </w:r>
      <w:r w:rsidRPr="00E8561A">
        <w:rPr>
          <w:rFonts w:ascii="Arial" w:eastAsia="Arial" w:hAnsi="Arial" w:cs="Arial"/>
          <w:color w:val="000000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8561A">
        <w:rPr>
          <w:rFonts w:ascii="Arial" w:eastAsia="Arial" w:hAnsi="Arial" w:cs="Arial"/>
          <w:color w:val="000000"/>
          <w:kern w:val="0"/>
          <w:sz w:val="20"/>
          <w:szCs w:val="20"/>
          <w:lang w:eastAsia="ru-RU"/>
          <w14:ligatures w14:val="none"/>
        </w:rPr>
        <w:t>ePLND</w:t>
      </w:r>
      <w:proofErr w:type="spellEnd"/>
      <w:r w:rsidRPr="00E8561A">
        <w:rPr>
          <w:rFonts w:ascii="Arial" w:eastAsia="Arial" w:hAnsi="Arial" w:cs="Arial"/>
          <w:color w:val="000000"/>
          <w:kern w:val="0"/>
          <w:sz w:val="20"/>
          <w:szCs w:val="20"/>
          <w:lang w:eastAsia="ru-RU"/>
          <w14:ligatures w14:val="none"/>
        </w:rPr>
        <w:t xml:space="preserve"> performed</w:t>
      </w:r>
      <w:r w:rsidR="002B0F31">
        <w:rPr>
          <w:rFonts w:ascii="Arial" w:eastAsia="Arial" w:hAnsi="Arial" w:cs="Arial"/>
          <w:color w:val="000000"/>
          <w:kern w:val="0"/>
          <w:sz w:val="20"/>
          <w:szCs w:val="20"/>
          <w:lang w:eastAsia="ru-RU"/>
          <w14:ligatures w14:val="none"/>
        </w:rPr>
        <w:t xml:space="preserve"> n=27</w:t>
      </w:r>
      <w:r w:rsidRPr="00E8561A">
        <w:rPr>
          <w:rFonts w:ascii="Arial" w:eastAsia="Arial" w:hAnsi="Arial" w:cs="Arial"/>
          <w:color w:val="000000"/>
          <w:kern w:val="0"/>
          <w:sz w:val="20"/>
          <w:szCs w:val="20"/>
          <w:lang w:eastAsia="ru-RU"/>
          <w14:ligatures w14:val="none"/>
        </w:rPr>
        <w:t>; pN1=6).</w:t>
      </w:r>
    </w:p>
    <w:tbl>
      <w:tblPr>
        <w:tblStyle w:val="ac"/>
        <w:tblW w:w="9067" w:type="dxa"/>
        <w:tblLook w:val="04A0" w:firstRow="1" w:lastRow="0" w:firstColumn="1" w:lastColumn="0" w:noHBand="0" w:noVBand="1"/>
      </w:tblPr>
      <w:tblGrid>
        <w:gridCol w:w="3397"/>
        <w:gridCol w:w="2694"/>
        <w:gridCol w:w="2976"/>
      </w:tblGrid>
      <w:tr w:rsidR="00E8561A" w:rsidRPr="00E8561A" w14:paraId="7763B2B7" w14:textId="77777777" w:rsidTr="00213332">
        <w:trPr>
          <w:trHeight w:val="293"/>
        </w:trPr>
        <w:tc>
          <w:tcPr>
            <w:tcW w:w="3397" w:type="dxa"/>
          </w:tcPr>
          <w:p w14:paraId="594C0AB5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b/>
                <w:bCs/>
                <w:color w:val="000000"/>
                <w:sz w:val="18"/>
                <w:szCs w:val="18"/>
              </w:rPr>
              <w:t>Metrics</w:t>
            </w:r>
          </w:p>
        </w:tc>
        <w:tc>
          <w:tcPr>
            <w:tcW w:w="2694" w:type="dxa"/>
          </w:tcPr>
          <w:p w14:paraId="55439932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b/>
                <w:bCs/>
                <w:color w:val="000000"/>
                <w:sz w:val="18"/>
                <w:szCs w:val="18"/>
              </w:rPr>
              <w:t>f-BN</w:t>
            </w:r>
          </w:p>
        </w:tc>
        <w:tc>
          <w:tcPr>
            <w:tcW w:w="2976" w:type="dxa"/>
          </w:tcPr>
          <w:p w14:paraId="1D58EC08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E8561A">
              <w:rPr>
                <w:b/>
                <w:bCs/>
                <w:color w:val="000000"/>
                <w:sz w:val="18"/>
                <w:szCs w:val="18"/>
              </w:rPr>
              <w:t>i</w:t>
            </w:r>
            <w:proofErr w:type="spellEnd"/>
            <w:r w:rsidRPr="00E8561A">
              <w:rPr>
                <w:b/>
                <w:bCs/>
                <w:color w:val="000000"/>
                <w:sz w:val="18"/>
                <w:szCs w:val="18"/>
              </w:rPr>
              <w:t>-BN</w:t>
            </w:r>
          </w:p>
        </w:tc>
      </w:tr>
      <w:tr w:rsidR="00E8561A" w:rsidRPr="00E8561A" w14:paraId="0138B527" w14:textId="77777777" w:rsidTr="00213332">
        <w:tc>
          <w:tcPr>
            <w:tcW w:w="3397" w:type="dxa"/>
          </w:tcPr>
          <w:p w14:paraId="46CBFF15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True positives (pN1)</w:t>
            </w:r>
          </w:p>
        </w:tc>
        <w:tc>
          <w:tcPr>
            <w:tcW w:w="2694" w:type="dxa"/>
          </w:tcPr>
          <w:p w14:paraId="1B0591FC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6/27</w:t>
            </w:r>
          </w:p>
        </w:tc>
        <w:tc>
          <w:tcPr>
            <w:tcW w:w="2976" w:type="dxa"/>
          </w:tcPr>
          <w:p w14:paraId="3FBE43B8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6/27</w:t>
            </w:r>
          </w:p>
        </w:tc>
      </w:tr>
      <w:tr w:rsidR="00E8561A" w:rsidRPr="00E8561A" w14:paraId="279C1033" w14:textId="77777777" w:rsidTr="00213332">
        <w:tc>
          <w:tcPr>
            <w:tcW w:w="3397" w:type="dxa"/>
          </w:tcPr>
          <w:p w14:paraId="778A3B55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True negatives (pN0)</w:t>
            </w:r>
          </w:p>
        </w:tc>
        <w:tc>
          <w:tcPr>
            <w:tcW w:w="2694" w:type="dxa"/>
          </w:tcPr>
          <w:p w14:paraId="0D13257E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4/27</w:t>
            </w:r>
          </w:p>
        </w:tc>
        <w:tc>
          <w:tcPr>
            <w:tcW w:w="2976" w:type="dxa"/>
          </w:tcPr>
          <w:p w14:paraId="32920A26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4/27</w:t>
            </w:r>
          </w:p>
        </w:tc>
      </w:tr>
      <w:tr w:rsidR="00E8561A" w:rsidRPr="00E8561A" w14:paraId="1F685564" w14:textId="77777777" w:rsidTr="00213332">
        <w:tc>
          <w:tcPr>
            <w:tcW w:w="3397" w:type="dxa"/>
          </w:tcPr>
          <w:p w14:paraId="29263771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False positive (pN0 above threshold)</w:t>
            </w:r>
          </w:p>
        </w:tc>
        <w:tc>
          <w:tcPr>
            <w:tcW w:w="2694" w:type="dxa"/>
          </w:tcPr>
          <w:p w14:paraId="3A29A565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17/27</w:t>
            </w:r>
          </w:p>
        </w:tc>
        <w:tc>
          <w:tcPr>
            <w:tcW w:w="2976" w:type="dxa"/>
          </w:tcPr>
          <w:p w14:paraId="6ABAE822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17/27</w:t>
            </w:r>
          </w:p>
        </w:tc>
      </w:tr>
      <w:tr w:rsidR="00E8561A" w:rsidRPr="00E8561A" w14:paraId="1086F627" w14:textId="77777777" w:rsidTr="00213332">
        <w:tc>
          <w:tcPr>
            <w:tcW w:w="3397" w:type="dxa"/>
          </w:tcPr>
          <w:p w14:paraId="00A0AC88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False negative (pN1 below threshold)</w:t>
            </w:r>
          </w:p>
        </w:tc>
        <w:tc>
          <w:tcPr>
            <w:tcW w:w="2694" w:type="dxa"/>
          </w:tcPr>
          <w:p w14:paraId="2F0790A9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0/27</w:t>
            </w:r>
          </w:p>
        </w:tc>
        <w:tc>
          <w:tcPr>
            <w:tcW w:w="2976" w:type="dxa"/>
          </w:tcPr>
          <w:p w14:paraId="50456029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0/27</w:t>
            </w:r>
          </w:p>
        </w:tc>
      </w:tr>
      <w:tr w:rsidR="00E8561A" w:rsidRPr="00E8561A" w14:paraId="108AD919" w14:textId="77777777" w:rsidTr="00213332">
        <w:tc>
          <w:tcPr>
            <w:tcW w:w="3397" w:type="dxa"/>
          </w:tcPr>
          <w:p w14:paraId="249DEB98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 xml:space="preserve">Accuracy </w:t>
            </w:r>
          </w:p>
        </w:tc>
        <w:tc>
          <w:tcPr>
            <w:tcW w:w="2694" w:type="dxa"/>
          </w:tcPr>
          <w:p w14:paraId="5963ED40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37.0%</w:t>
            </w:r>
          </w:p>
        </w:tc>
        <w:tc>
          <w:tcPr>
            <w:tcW w:w="2976" w:type="dxa"/>
          </w:tcPr>
          <w:p w14:paraId="69919194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37.0%</w:t>
            </w:r>
          </w:p>
        </w:tc>
      </w:tr>
      <w:tr w:rsidR="00E8561A" w:rsidRPr="00E8561A" w14:paraId="7515D2F0" w14:textId="77777777" w:rsidTr="00213332">
        <w:tc>
          <w:tcPr>
            <w:tcW w:w="3397" w:type="dxa"/>
          </w:tcPr>
          <w:p w14:paraId="39B75100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 xml:space="preserve">Sensitivity </w:t>
            </w:r>
          </w:p>
        </w:tc>
        <w:tc>
          <w:tcPr>
            <w:tcW w:w="2694" w:type="dxa"/>
          </w:tcPr>
          <w:p w14:paraId="48AB3A53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100%</w:t>
            </w:r>
          </w:p>
        </w:tc>
        <w:tc>
          <w:tcPr>
            <w:tcW w:w="2976" w:type="dxa"/>
          </w:tcPr>
          <w:p w14:paraId="6BE96D5F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E8561A" w:rsidRPr="00E8561A" w14:paraId="338BB357" w14:textId="77777777" w:rsidTr="00213332">
        <w:tc>
          <w:tcPr>
            <w:tcW w:w="3397" w:type="dxa"/>
          </w:tcPr>
          <w:p w14:paraId="614A43F0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Specificity</w:t>
            </w:r>
          </w:p>
        </w:tc>
        <w:tc>
          <w:tcPr>
            <w:tcW w:w="2694" w:type="dxa"/>
          </w:tcPr>
          <w:p w14:paraId="791D26AD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19%</w:t>
            </w:r>
          </w:p>
        </w:tc>
        <w:tc>
          <w:tcPr>
            <w:tcW w:w="2976" w:type="dxa"/>
          </w:tcPr>
          <w:p w14:paraId="6E61A88A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19%</w:t>
            </w:r>
          </w:p>
        </w:tc>
      </w:tr>
      <w:tr w:rsidR="00E8561A" w:rsidRPr="00E8561A" w14:paraId="6BAB6E6D" w14:textId="77777777" w:rsidTr="00213332">
        <w:tc>
          <w:tcPr>
            <w:tcW w:w="3397" w:type="dxa"/>
          </w:tcPr>
          <w:p w14:paraId="116BD82A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PPV</w:t>
            </w:r>
          </w:p>
        </w:tc>
        <w:tc>
          <w:tcPr>
            <w:tcW w:w="2694" w:type="dxa"/>
          </w:tcPr>
          <w:p w14:paraId="715088A4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26.1%</w:t>
            </w:r>
          </w:p>
        </w:tc>
        <w:tc>
          <w:tcPr>
            <w:tcW w:w="2976" w:type="dxa"/>
          </w:tcPr>
          <w:p w14:paraId="3996DD10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26.1%</w:t>
            </w:r>
          </w:p>
        </w:tc>
      </w:tr>
      <w:tr w:rsidR="00E8561A" w:rsidRPr="00E8561A" w14:paraId="0BD39CE5" w14:textId="77777777" w:rsidTr="00213332">
        <w:tc>
          <w:tcPr>
            <w:tcW w:w="3397" w:type="dxa"/>
          </w:tcPr>
          <w:p w14:paraId="2AB82D9B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NPV</w:t>
            </w:r>
          </w:p>
        </w:tc>
        <w:tc>
          <w:tcPr>
            <w:tcW w:w="2694" w:type="dxa"/>
          </w:tcPr>
          <w:p w14:paraId="76BA5D43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100%</w:t>
            </w:r>
          </w:p>
        </w:tc>
        <w:tc>
          <w:tcPr>
            <w:tcW w:w="2976" w:type="dxa"/>
          </w:tcPr>
          <w:p w14:paraId="6698B7E4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E8561A" w:rsidRPr="00E8561A" w14:paraId="4C457036" w14:textId="77777777" w:rsidTr="00213332">
        <w:tc>
          <w:tcPr>
            <w:tcW w:w="3397" w:type="dxa"/>
          </w:tcPr>
          <w:p w14:paraId="5036A25B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AUC (95% CI)</w:t>
            </w:r>
            <w:r w:rsidRPr="00E8561A">
              <w:rPr>
                <w:color w:val="000000"/>
                <w:sz w:val="18"/>
                <w:szCs w:val="18"/>
              </w:rPr>
              <w:br/>
              <w:t>p = 0.9</w:t>
            </w:r>
          </w:p>
        </w:tc>
        <w:tc>
          <w:tcPr>
            <w:tcW w:w="2694" w:type="dxa"/>
          </w:tcPr>
          <w:p w14:paraId="5AFF5A7E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0.71 (95% CI: 0.47–0.95)</w:t>
            </w:r>
          </w:p>
        </w:tc>
        <w:tc>
          <w:tcPr>
            <w:tcW w:w="2976" w:type="dxa"/>
          </w:tcPr>
          <w:p w14:paraId="113F8106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18"/>
                <w:szCs w:val="18"/>
              </w:rPr>
            </w:pPr>
            <w:r w:rsidRPr="00E8561A">
              <w:rPr>
                <w:color w:val="000000"/>
                <w:sz w:val="18"/>
                <w:szCs w:val="18"/>
              </w:rPr>
              <w:t>0.71 (95% CI: 0.49–0.94)</w:t>
            </w:r>
          </w:p>
        </w:tc>
      </w:tr>
    </w:tbl>
    <w:p w14:paraId="2E97A005" w14:textId="5FFAC685" w:rsidR="00E8561A" w:rsidRDefault="00E8561A" w:rsidP="00E8561A">
      <w:pPr>
        <w:spacing w:line="480" w:lineRule="auto"/>
        <w:jc w:val="both"/>
        <w:rPr>
          <w:rFonts w:ascii="Arial" w:eastAsia="Arial" w:hAnsi="Arial" w:cs="Arial"/>
          <w:color w:val="000000"/>
          <w:kern w:val="0"/>
          <w:sz w:val="16"/>
          <w:szCs w:val="16"/>
          <w:lang w:eastAsia="ru-RU"/>
          <w14:ligatures w14:val="none"/>
        </w:rPr>
      </w:pPr>
      <w:r w:rsidRPr="00E8561A">
        <w:rPr>
          <w:rFonts w:ascii="Arial" w:eastAsia="Arial" w:hAnsi="Arial" w:cs="Arial"/>
          <w:color w:val="000000"/>
          <w:kern w:val="0"/>
          <w:sz w:val="16"/>
          <w:szCs w:val="16"/>
          <w:lang w:eastAsia="ru-RU"/>
          <w14:ligatures w14:val="none"/>
        </w:rPr>
        <w:t xml:space="preserve">Performance metrics calculated among patients who underwent </w:t>
      </w:r>
      <w:proofErr w:type="spellStart"/>
      <w:r w:rsidRPr="00E8561A">
        <w:rPr>
          <w:rFonts w:ascii="Arial" w:eastAsia="Arial" w:hAnsi="Arial" w:cs="Arial"/>
          <w:color w:val="000000"/>
          <w:kern w:val="0"/>
          <w:sz w:val="16"/>
          <w:szCs w:val="16"/>
          <w:lang w:eastAsia="ru-RU"/>
          <w14:ligatures w14:val="none"/>
        </w:rPr>
        <w:t>ePLND</w:t>
      </w:r>
      <w:proofErr w:type="spellEnd"/>
      <w:r w:rsidRPr="00E8561A">
        <w:rPr>
          <w:rFonts w:ascii="Arial" w:eastAsia="Arial" w:hAnsi="Arial" w:cs="Arial"/>
          <w:color w:val="000000"/>
          <w:kern w:val="0"/>
          <w:sz w:val="16"/>
          <w:szCs w:val="16"/>
          <w:lang w:eastAsia="ru-RU"/>
          <w14:ligatures w14:val="none"/>
        </w:rPr>
        <w:t>. PPV = positive predictive value; NPV = negative predictive value; AUC = area under the receiver operating characteristic curve.</w:t>
      </w:r>
    </w:p>
    <w:p w14:paraId="3B57F0C9" w14:textId="77777777" w:rsidR="00E8561A" w:rsidRDefault="00E8561A" w:rsidP="00E8561A">
      <w:pPr>
        <w:spacing w:line="480" w:lineRule="auto"/>
        <w:jc w:val="both"/>
        <w:rPr>
          <w:rFonts w:ascii="Arial" w:eastAsia="Arial" w:hAnsi="Arial" w:cs="Arial"/>
          <w:color w:val="000000"/>
          <w:kern w:val="0"/>
          <w:lang w:val="ru-RU" w:eastAsia="ru-RU"/>
          <w14:ligatures w14:val="none"/>
        </w:rPr>
      </w:pPr>
    </w:p>
    <w:p w14:paraId="5D24B50B" w14:textId="0CC8C63D" w:rsidR="002B0F31" w:rsidRDefault="002B0F31" w:rsidP="00E8561A">
      <w:pPr>
        <w:spacing w:line="480" w:lineRule="auto"/>
        <w:jc w:val="both"/>
        <w:rPr>
          <w:rFonts w:ascii="Arial" w:eastAsia="Arial" w:hAnsi="Arial" w:cs="Arial"/>
          <w:color w:val="000000"/>
          <w:kern w:val="0"/>
          <w:lang w:eastAsia="ru-RU"/>
          <w14:ligatures w14:val="none"/>
        </w:rPr>
      </w:pPr>
      <w:r w:rsidRPr="002B0F31">
        <w:rPr>
          <w:rFonts w:ascii="Arial" w:eastAsia="Arial" w:hAnsi="Arial" w:cs="Arial"/>
          <w:color w:val="000000"/>
          <w:kern w:val="0"/>
          <w:lang w:eastAsia="ru-RU"/>
          <w14:ligatures w14:val="none"/>
        </w:rPr>
        <w:t>Diagnostic performance of full-bilateral (f-BN) and ipsilateral-only (</w:t>
      </w:r>
      <w:proofErr w:type="spellStart"/>
      <w:r w:rsidRPr="002B0F31">
        <w:rPr>
          <w:rFonts w:ascii="Arial" w:eastAsia="Arial" w:hAnsi="Arial" w:cs="Arial"/>
          <w:color w:val="000000"/>
          <w:kern w:val="0"/>
          <w:lang w:eastAsia="ru-RU"/>
          <w14:ligatures w14:val="none"/>
        </w:rPr>
        <w:t>i</w:t>
      </w:r>
      <w:proofErr w:type="spellEnd"/>
      <w:r w:rsidRPr="002B0F31">
        <w:rPr>
          <w:rFonts w:ascii="Arial" w:eastAsia="Arial" w:hAnsi="Arial" w:cs="Arial"/>
          <w:color w:val="000000"/>
          <w:kern w:val="0"/>
          <w:lang w:eastAsia="ru-RU"/>
          <w14:ligatures w14:val="none"/>
        </w:rPr>
        <w:t xml:space="preserve">-BN) Briganti nomograms for lymph node invasion prediction in the multifocal ipsilateral subgroup (n=57; </w:t>
      </w:r>
      <w:proofErr w:type="spellStart"/>
      <w:r w:rsidRPr="002B0F31">
        <w:rPr>
          <w:rFonts w:ascii="Arial" w:eastAsia="Arial" w:hAnsi="Arial" w:cs="Arial"/>
          <w:color w:val="000000"/>
          <w:kern w:val="0"/>
          <w:lang w:eastAsia="ru-RU"/>
          <w14:ligatures w14:val="none"/>
        </w:rPr>
        <w:t>ePLND</w:t>
      </w:r>
      <w:proofErr w:type="spellEnd"/>
      <w:r w:rsidRPr="002B0F31">
        <w:rPr>
          <w:rFonts w:ascii="Arial" w:eastAsia="Arial" w:hAnsi="Arial" w:cs="Arial"/>
          <w:color w:val="000000"/>
          <w:kern w:val="0"/>
          <w:lang w:eastAsia="ru-RU"/>
          <w14:ligatures w14:val="none"/>
        </w:rPr>
        <w:t xml:space="preserve"> performed in 27; pN1=6), reporting sensitivity, specificity, PPV, NPV, accuracy, and AUC.</w:t>
      </w:r>
    </w:p>
    <w:p w14:paraId="0D69C258" w14:textId="77777777" w:rsidR="002B0F31" w:rsidRDefault="002B0F31">
      <w:pPr>
        <w:rPr>
          <w:rFonts w:ascii="Arial" w:eastAsia="Arial" w:hAnsi="Arial" w:cs="Arial"/>
          <w:color w:val="000000"/>
          <w:kern w:val="0"/>
          <w:lang w:eastAsia="ru-RU"/>
          <w14:ligatures w14:val="none"/>
        </w:rPr>
      </w:pPr>
      <w:r>
        <w:rPr>
          <w:rFonts w:ascii="Arial" w:eastAsia="Arial" w:hAnsi="Arial" w:cs="Arial"/>
          <w:color w:val="000000"/>
          <w:kern w:val="0"/>
          <w:lang w:eastAsia="ru-RU"/>
          <w14:ligatures w14:val="none"/>
        </w:rPr>
        <w:br w:type="page"/>
      </w:r>
    </w:p>
    <w:p w14:paraId="37BD18AD" w14:textId="77777777" w:rsidR="00E8561A" w:rsidRPr="00E8561A" w:rsidRDefault="00E8561A" w:rsidP="00E8561A">
      <w:pPr>
        <w:spacing w:line="480" w:lineRule="auto"/>
        <w:jc w:val="both"/>
        <w:rPr>
          <w:rFonts w:ascii="Arial" w:eastAsia="Arial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E8561A">
        <w:rPr>
          <w:rFonts w:ascii="Arial" w:eastAsia="Arial" w:hAnsi="Arial" w:cs="Arial"/>
          <w:color w:val="000000"/>
          <w:kern w:val="0"/>
          <w:sz w:val="20"/>
          <w:szCs w:val="20"/>
          <w:lang w:eastAsia="ru-RU"/>
          <w14:ligatures w14:val="none"/>
        </w:rPr>
        <w:lastRenderedPageBreak/>
        <w:t xml:space="preserve">Supplementary table 3. Diagnostic performance comparison performance of f-BN and </w:t>
      </w:r>
      <w:proofErr w:type="spellStart"/>
      <w:r w:rsidRPr="00E8561A">
        <w:rPr>
          <w:rFonts w:ascii="Arial" w:eastAsia="Arial" w:hAnsi="Arial" w:cs="Arial"/>
          <w:color w:val="000000"/>
          <w:kern w:val="0"/>
          <w:sz w:val="20"/>
          <w:szCs w:val="20"/>
          <w:lang w:eastAsia="ru-RU"/>
          <w14:ligatures w14:val="none"/>
        </w:rPr>
        <w:t>i</w:t>
      </w:r>
      <w:proofErr w:type="spellEnd"/>
      <w:r w:rsidRPr="00E8561A">
        <w:rPr>
          <w:rFonts w:ascii="Arial" w:eastAsia="Arial" w:hAnsi="Arial" w:cs="Arial"/>
          <w:color w:val="000000"/>
          <w:kern w:val="0"/>
          <w:sz w:val="20"/>
          <w:szCs w:val="20"/>
          <w:lang w:eastAsia="ru-RU"/>
          <w14:ligatures w14:val="none"/>
        </w:rPr>
        <w:t xml:space="preserve">-BN for LNI prediction in the bilateral subgroup (n=137; </w:t>
      </w:r>
      <w:proofErr w:type="spellStart"/>
      <w:r w:rsidRPr="00E8561A">
        <w:rPr>
          <w:rFonts w:ascii="Arial" w:eastAsia="Arial" w:hAnsi="Arial" w:cs="Arial"/>
          <w:color w:val="000000"/>
          <w:kern w:val="0"/>
          <w:sz w:val="20"/>
          <w:szCs w:val="20"/>
          <w:lang w:eastAsia="ru-RU"/>
          <w14:ligatures w14:val="none"/>
        </w:rPr>
        <w:t>ePLND</w:t>
      </w:r>
      <w:proofErr w:type="spellEnd"/>
      <w:r w:rsidRPr="00E8561A">
        <w:rPr>
          <w:rFonts w:ascii="Arial" w:eastAsia="Arial" w:hAnsi="Arial" w:cs="Arial"/>
          <w:color w:val="000000"/>
          <w:kern w:val="0"/>
          <w:sz w:val="20"/>
          <w:szCs w:val="20"/>
          <w:lang w:eastAsia="ru-RU"/>
          <w14:ligatures w14:val="none"/>
        </w:rPr>
        <w:t xml:space="preserve"> performed in 73; pN1=6).</w:t>
      </w:r>
    </w:p>
    <w:tbl>
      <w:tblPr>
        <w:tblStyle w:val="ac"/>
        <w:tblW w:w="9209" w:type="dxa"/>
        <w:tblLook w:val="04A0" w:firstRow="1" w:lastRow="0" w:firstColumn="1" w:lastColumn="0" w:noHBand="0" w:noVBand="1"/>
      </w:tblPr>
      <w:tblGrid>
        <w:gridCol w:w="3823"/>
        <w:gridCol w:w="2693"/>
        <w:gridCol w:w="2693"/>
      </w:tblGrid>
      <w:tr w:rsidR="00E8561A" w:rsidRPr="00E8561A" w14:paraId="4F00568D" w14:textId="77777777" w:rsidTr="00213332">
        <w:tc>
          <w:tcPr>
            <w:tcW w:w="3823" w:type="dxa"/>
          </w:tcPr>
          <w:p w14:paraId="6C686D87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b/>
                <w:bCs/>
                <w:color w:val="000000"/>
                <w:sz w:val="20"/>
                <w:szCs w:val="20"/>
              </w:rPr>
              <w:t>Metrics</w:t>
            </w:r>
          </w:p>
        </w:tc>
        <w:tc>
          <w:tcPr>
            <w:tcW w:w="2693" w:type="dxa"/>
          </w:tcPr>
          <w:p w14:paraId="7D3EB539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b/>
                <w:bCs/>
                <w:color w:val="000000"/>
                <w:sz w:val="20"/>
                <w:szCs w:val="20"/>
              </w:rPr>
              <w:t>f-BN</w:t>
            </w:r>
          </w:p>
        </w:tc>
        <w:tc>
          <w:tcPr>
            <w:tcW w:w="2693" w:type="dxa"/>
          </w:tcPr>
          <w:p w14:paraId="69BB3C2C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E8561A">
              <w:rPr>
                <w:b/>
                <w:bCs/>
                <w:color w:val="000000"/>
                <w:sz w:val="20"/>
                <w:szCs w:val="20"/>
              </w:rPr>
              <w:t>i</w:t>
            </w:r>
            <w:proofErr w:type="spellEnd"/>
            <w:r w:rsidRPr="00E8561A">
              <w:rPr>
                <w:b/>
                <w:bCs/>
                <w:color w:val="000000"/>
                <w:sz w:val="20"/>
                <w:szCs w:val="20"/>
              </w:rPr>
              <w:t>-BN</w:t>
            </w:r>
          </w:p>
        </w:tc>
      </w:tr>
      <w:tr w:rsidR="00E8561A" w:rsidRPr="00E8561A" w14:paraId="2F9C4CBB" w14:textId="77777777" w:rsidTr="00213332">
        <w:tc>
          <w:tcPr>
            <w:tcW w:w="3823" w:type="dxa"/>
          </w:tcPr>
          <w:p w14:paraId="5B052EA5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True positives (pN1)</w:t>
            </w:r>
          </w:p>
        </w:tc>
        <w:tc>
          <w:tcPr>
            <w:tcW w:w="2693" w:type="dxa"/>
            <w:vAlign w:val="center"/>
          </w:tcPr>
          <w:p w14:paraId="70DB5E75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E8561A">
              <w:rPr>
                <w:color w:val="000000"/>
                <w:sz w:val="20"/>
                <w:szCs w:val="20"/>
              </w:rPr>
              <w:t>6/</w:t>
            </w:r>
            <w:r w:rsidRPr="00E8561A">
              <w:rPr>
                <w:color w:val="000000"/>
                <w:sz w:val="20"/>
                <w:szCs w:val="20"/>
                <w:lang w:val="ru-RU"/>
              </w:rPr>
              <w:t>73</w:t>
            </w:r>
          </w:p>
        </w:tc>
        <w:tc>
          <w:tcPr>
            <w:tcW w:w="2693" w:type="dxa"/>
            <w:vAlign w:val="center"/>
          </w:tcPr>
          <w:p w14:paraId="2AC3ABA3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5/</w:t>
            </w:r>
            <w:r w:rsidRPr="00E8561A">
              <w:rPr>
                <w:color w:val="000000"/>
                <w:sz w:val="20"/>
                <w:szCs w:val="20"/>
                <w:lang w:val="ru-RU"/>
              </w:rPr>
              <w:t>73</w:t>
            </w:r>
          </w:p>
        </w:tc>
      </w:tr>
      <w:tr w:rsidR="00E8561A" w:rsidRPr="00E8561A" w14:paraId="4476E768" w14:textId="77777777" w:rsidTr="00213332">
        <w:tc>
          <w:tcPr>
            <w:tcW w:w="3823" w:type="dxa"/>
          </w:tcPr>
          <w:p w14:paraId="1A386479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True negatives (pN0)</w:t>
            </w:r>
          </w:p>
        </w:tc>
        <w:tc>
          <w:tcPr>
            <w:tcW w:w="2693" w:type="dxa"/>
            <w:vAlign w:val="center"/>
          </w:tcPr>
          <w:p w14:paraId="007334D3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31/</w:t>
            </w:r>
            <w:r w:rsidRPr="00E8561A">
              <w:rPr>
                <w:color w:val="000000"/>
                <w:sz w:val="20"/>
                <w:szCs w:val="20"/>
                <w:lang w:val="ru-RU"/>
              </w:rPr>
              <w:t>73</w:t>
            </w:r>
          </w:p>
        </w:tc>
        <w:tc>
          <w:tcPr>
            <w:tcW w:w="2693" w:type="dxa"/>
            <w:vAlign w:val="center"/>
          </w:tcPr>
          <w:p w14:paraId="5EBE4556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29/</w:t>
            </w:r>
            <w:r w:rsidRPr="00E8561A">
              <w:rPr>
                <w:color w:val="000000"/>
                <w:sz w:val="20"/>
                <w:szCs w:val="20"/>
                <w:lang w:val="ru-RU"/>
              </w:rPr>
              <w:t>73</w:t>
            </w:r>
          </w:p>
        </w:tc>
      </w:tr>
      <w:tr w:rsidR="00E8561A" w:rsidRPr="00E8561A" w14:paraId="50554A96" w14:textId="77777777" w:rsidTr="00213332">
        <w:tc>
          <w:tcPr>
            <w:tcW w:w="3823" w:type="dxa"/>
          </w:tcPr>
          <w:p w14:paraId="20986D0E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False positive (pN0 above threshold)</w:t>
            </w:r>
          </w:p>
        </w:tc>
        <w:tc>
          <w:tcPr>
            <w:tcW w:w="2693" w:type="dxa"/>
            <w:vAlign w:val="center"/>
          </w:tcPr>
          <w:p w14:paraId="129C779F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36/</w:t>
            </w:r>
            <w:r w:rsidRPr="00E8561A">
              <w:rPr>
                <w:color w:val="000000"/>
                <w:sz w:val="20"/>
                <w:szCs w:val="20"/>
                <w:lang w:val="ru-RU"/>
              </w:rPr>
              <w:t>73</w:t>
            </w:r>
          </w:p>
        </w:tc>
        <w:tc>
          <w:tcPr>
            <w:tcW w:w="2693" w:type="dxa"/>
            <w:vAlign w:val="center"/>
          </w:tcPr>
          <w:p w14:paraId="17A5D7D2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38/</w:t>
            </w:r>
            <w:r w:rsidRPr="00E8561A">
              <w:rPr>
                <w:color w:val="000000"/>
                <w:sz w:val="20"/>
                <w:szCs w:val="20"/>
                <w:lang w:val="ru-RU"/>
              </w:rPr>
              <w:t>73</w:t>
            </w:r>
          </w:p>
        </w:tc>
      </w:tr>
      <w:tr w:rsidR="00E8561A" w:rsidRPr="00E8561A" w14:paraId="71F6D89B" w14:textId="77777777" w:rsidTr="00213332">
        <w:tc>
          <w:tcPr>
            <w:tcW w:w="3823" w:type="dxa"/>
          </w:tcPr>
          <w:p w14:paraId="731B3847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False negative (pN1 below threshold)</w:t>
            </w:r>
          </w:p>
        </w:tc>
        <w:tc>
          <w:tcPr>
            <w:tcW w:w="2693" w:type="dxa"/>
            <w:vAlign w:val="center"/>
          </w:tcPr>
          <w:p w14:paraId="764AE92F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0/</w:t>
            </w:r>
            <w:r w:rsidRPr="00E8561A">
              <w:rPr>
                <w:color w:val="000000"/>
                <w:sz w:val="20"/>
                <w:szCs w:val="20"/>
                <w:lang w:val="ru-RU"/>
              </w:rPr>
              <w:t>73</w:t>
            </w:r>
          </w:p>
        </w:tc>
        <w:tc>
          <w:tcPr>
            <w:tcW w:w="2693" w:type="dxa"/>
            <w:vAlign w:val="center"/>
          </w:tcPr>
          <w:p w14:paraId="32E0B7C5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1/</w:t>
            </w:r>
            <w:r w:rsidRPr="00E8561A">
              <w:rPr>
                <w:color w:val="000000"/>
                <w:sz w:val="20"/>
                <w:szCs w:val="20"/>
                <w:lang w:val="ru-RU"/>
              </w:rPr>
              <w:t>73</w:t>
            </w:r>
          </w:p>
        </w:tc>
      </w:tr>
      <w:tr w:rsidR="00E8561A" w:rsidRPr="00E8561A" w14:paraId="1EA844C0" w14:textId="77777777" w:rsidTr="00213332">
        <w:tc>
          <w:tcPr>
            <w:tcW w:w="3823" w:type="dxa"/>
          </w:tcPr>
          <w:p w14:paraId="25E09C8F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Accuracy (p value= 0.4)</w:t>
            </w:r>
          </w:p>
        </w:tc>
        <w:tc>
          <w:tcPr>
            <w:tcW w:w="2693" w:type="dxa"/>
            <w:vAlign w:val="center"/>
          </w:tcPr>
          <w:p w14:paraId="34E2E328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50.7%</w:t>
            </w:r>
          </w:p>
        </w:tc>
        <w:tc>
          <w:tcPr>
            <w:tcW w:w="2693" w:type="dxa"/>
            <w:vAlign w:val="center"/>
          </w:tcPr>
          <w:p w14:paraId="7F313AC3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46.6%</w:t>
            </w:r>
          </w:p>
        </w:tc>
      </w:tr>
      <w:tr w:rsidR="00E8561A" w:rsidRPr="00E8561A" w14:paraId="2350A4E3" w14:textId="77777777" w:rsidTr="00213332">
        <w:tc>
          <w:tcPr>
            <w:tcW w:w="3823" w:type="dxa"/>
          </w:tcPr>
          <w:p w14:paraId="3862419B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 xml:space="preserve">Sensitivity </w:t>
            </w:r>
          </w:p>
        </w:tc>
        <w:tc>
          <w:tcPr>
            <w:tcW w:w="2693" w:type="dxa"/>
            <w:vAlign w:val="center"/>
          </w:tcPr>
          <w:p w14:paraId="2C7BB891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693" w:type="dxa"/>
            <w:vAlign w:val="center"/>
          </w:tcPr>
          <w:p w14:paraId="216463AD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83.3%</w:t>
            </w:r>
          </w:p>
        </w:tc>
      </w:tr>
      <w:tr w:rsidR="00E8561A" w:rsidRPr="00E8561A" w14:paraId="6D9A843F" w14:textId="77777777" w:rsidTr="00213332">
        <w:tc>
          <w:tcPr>
            <w:tcW w:w="3823" w:type="dxa"/>
          </w:tcPr>
          <w:p w14:paraId="67D2656A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Specificity (p value = 0.6)</w:t>
            </w:r>
          </w:p>
        </w:tc>
        <w:tc>
          <w:tcPr>
            <w:tcW w:w="2693" w:type="dxa"/>
            <w:vAlign w:val="center"/>
          </w:tcPr>
          <w:p w14:paraId="0D898241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46.3%</w:t>
            </w:r>
          </w:p>
        </w:tc>
        <w:tc>
          <w:tcPr>
            <w:tcW w:w="2693" w:type="dxa"/>
            <w:vAlign w:val="center"/>
          </w:tcPr>
          <w:p w14:paraId="6F56BCEB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43.3%</w:t>
            </w:r>
          </w:p>
        </w:tc>
      </w:tr>
      <w:tr w:rsidR="00E8561A" w:rsidRPr="00E8561A" w14:paraId="7437DAEB" w14:textId="77777777" w:rsidTr="00213332">
        <w:tc>
          <w:tcPr>
            <w:tcW w:w="3823" w:type="dxa"/>
          </w:tcPr>
          <w:p w14:paraId="5BD04EE9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PPV</w:t>
            </w:r>
          </w:p>
        </w:tc>
        <w:tc>
          <w:tcPr>
            <w:tcW w:w="2693" w:type="dxa"/>
            <w:vAlign w:val="center"/>
          </w:tcPr>
          <w:p w14:paraId="61701B62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14.3%</w:t>
            </w:r>
          </w:p>
        </w:tc>
        <w:tc>
          <w:tcPr>
            <w:tcW w:w="2693" w:type="dxa"/>
            <w:vAlign w:val="center"/>
          </w:tcPr>
          <w:p w14:paraId="24D7572B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11.6%</w:t>
            </w:r>
          </w:p>
        </w:tc>
      </w:tr>
      <w:tr w:rsidR="00E8561A" w:rsidRPr="00E8561A" w14:paraId="1CAF6036" w14:textId="77777777" w:rsidTr="00213332">
        <w:tc>
          <w:tcPr>
            <w:tcW w:w="3823" w:type="dxa"/>
          </w:tcPr>
          <w:p w14:paraId="1DD66275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NPV</w:t>
            </w:r>
          </w:p>
        </w:tc>
        <w:tc>
          <w:tcPr>
            <w:tcW w:w="2693" w:type="dxa"/>
            <w:vAlign w:val="center"/>
          </w:tcPr>
          <w:p w14:paraId="448BEA5C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693" w:type="dxa"/>
            <w:vAlign w:val="center"/>
          </w:tcPr>
          <w:p w14:paraId="46AAACAE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96.7%</w:t>
            </w:r>
          </w:p>
        </w:tc>
      </w:tr>
      <w:tr w:rsidR="00E8561A" w:rsidRPr="00E8561A" w14:paraId="327F484A" w14:textId="77777777" w:rsidTr="00213332">
        <w:tc>
          <w:tcPr>
            <w:tcW w:w="3823" w:type="dxa"/>
          </w:tcPr>
          <w:p w14:paraId="0F0AB8A9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AUC (95% CI)</w:t>
            </w:r>
          </w:p>
          <w:p w14:paraId="295AD1FC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 xml:space="preserve">(p value= 0.9) </w:t>
            </w:r>
            <w:r w:rsidRPr="00E8561A"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2693" w:type="dxa"/>
          </w:tcPr>
          <w:p w14:paraId="1C3678EE" w14:textId="77777777" w:rsidR="00E8561A" w:rsidRPr="00E8561A" w:rsidRDefault="00E8561A" w:rsidP="00E8561A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0.80 (95% CI: 0.63–0.98)</w:t>
            </w:r>
          </w:p>
          <w:p w14:paraId="70CA07C4" w14:textId="77777777" w:rsidR="00E8561A" w:rsidRPr="00E8561A" w:rsidRDefault="00E8561A" w:rsidP="00E8561A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198EB15" w14:textId="77777777" w:rsidR="00E8561A" w:rsidRPr="00E8561A" w:rsidRDefault="00E8561A" w:rsidP="00E8561A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0.81 (95% CI: 0.61–1.00)</w:t>
            </w:r>
          </w:p>
        </w:tc>
      </w:tr>
    </w:tbl>
    <w:p w14:paraId="5805198B" w14:textId="77777777" w:rsidR="00E8561A" w:rsidRPr="00E8561A" w:rsidRDefault="00E8561A" w:rsidP="00E8561A">
      <w:pPr>
        <w:spacing w:line="480" w:lineRule="auto"/>
        <w:jc w:val="both"/>
        <w:rPr>
          <w:rFonts w:ascii="Arial" w:eastAsia="Arial" w:hAnsi="Arial" w:cs="Arial"/>
          <w:color w:val="000000"/>
          <w:kern w:val="0"/>
          <w:sz w:val="16"/>
          <w:szCs w:val="16"/>
          <w:lang w:eastAsia="ru-RU"/>
          <w14:ligatures w14:val="none"/>
        </w:rPr>
      </w:pPr>
      <w:r w:rsidRPr="00E8561A">
        <w:rPr>
          <w:rFonts w:ascii="Arial" w:eastAsia="Arial" w:hAnsi="Arial" w:cs="Arial"/>
          <w:color w:val="000000"/>
          <w:kern w:val="0"/>
          <w:sz w:val="16"/>
          <w:szCs w:val="16"/>
          <w:lang w:eastAsia="ru-RU"/>
          <w14:ligatures w14:val="none"/>
        </w:rPr>
        <w:t xml:space="preserve">Performance metrics calculated among patients who underwent </w:t>
      </w:r>
      <w:proofErr w:type="spellStart"/>
      <w:r w:rsidRPr="00E8561A">
        <w:rPr>
          <w:rFonts w:ascii="Arial" w:eastAsia="Arial" w:hAnsi="Arial" w:cs="Arial"/>
          <w:color w:val="000000"/>
          <w:kern w:val="0"/>
          <w:sz w:val="16"/>
          <w:szCs w:val="16"/>
          <w:lang w:eastAsia="ru-RU"/>
          <w14:ligatures w14:val="none"/>
        </w:rPr>
        <w:t>ePLND</w:t>
      </w:r>
      <w:proofErr w:type="spellEnd"/>
      <w:r w:rsidRPr="00E8561A">
        <w:rPr>
          <w:rFonts w:ascii="Arial" w:eastAsia="Arial" w:hAnsi="Arial" w:cs="Arial"/>
          <w:color w:val="000000"/>
          <w:kern w:val="0"/>
          <w:sz w:val="16"/>
          <w:szCs w:val="16"/>
          <w:lang w:eastAsia="ru-RU"/>
          <w14:ligatures w14:val="none"/>
        </w:rPr>
        <w:t>. PPV = positive predictive value; NPV = negative predictive value; AUC = area under the receiver operating characteristic curve.</w:t>
      </w:r>
    </w:p>
    <w:p w14:paraId="37FB2DD3" w14:textId="77777777" w:rsidR="00E8561A" w:rsidRDefault="00E8561A" w:rsidP="00E8561A">
      <w:pPr>
        <w:spacing w:line="480" w:lineRule="auto"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</w:p>
    <w:p w14:paraId="4C6E3989" w14:textId="4D5F564C" w:rsidR="002B0F31" w:rsidRDefault="002B0F31" w:rsidP="002B0F31">
      <w:pPr>
        <w:spacing w:line="480" w:lineRule="auto"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ru-RU"/>
          <w14:ligatures w14:val="none"/>
        </w:rPr>
      </w:pPr>
      <w:r w:rsidRPr="002B0F31">
        <w:rPr>
          <w:rFonts w:ascii="Arial" w:eastAsia="Arial" w:hAnsi="Arial" w:cs="Arial"/>
          <w:color w:val="000000"/>
          <w:kern w:val="0"/>
          <w:sz w:val="22"/>
          <w:szCs w:val="22"/>
          <w:lang w:eastAsia="ru-RU"/>
          <w14:ligatures w14:val="none"/>
        </w:rPr>
        <w:t>Diagnostic performance of full-bilateral (f-BN) and ipsilateral-only (</w:t>
      </w:r>
      <w:proofErr w:type="spellStart"/>
      <w:r w:rsidRPr="002B0F31">
        <w:rPr>
          <w:rFonts w:ascii="Arial" w:eastAsia="Arial" w:hAnsi="Arial" w:cs="Arial"/>
          <w:color w:val="000000"/>
          <w:kern w:val="0"/>
          <w:sz w:val="22"/>
          <w:szCs w:val="22"/>
          <w:lang w:eastAsia="ru-RU"/>
          <w14:ligatures w14:val="none"/>
        </w:rPr>
        <w:t>i</w:t>
      </w:r>
      <w:proofErr w:type="spellEnd"/>
      <w:r w:rsidRPr="002B0F31">
        <w:rPr>
          <w:rFonts w:ascii="Arial" w:eastAsia="Arial" w:hAnsi="Arial" w:cs="Arial"/>
          <w:color w:val="000000"/>
          <w:kern w:val="0"/>
          <w:sz w:val="22"/>
          <w:szCs w:val="22"/>
          <w:lang w:eastAsia="ru-RU"/>
          <w14:ligatures w14:val="none"/>
        </w:rPr>
        <w:t xml:space="preserve">-BN) Briganti nomograms for lymph node invasion prediction in the bilateral subgroup (n=137; </w:t>
      </w:r>
      <w:proofErr w:type="spellStart"/>
      <w:r w:rsidRPr="002B0F31">
        <w:rPr>
          <w:rFonts w:ascii="Arial" w:eastAsia="Arial" w:hAnsi="Arial" w:cs="Arial"/>
          <w:color w:val="000000"/>
          <w:kern w:val="0"/>
          <w:sz w:val="22"/>
          <w:szCs w:val="22"/>
          <w:lang w:eastAsia="ru-RU"/>
          <w14:ligatures w14:val="none"/>
        </w:rPr>
        <w:t>ePLND</w:t>
      </w:r>
      <w:proofErr w:type="spellEnd"/>
      <w:r w:rsidRPr="002B0F31">
        <w:rPr>
          <w:rFonts w:ascii="Arial" w:eastAsia="Arial" w:hAnsi="Arial" w:cs="Arial"/>
          <w:color w:val="000000"/>
          <w:kern w:val="0"/>
          <w:sz w:val="22"/>
          <w:szCs w:val="22"/>
          <w:lang w:eastAsia="ru-RU"/>
          <w14:ligatures w14:val="none"/>
        </w:rPr>
        <w:t xml:space="preserve"> performed in 73; pN1=6), reporting sensitivity, specificity, PPV, NPV, accuracy, and AUC with DeLong comparison.</w:t>
      </w:r>
    </w:p>
    <w:p w14:paraId="5D7E7B26" w14:textId="77777777" w:rsidR="002B0F31" w:rsidRDefault="002B0F31" w:rsidP="002B0F31">
      <w:pPr>
        <w:spacing w:line="480" w:lineRule="auto"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ru-RU"/>
          <w14:ligatures w14:val="none"/>
        </w:rPr>
      </w:pPr>
      <w:r>
        <w:rPr>
          <w:rFonts w:ascii="Arial" w:eastAsia="Arial" w:hAnsi="Arial" w:cs="Arial"/>
          <w:color w:val="000000"/>
          <w:kern w:val="0"/>
          <w:sz w:val="22"/>
          <w:szCs w:val="22"/>
          <w:lang w:eastAsia="ru-RU"/>
          <w14:ligatures w14:val="none"/>
        </w:rPr>
        <w:br w:type="page"/>
      </w:r>
    </w:p>
    <w:p w14:paraId="7940FE0E" w14:textId="77777777" w:rsidR="002B0F31" w:rsidRPr="002B0F31" w:rsidRDefault="002B0F31" w:rsidP="002B0F31">
      <w:pPr>
        <w:rPr>
          <w:rFonts w:ascii="Arial" w:eastAsia="Arial" w:hAnsi="Arial" w:cs="Arial"/>
          <w:color w:val="000000"/>
          <w:kern w:val="0"/>
          <w:sz w:val="22"/>
          <w:szCs w:val="22"/>
          <w:lang w:val="en-US" w:eastAsia="ru-RU"/>
          <w14:ligatures w14:val="none"/>
        </w:rPr>
      </w:pPr>
    </w:p>
    <w:p w14:paraId="3A19BEC3" w14:textId="77777777" w:rsidR="00E8561A" w:rsidRPr="00E8561A" w:rsidRDefault="00E8561A" w:rsidP="00E8561A">
      <w:pPr>
        <w:spacing w:line="480" w:lineRule="auto"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ru-RU"/>
          <w14:ligatures w14:val="none"/>
        </w:rPr>
      </w:pPr>
      <w:r w:rsidRPr="00E8561A">
        <w:rPr>
          <w:rFonts w:ascii="Arial" w:eastAsia="Arial" w:hAnsi="Arial" w:cs="Arial"/>
          <w:color w:val="000000"/>
          <w:kern w:val="0"/>
          <w:sz w:val="21"/>
          <w:szCs w:val="21"/>
          <w:lang w:eastAsia="ru-RU"/>
          <w14:ligatures w14:val="none"/>
        </w:rPr>
        <w:t>Supplementary table 4.</w:t>
      </w:r>
      <w:r w:rsidRPr="00E8561A">
        <w:rPr>
          <w:rFonts w:ascii="Arial" w:eastAsia="Arial" w:hAnsi="Arial" w:cs="Arial"/>
          <w:color w:val="000000"/>
          <w:kern w:val="0"/>
          <w:sz w:val="20"/>
          <w:szCs w:val="20"/>
          <w:lang w:eastAsia="ru-RU"/>
          <w14:ligatures w14:val="none"/>
        </w:rPr>
        <w:t xml:space="preserve"> Diagnostic performance of f-GN and </w:t>
      </w:r>
      <w:proofErr w:type="spellStart"/>
      <w:r w:rsidRPr="00E8561A">
        <w:rPr>
          <w:rFonts w:ascii="Arial" w:eastAsia="Arial" w:hAnsi="Arial" w:cs="Arial"/>
          <w:color w:val="000000"/>
          <w:kern w:val="0"/>
          <w:sz w:val="20"/>
          <w:szCs w:val="20"/>
          <w:lang w:eastAsia="ru-RU"/>
          <w14:ligatures w14:val="none"/>
        </w:rPr>
        <w:t>i</w:t>
      </w:r>
      <w:proofErr w:type="spellEnd"/>
      <w:r w:rsidRPr="00E8561A">
        <w:rPr>
          <w:rFonts w:ascii="Arial" w:eastAsia="Arial" w:hAnsi="Arial" w:cs="Arial"/>
          <w:color w:val="000000"/>
          <w:kern w:val="0"/>
          <w:sz w:val="20"/>
          <w:szCs w:val="20"/>
          <w:lang w:eastAsia="ru-RU"/>
          <w14:ligatures w14:val="none"/>
        </w:rPr>
        <w:t>-GN for ECE and SVI prediction (unifocal cohort; final pathology available n=48</w:t>
      </w:r>
      <w:r w:rsidRPr="00E8561A">
        <w:rPr>
          <w:rFonts w:ascii="Arial" w:eastAsia="Arial" w:hAnsi="Arial" w:cs="Arial"/>
          <w:color w:val="000000"/>
          <w:kern w:val="0"/>
          <w:sz w:val="20"/>
          <w:szCs w:val="20"/>
          <w:lang w:val="en-US" w:eastAsia="ru-RU"/>
          <w14:ligatures w14:val="none"/>
        </w:rPr>
        <w:t>1</w:t>
      </w:r>
      <w:r w:rsidRPr="00E8561A">
        <w:rPr>
          <w:rFonts w:ascii="Arial" w:eastAsia="Arial" w:hAnsi="Arial" w:cs="Arial"/>
          <w:color w:val="000000"/>
          <w:kern w:val="0"/>
          <w:sz w:val="20"/>
          <w:szCs w:val="20"/>
          <w:lang w:eastAsia="ru-RU"/>
          <w14:ligatures w14:val="none"/>
        </w:rPr>
        <w:t xml:space="preserve">; </w:t>
      </w:r>
      <w:proofErr w:type="spellStart"/>
      <w:r w:rsidRPr="00E8561A">
        <w:rPr>
          <w:rFonts w:ascii="Arial" w:eastAsia="Arial" w:hAnsi="Arial" w:cs="Arial"/>
          <w:color w:val="000000"/>
          <w:kern w:val="0"/>
          <w:sz w:val="20"/>
          <w:szCs w:val="20"/>
          <w:lang w:eastAsia="ru-RU"/>
          <w14:ligatures w14:val="none"/>
        </w:rPr>
        <w:t>pECE</w:t>
      </w:r>
      <w:proofErr w:type="spellEnd"/>
      <w:r w:rsidRPr="00E8561A">
        <w:rPr>
          <w:rFonts w:ascii="Arial" w:eastAsia="Arial" w:hAnsi="Arial" w:cs="Arial"/>
          <w:color w:val="000000"/>
          <w:kern w:val="0"/>
          <w:sz w:val="20"/>
          <w:szCs w:val="20"/>
          <w:lang w:eastAsia="ru-RU"/>
          <w14:ligatures w14:val="none"/>
        </w:rPr>
        <w:t xml:space="preserve">+ = 109, </w:t>
      </w:r>
      <w:proofErr w:type="spellStart"/>
      <w:r w:rsidRPr="00E8561A">
        <w:rPr>
          <w:rFonts w:ascii="Arial" w:eastAsia="Arial" w:hAnsi="Arial" w:cs="Arial"/>
          <w:color w:val="000000"/>
          <w:kern w:val="0"/>
          <w:sz w:val="20"/>
          <w:szCs w:val="20"/>
          <w:lang w:eastAsia="ru-RU"/>
          <w14:ligatures w14:val="none"/>
        </w:rPr>
        <w:t>pSVI</w:t>
      </w:r>
      <w:proofErr w:type="spellEnd"/>
      <w:r w:rsidRPr="00E8561A">
        <w:rPr>
          <w:rFonts w:ascii="Arial" w:eastAsia="Arial" w:hAnsi="Arial" w:cs="Arial"/>
          <w:color w:val="000000"/>
          <w:kern w:val="0"/>
          <w:sz w:val="20"/>
          <w:szCs w:val="20"/>
          <w:lang w:eastAsia="ru-RU"/>
          <w14:ligatures w14:val="none"/>
        </w:rPr>
        <w:t>+ = 40).</w:t>
      </w:r>
    </w:p>
    <w:tbl>
      <w:tblPr>
        <w:tblStyle w:val="ac"/>
        <w:tblW w:w="9628" w:type="dxa"/>
        <w:tblLook w:val="04A0" w:firstRow="1" w:lastRow="0" w:firstColumn="1" w:lastColumn="0" w:noHBand="0" w:noVBand="1"/>
      </w:tblPr>
      <w:tblGrid>
        <w:gridCol w:w="2830"/>
        <w:gridCol w:w="1560"/>
        <w:gridCol w:w="1701"/>
        <w:gridCol w:w="1701"/>
        <w:gridCol w:w="1836"/>
      </w:tblGrid>
      <w:tr w:rsidR="00E8561A" w:rsidRPr="00E8561A" w14:paraId="5EC416CE" w14:textId="77777777" w:rsidTr="00213332">
        <w:tc>
          <w:tcPr>
            <w:tcW w:w="2830" w:type="dxa"/>
          </w:tcPr>
          <w:p w14:paraId="08B800C8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b/>
                <w:bCs/>
                <w:color w:val="000000"/>
                <w:sz w:val="20"/>
                <w:szCs w:val="20"/>
              </w:rPr>
              <w:t>Metrics</w:t>
            </w:r>
          </w:p>
        </w:tc>
        <w:tc>
          <w:tcPr>
            <w:tcW w:w="1560" w:type="dxa"/>
          </w:tcPr>
          <w:p w14:paraId="1602A624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b/>
                <w:bCs/>
                <w:color w:val="000000"/>
                <w:sz w:val="20"/>
                <w:szCs w:val="20"/>
              </w:rPr>
              <w:t>ECE f-GN</w:t>
            </w:r>
          </w:p>
        </w:tc>
        <w:tc>
          <w:tcPr>
            <w:tcW w:w="1701" w:type="dxa"/>
          </w:tcPr>
          <w:p w14:paraId="7EAC705E" w14:textId="77777777" w:rsidR="00E8561A" w:rsidRPr="00E8561A" w:rsidRDefault="00E8561A" w:rsidP="00E8561A">
            <w:pPr>
              <w:spacing w:line="480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8561A">
              <w:rPr>
                <w:b/>
                <w:bCs/>
                <w:color w:val="000000"/>
                <w:sz w:val="20"/>
                <w:szCs w:val="20"/>
              </w:rPr>
              <w:t xml:space="preserve">ECE </w:t>
            </w:r>
            <w:proofErr w:type="spellStart"/>
            <w:r w:rsidRPr="00E8561A">
              <w:rPr>
                <w:b/>
                <w:bCs/>
                <w:color w:val="000000"/>
                <w:sz w:val="20"/>
                <w:szCs w:val="20"/>
              </w:rPr>
              <w:t>i</w:t>
            </w:r>
            <w:proofErr w:type="spellEnd"/>
            <w:r w:rsidRPr="00E8561A">
              <w:rPr>
                <w:b/>
                <w:bCs/>
                <w:color w:val="000000"/>
                <w:sz w:val="20"/>
                <w:szCs w:val="20"/>
              </w:rPr>
              <w:t>-GN</w:t>
            </w:r>
          </w:p>
        </w:tc>
        <w:tc>
          <w:tcPr>
            <w:tcW w:w="1701" w:type="dxa"/>
          </w:tcPr>
          <w:p w14:paraId="385FB651" w14:textId="77777777" w:rsidR="00E8561A" w:rsidRPr="00E8561A" w:rsidRDefault="00E8561A" w:rsidP="00E8561A">
            <w:pPr>
              <w:spacing w:line="480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8561A">
              <w:rPr>
                <w:b/>
                <w:bCs/>
                <w:color w:val="000000"/>
                <w:sz w:val="20"/>
                <w:szCs w:val="20"/>
              </w:rPr>
              <w:t>SVI f-GN</w:t>
            </w:r>
          </w:p>
        </w:tc>
        <w:tc>
          <w:tcPr>
            <w:tcW w:w="1836" w:type="dxa"/>
          </w:tcPr>
          <w:p w14:paraId="4AE2181E" w14:textId="77777777" w:rsidR="00E8561A" w:rsidRPr="00E8561A" w:rsidRDefault="00E8561A" w:rsidP="00E8561A">
            <w:pPr>
              <w:spacing w:line="480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8561A">
              <w:rPr>
                <w:b/>
                <w:bCs/>
                <w:color w:val="000000"/>
                <w:sz w:val="20"/>
                <w:szCs w:val="20"/>
              </w:rPr>
              <w:t xml:space="preserve">SVI </w:t>
            </w:r>
            <w:proofErr w:type="spellStart"/>
            <w:r w:rsidRPr="00E8561A">
              <w:rPr>
                <w:b/>
                <w:bCs/>
                <w:color w:val="000000"/>
                <w:sz w:val="20"/>
                <w:szCs w:val="20"/>
              </w:rPr>
              <w:t>i</w:t>
            </w:r>
            <w:proofErr w:type="spellEnd"/>
            <w:r w:rsidRPr="00E8561A">
              <w:rPr>
                <w:b/>
                <w:bCs/>
                <w:color w:val="000000"/>
                <w:sz w:val="20"/>
                <w:szCs w:val="20"/>
              </w:rPr>
              <w:t>-GN</w:t>
            </w:r>
          </w:p>
        </w:tc>
      </w:tr>
      <w:tr w:rsidR="00E8561A" w:rsidRPr="00E8561A" w14:paraId="7A540736" w14:textId="77777777" w:rsidTr="00213332">
        <w:tc>
          <w:tcPr>
            <w:tcW w:w="2830" w:type="dxa"/>
          </w:tcPr>
          <w:p w14:paraId="23ABC9DC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 xml:space="preserve">Upgraded the risk, </w:t>
            </w:r>
            <w:proofErr w:type="gramStart"/>
            <w:r w:rsidRPr="00E8561A">
              <w:rPr>
                <w:color w:val="000000"/>
                <w:sz w:val="20"/>
                <w:szCs w:val="20"/>
              </w:rPr>
              <w:t>n(</w:t>
            </w:r>
            <w:proofErr w:type="gramEnd"/>
            <w:r w:rsidRPr="00E8561A">
              <w:rPr>
                <w:color w:val="000000"/>
                <w:sz w:val="20"/>
                <w:szCs w:val="20"/>
              </w:rPr>
              <w:t>%)</w:t>
            </w:r>
          </w:p>
        </w:tc>
        <w:tc>
          <w:tcPr>
            <w:tcW w:w="1560" w:type="dxa"/>
            <w:vAlign w:val="center"/>
          </w:tcPr>
          <w:p w14:paraId="106BBB6A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100197B8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5</w:t>
            </w:r>
            <w:r w:rsidRPr="00E8561A">
              <w:rPr>
                <w:color w:val="000000"/>
                <w:sz w:val="20"/>
                <w:szCs w:val="20"/>
                <w:lang w:val="ru-RU"/>
              </w:rPr>
              <w:t>7</w:t>
            </w:r>
            <w:r w:rsidRPr="00E8561A">
              <w:rPr>
                <w:color w:val="000000"/>
                <w:sz w:val="20"/>
                <w:szCs w:val="20"/>
              </w:rPr>
              <w:t xml:space="preserve"> (11.</w:t>
            </w:r>
            <w:r w:rsidRPr="00E8561A">
              <w:rPr>
                <w:color w:val="000000"/>
                <w:sz w:val="20"/>
                <w:szCs w:val="20"/>
                <w:lang w:val="ru-RU"/>
              </w:rPr>
              <w:t>8</w:t>
            </w:r>
            <w:r w:rsidRPr="00E8561A">
              <w:rPr>
                <w:color w:val="000000"/>
                <w:sz w:val="20"/>
                <w:szCs w:val="20"/>
              </w:rPr>
              <w:t>%)</w:t>
            </w:r>
          </w:p>
        </w:tc>
        <w:tc>
          <w:tcPr>
            <w:tcW w:w="1701" w:type="dxa"/>
            <w:vAlign w:val="center"/>
          </w:tcPr>
          <w:p w14:paraId="282628E4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36" w:type="dxa"/>
          </w:tcPr>
          <w:p w14:paraId="5AFB6B66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  <w:lang w:val="ru-RU"/>
              </w:rPr>
              <w:t>112</w:t>
            </w:r>
            <w:r w:rsidRPr="00E8561A">
              <w:rPr>
                <w:color w:val="000000"/>
                <w:sz w:val="20"/>
                <w:szCs w:val="20"/>
              </w:rPr>
              <w:t xml:space="preserve"> (</w:t>
            </w:r>
            <w:r w:rsidRPr="00E8561A">
              <w:rPr>
                <w:color w:val="000000"/>
                <w:sz w:val="20"/>
                <w:szCs w:val="20"/>
                <w:lang w:val="ru-RU"/>
              </w:rPr>
              <w:t>23</w:t>
            </w:r>
            <w:r w:rsidRPr="00E8561A">
              <w:rPr>
                <w:color w:val="000000"/>
                <w:sz w:val="20"/>
                <w:szCs w:val="20"/>
              </w:rPr>
              <w:t>.3%)</w:t>
            </w:r>
          </w:p>
        </w:tc>
      </w:tr>
      <w:tr w:rsidR="00E8561A" w:rsidRPr="00E8561A" w14:paraId="00EC69F3" w14:textId="77777777" w:rsidTr="00213332">
        <w:tc>
          <w:tcPr>
            <w:tcW w:w="2830" w:type="dxa"/>
          </w:tcPr>
          <w:p w14:paraId="04A596AF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 xml:space="preserve">Downgraded the risk, </w:t>
            </w:r>
            <w:proofErr w:type="gramStart"/>
            <w:r w:rsidRPr="00E8561A">
              <w:rPr>
                <w:color w:val="000000"/>
                <w:sz w:val="20"/>
                <w:szCs w:val="20"/>
              </w:rPr>
              <w:t>n(</w:t>
            </w:r>
            <w:proofErr w:type="gramEnd"/>
            <w:r w:rsidRPr="00E8561A">
              <w:rPr>
                <w:color w:val="000000"/>
                <w:sz w:val="20"/>
                <w:szCs w:val="20"/>
              </w:rPr>
              <w:t>%)</w:t>
            </w:r>
          </w:p>
        </w:tc>
        <w:tc>
          <w:tcPr>
            <w:tcW w:w="1560" w:type="dxa"/>
            <w:vAlign w:val="center"/>
          </w:tcPr>
          <w:p w14:paraId="5F9278FC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11384B58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E8561A">
              <w:rPr>
                <w:color w:val="000000"/>
                <w:sz w:val="20"/>
                <w:szCs w:val="20"/>
                <w:lang w:val="ru-RU"/>
              </w:rPr>
              <w:t>19 (3.9%)</w:t>
            </w:r>
          </w:p>
        </w:tc>
        <w:tc>
          <w:tcPr>
            <w:tcW w:w="1701" w:type="dxa"/>
            <w:vAlign w:val="center"/>
          </w:tcPr>
          <w:p w14:paraId="37AF22BF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36" w:type="dxa"/>
          </w:tcPr>
          <w:p w14:paraId="54D4C091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E8561A">
              <w:rPr>
                <w:color w:val="000000"/>
                <w:sz w:val="20"/>
                <w:szCs w:val="20"/>
              </w:rPr>
              <w:t>1</w:t>
            </w:r>
            <w:r w:rsidRPr="00E8561A">
              <w:rPr>
                <w:color w:val="000000"/>
                <w:sz w:val="20"/>
                <w:szCs w:val="20"/>
                <w:lang w:val="ru-RU"/>
              </w:rPr>
              <w:t>6 (3.3%)</w:t>
            </w:r>
          </w:p>
        </w:tc>
      </w:tr>
      <w:tr w:rsidR="00E8561A" w:rsidRPr="00E8561A" w14:paraId="52BA8161" w14:textId="77777777" w:rsidTr="00213332">
        <w:tc>
          <w:tcPr>
            <w:tcW w:w="2830" w:type="dxa"/>
          </w:tcPr>
          <w:p w14:paraId="08A938A4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True positive</w:t>
            </w:r>
          </w:p>
        </w:tc>
        <w:tc>
          <w:tcPr>
            <w:tcW w:w="1560" w:type="dxa"/>
            <w:vAlign w:val="center"/>
          </w:tcPr>
          <w:p w14:paraId="5EEEA93E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701" w:type="dxa"/>
            <w:vAlign w:val="center"/>
          </w:tcPr>
          <w:p w14:paraId="04DFA7AD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E8561A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701" w:type="dxa"/>
            <w:vAlign w:val="center"/>
          </w:tcPr>
          <w:p w14:paraId="1330422F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1836" w:type="dxa"/>
          </w:tcPr>
          <w:p w14:paraId="3D67D09A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32</w:t>
            </w:r>
          </w:p>
        </w:tc>
      </w:tr>
      <w:tr w:rsidR="00E8561A" w:rsidRPr="00E8561A" w14:paraId="5F8DA849" w14:textId="77777777" w:rsidTr="00213332">
        <w:tc>
          <w:tcPr>
            <w:tcW w:w="2830" w:type="dxa"/>
          </w:tcPr>
          <w:p w14:paraId="5802537C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True negative</w:t>
            </w:r>
          </w:p>
        </w:tc>
        <w:tc>
          <w:tcPr>
            <w:tcW w:w="1560" w:type="dxa"/>
            <w:vAlign w:val="center"/>
          </w:tcPr>
          <w:p w14:paraId="6C498F71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E8561A">
              <w:rPr>
                <w:color w:val="000000"/>
                <w:sz w:val="20"/>
                <w:szCs w:val="20"/>
              </w:rPr>
              <w:t>29</w:t>
            </w:r>
            <w:r w:rsidRPr="00E8561A">
              <w:rPr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1701" w:type="dxa"/>
            <w:vAlign w:val="center"/>
          </w:tcPr>
          <w:p w14:paraId="5D10C242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E8561A">
              <w:rPr>
                <w:color w:val="000000"/>
                <w:sz w:val="20"/>
                <w:szCs w:val="20"/>
              </w:rPr>
              <w:t>26</w:t>
            </w:r>
            <w:r w:rsidRPr="00E8561A">
              <w:rPr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1701" w:type="dxa"/>
            <w:vAlign w:val="center"/>
          </w:tcPr>
          <w:p w14:paraId="66F94081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E8561A">
              <w:rPr>
                <w:color w:val="000000"/>
                <w:sz w:val="20"/>
                <w:szCs w:val="20"/>
              </w:rPr>
              <w:t>35</w:t>
            </w:r>
            <w:r w:rsidRPr="00E8561A">
              <w:rPr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1836" w:type="dxa"/>
          </w:tcPr>
          <w:p w14:paraId="032C8F9A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284</w:t>
            </w:r>
          </w:p>
        </w:tc>
      </w:tr>
      <w:tr w:rsidR="00E8561A" w:rsidRPr="00E8561A" w14:paraId="19C90797" w14:textId="77777777" w:rsidTr="00213332">
        <w:tc>
          <w:tcPr>
            <w:tcW w:w="2830" w:type="dxa"/>
          </w:tcPr>
          <w:p w14:paraId="587DF234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False positive</w:t>
            </w:r>
          </w:p>
        </w:tc>
        <w:tc>
          <w:tcPr>
            <w:tcW w:w="1560" w:type="dxa"/>
            <w:vAlign w:val="center"/>
          </w:tcPr>
          <w:p w14:paraId="72C1A521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1701" w:type="dxa"/>
            <w:vAlign w:val="center"/>
          </w:tcPr>
          <w:p w14:paraId="09E8E6F1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1701" w:type="dxa"/>
            <w:vAlign w:val="center"/>
          </w:tcPr>
          <w:p w14:paraId="46F05A15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1836" w:type="dxa"/>
          </w:tcPr>
          <w:p w14:paraId="0DBCA9C1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E8561A">
              <w:rPr>
                <w:color w:val="000000"/>
                <w:sz w:val="20"/>
                <w:szCs w:val="20"/>
              </w:rPr>
              <w:t>15</w:t>
            </w:r>
            <w:r w:rsidRPr="00E8561A">
              <w:rPr>
                <w:color w:val="000000"/>
                <w:sz w:val="20"/>
                <w:szCs w:val="20"/>
                <w:lang w:val="ru-RU"/>
              </w:rPr>
              <w:t>7</w:t>
            </w:r>
          </w:p>
        </w:tc>
      </w:tr>
      <w:tr w:rsidR="00E8561A" w:rsidRPr="00E8561A" w14:paraId="75E0312B" w14:textId="77777777" w:rsidTr="00213332">
        <w:tc>
          <w:tcPr>
            <w:tcW w:w="2830" w:type="dxa"/>
          </w:tcPr>
          <w:p w14:paraId="5034E15B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False negative</w:t>
            </w:r>
          </w:p>
        </w:tc>
        <w:tc>
          <w:tcPr>
            <w:tcW w:w="1560" w:type="dxa"/>
            <w:vAlign w:val="center"/>
          </w:tcPr>
          <w:p w14:paraId="17B62E10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701" w:type="dxa"/>
            <w:vAlign w:val="center"/>
          </w:tcPr>
          <w:p w14:paraId="4311D2A9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1701" w:type="dxa"/>
            <w:vAlign w:val="center"/>
          </w:tcPr>
          <w:p w14:paraId="1DCB75BD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836" w:type="dxa"/>
          </w:tcPr>
          <w:p w14:paraId="21708D0F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8</w:t>
            </w:r>
          </w:p>
        </w:tc>
      </w:tr>
      <w:tr w:rsidR="00E8561A" w:rsidRPr="00E8561A" w14:paraId="28384D13" w14:textId="77777777" w:rsidTr="00213332">
        <w:tc>
          <w:tcPr>
            <w:tcW w:w="2830" w:type="dxa"/>
          </w:tcPr>
          <w:p w14:paraId="34CB2BB8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Sensitivity</w:t>
            </w:r>
          </w:p>
        </w:tc>
        <w:tc>
          <w:tcPr>
            <w:tcW w:w="1560" w:type="dxa"/>
            <w:vAlign w:val="center"/>
          </w:tcPr>
          <w:p w14:paraId="7158F74D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  <w:lang w:val="ru-RU"/>
              </w:rPr>
              <w:t>55</w:t>
            </w:r>
            <w:r w:rsidRPr="00E8561A">
              <w:rPr>
                <w:color w:val="000000"/>
                <w:sz w:val="20"/>
                <w:szCs w:val="20"/>
              </w:rPr>
              <w:t>.</w:t>
            </w:r>
            <w:r w:rsidRPr="00E8561A">
              <w:rPr>
                <w:color w:val="000000"/>
                <w:sz w:val="20"/>
                <w:szCs w:val="20"/>
                <w:lang w:val="ru-RU"/>
              </w:rPr>
              <w:t>0</w:t>
            </w:r>
            <w:r w:rsidRPr="00E8561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701" w:type="dxa"/>
            <w:vAlign w:val="center"/>
          </w:tcPr>
          <w:p w14:paraId="7D142D6B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  <w:lang w:val="ru-RU"/>
              </w:rPr>
              <w:t>59</w:t>
            </w:r>
            <w:r w:rsidRPr="00E8561A">
              <w:rPr>
                <w:color w:val="000000"/>
                <w:sz w:val="20"/>
                <w:szCs w:val="20"/>
              </w:rPr>
              <w:t>.</w:t>
            </w:r>
            <w:r w:rsidRPr="00E8561A">
              <w:rPr>
                <w:color w:val="000000"/>
                <w:sz w:val="20"/>
                <w:szCs w:val="20"/>
                <w:lang w:val="ru-RU"/>
              </w:rPr>
              <w:t>6</w:t>
            </w:r>
            <w:r w:rsidRPr="00E8561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701" w:type="dxa"/>
            <w:vAlign w:val="center"/>
          </w:tcPr>
          <w:p w14:paraId="0A1F6A05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7</w:t>
            </w:r>
            <w:r w:rsidRPr="00E8561A">
              <w:rPr>
                <w:color w:val="000000"/>
                <w:sz w:val="20"/>
                <w:szCs w:val="20"/>
                <w:lang w:val="ru-RU"/>
              </w:rPr>
              <w:t>2</w:t>
            </w:r>
            <w:r w:rsidRPr="00E8561A">
              <w:rPr>
                <w:color w:val="000000"/>
                <w:sz w:val="20"/>
                <w:szCs w:val="20"/>
              </w:rPr>
              <w:t>.</w:t>
            </w:r>
            <w:r w:rsidRPr="00E8561A">
              <w:rPr>
                <w:color w:val="000000"/>
                <w:sz w:val="20"/>
                <w:szCs w:val="20"/>
                <w:lang w:val="ru-RU"/>
              </w:rPr>
              <w:t>5</w:t>
            </w:r>
            <w:r w:rsidRPr="00E8561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836" w:type="dxa"/>
          </w:tcPr>
          <w:p w14:paraId="7232F6F0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8</w:t>
            </w:r>
            <w:r w:rsidRPr="00E8561A">
              <w:rPr>
                <w:color w:val="000000"/>
                <w:sz w:val="20"/>
                <w:szCs w:val="20"/>
                <w:lang w:val="ru-RU"/>
              </w:rPr>
              <w:t>0</w:t>
            </w:r>
            <w:r w:rsidRPr="00E8561A">
              <w:rPr>
                <w:color w:val="000000"/>
                <w:sz w:val="20"/>
                <w:szCs w:val="20"/>
              </w:rPr>
              <w:t>.</w:t>
            </w:r>
            <w:r w:rsidRPr="00E8561A">
              <w:rPr>
                <w:color w:val="000000"/>
                <w:sz w:val="20"/>
                <w:szCs w:val="20"/>
                <w:lang w:val="ru-RU"/>
              </w:rPr>
              <w:t>0</w:t>
            </w:r>
            <w:r w:rsidRPr="00E8561A">
              <w:rPr>
                <w:color w:val="000000"/>
                <w:sz w:val="20"/>
                <w:szCs w:val="20"/>
              </w:rPr>
              <w:t>%</w:t>
            </w:r>
          </w:p>
        </w:tc>
      </w:tr>
      <w:tr w:rsidR="00E8561A" w:rsidRPr="00E8561A" w14:paraId="0DA94DF2" w14:textId="77777777" w:rsidTr="00213332">
        <w:tc>
          <w:tcPr>
            <w:tcW w:w="2830" w:type="dxa"/>
          </w:tcPr>
          <w:p w14:paraId="12F19D5C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Specificity</w:t>
            </w:r>
          </w:p>
        </w:tc>
        <w:tc>
          <w:tcPr>
            <w:tcW w:w="1560" w:type="dxa"/>
            <w:vAlign w:val="center"/>
          </w:tcPr>
          <w:p w14:paraId="5A2E8286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  <w:lang w:val="ru-RU"/>
              </w:rPr>
              <w:t>79</w:t>
            </w:r>
            <w:r w:rsidRPr="00E8561A">
              <w:rPr>
                <w:color w:val="000000"/>
                <w:sz w:val="20"/>
                <w:szCs w:val="20"/>
              </w:rPr>
              <w:t>.</w:t>
            </w:r>
            <w:r w:rsidRPr="00E8561A">
              <w:rPr>
                <w:color w:val="000000"/>
                <w:sz w:val="20"/>
                <w:szCs w:val="20"/>
                <w:lang w:val="ru-RU"/>
              </w:rPr>
              <w:t>3</w:t>
            </w:r>
            <w:r w:rsidRPr="00E8561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701" w:type="dxa"/>
            <w:vAlign w:val="center"/>
          </w:tcPr>
          <w:p w14:paraId="4552400C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  <w:lang w:val="ru-RU"/>
              </w:rPr>
              <w:t>71</w:t>
            </w:r>
            <w:r w:rsidRPr="00E8561A">
              <w:rPr>
                <w:color w:val="000000"/>
                <w:sz w:val="20"/>
                <w:szCs w:val="20"/>
              </w:rPr>
              <w:t>.</w:t>
            </w:r>
            <w:r w:rsidRPr="00E8561A">
              <w:rPr>
                <w:color w:val="000000"/>
                <w:sz w:val="20"/>
                <w:szCs w:val="20"/>
                <w:lang w:val="ru-RU"/>
              </w:rPr>
              <w:t>0</w:t>
            </w:r>
            <w:r w:rsidRPr="00E8561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701" w:type="dxa"/>
            <w:vAlign w:val="center"/>
          </w:tcPr>
          <w:p w14:paraId="7F6FDF60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8</w:t>
            </w:r>
            <w:r w:rsidRPr="00E8561A">
              <w:rPr>
                <w:color w:val="000000"/>
                <w:sz w:val="20"/>
                <w:szCs w:val="20"/>
                <w:lang w:val="ru-RU"/>
              </w:rPr>
              <w:t>0</w:t>
            </w:r>
            <w:r w:rsidRPr="00E8561A">
              <w:rPr>
                <w:color w:val="000000"/>
                <w:sz w:val="20"/>
                <w:szCs w:val="20"/>
              </w:rPr>
              <w:t>.</w:t>
            </w:r>
            <w:r w:rsidRPr="00E8561A">
              <w:rPr>
                <w:color w:val="000000"/>
                <w:sz w:val="20"/>
                <w:szCs w:val="20"/>
                <w:lang w:val="ru-RU"/>
              </w:rPr>
              <w:t>5</w:t>
            </w:r>
            <w:r w:rsidRPr="00E8561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836" w:type="dxa"/>
          </w:tcPr>
          <w:p w14:paraId="01D96FF9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64.</w:t>
            </w:r>
            <w:r w:rsidRPr="00E8561A">
              <w:rPr>
                <w:color w:val="000000"/>
                <w:sz w:val="20"/>
                <w:szCs w:val="20"/>
                <w:lang w:val="ru-RU"/>
              </w:rPr>
              <w:t>4</w:t>
            </w:r>
            <w:r w:rsidRPr="00E8561A">
              <w:rPr>
                <w:color w:val="000000"/>
                <w:sz w:val="20"/>
                <w:szCs w:val="20"/>
              </w:rPr>
              <w:t>%</w:t>
            </w:r>
          </w:p>
        </w:tc>
      </w:tr>
      <w:tr w:rsidR="00E8561A" w:rsidRPr="00E8561A" w14:paraId="65985339" w14:textId="77777777" w:rsidTr="00213332">
        <w:tc>
          <w:tcPr>
            <w:tcW w:w="2830" w:type="dxa"/>
          </w:tcPr>
          <w:p w14:paraId="331FF005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 xml:space="preserve">Accuracy </w:t>
            </w:r>
          </w:p>
        </w:tc>
        <w:tc>
          <w:tcPr>
            <w:tcW w:w="1560" w:type="dxa"/>
            <w:vAlign w:val="center"/>
          </w:tcPr>
          <w:p w14:paraId="6B47B5A6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7</w:t>
            </w:r>
            <w:r w:rsidRPr="00E8561A">
              <w:rPr>
                <w:color w:val="000000"/>
                <w:sz w:val="20"/>
                <w:szCs w:val="20"/>
                <w:lang w:val="ru-RU"/>
              </w:rPr>
              <w:t>3</w:t>
            </w:r>
            <w:r w:rsidRPr="00E8561A">
              <w:rPr>
                <w:color w:val="000000"/>
                <w:sz w:val="20"/>
                <w:szCs w:val="20"/>
              </w:rPr>
              <w:t>.</w:t>
            </w:r>
            <w:r w:rsidRPr="00E8561A">
              <w:rPr>
                <w:color w:val="000000"/>
                <w:sz w:val="20"/>
                <w:szCs w:val="20"/>
                <w:lang w:val="ru-RU"/>
              </w:rPr>
              <w:t>8</w:t>
            </w:r>
            <w:r w:rsidRPr="00E8561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701" w:type="dxa"/>
            <w:vAlign w:val="center"/>
          </w:tcPr>
          <w:p w14:paraId="3910863C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  <w:lang w:val="ru-RU"/>
              </w:rPr>
              <w:t>68.4</w:t>
            </w:r>
            <w:r w:rsidRPr="00E8561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701" w:type="dxa"/>
            <w:vAlign w:val="center"/>
          </w:tcPr>
          <w:p w14:paraId="49FA790C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  <w:lang w:val="ru-RU"/>
              </w:rPr>
              <w:t>79.9</w:t>
            </w:r>
            <w:r w:rsidRPr="00E8561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836" w:type="dxa"/>
          </w:tcPr>
          <w:p w14:paraId="2902A59D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65.</w:t>
            </w:r>
            <w:r w:rsidRPr="00E8561A">
              <w:rPr>
                <w:color w:val="000000"/>
                <w:sz w:val="20"/>
                <w:szCs w:val="20"/>
                <w:lang w:val="ru-RU"/>
              </w:rPr>
              <w:t>7</w:t>
            </w:r>
            <w:r w:rsidRPr="00E8561A">
              <w:rPr>
                <w:color w:val="000000"/>
                <w:sz w:val="20"/>
                <w:szCs w:val="20"/>
              </w:rPr>
              <w:t>%</w:t>
            </w:r>
          </w:p>
        </w:tc>
      </w:tr>
      <w:tr w:rsidR="00E8561A" w:rsidRPr="00E8561A" w14:paraId="0B0E89E8" w14:textId="77777777" w:rsidTr="00213332">
        <w:tc>
          <w:tcPr>
            <w:tcW w:w="2830" w:type="dxa"/>
          </w:tcPr>
          <w:p w14:paraId="1FBD8DB9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PPV</w:t>
            </w:r>
          </w:p>
        </w:tc>
        <w:tc>
          <w:tcPr>
            <w:tcW w:w="1560" w:type="dxa"/>
            <w:vAlign w:val="center"/>
          </w:tcPr>
          <w:p w14:paraId="45F2A7C8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43.8%</w:t>
            </w:r>
          </w:p>
        </w:tc>
        <w:tc>
          <w:tcPr>
            <w:tcW w:w="1701" w:type="dxa"/>
            <w:vAlign w:val="center"/>
          </w:tcPr>
          <w:p w14:paraId="091B78A1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37.6%</w:t>
            </w:r>
          </w:p>
        </w:tc>
        <w:tc>
          <w:tcPr>
            <w:tcW w:w="1701" w:type="dxa"/>
            <w:vAlign w:val="center"/>
          </w:tcPr>
          <w:p w14:paraId="7DEF6B36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2</w:t>
            </w:r>
            <w:r w:rsidRPr="00E8561A">
              <w:rPr>
                <w:color w:val="000000"/>
                <w:sz w:val="20"/>
                <w:szCs w:val="20"/>
                <w:lang w:val="ru-RU"/>
              </w:rPr>
              <w:t>5</w:t>
            </w:r>
            <w:r w:rsidRPr="00E8561A">
              <w:rPr>
                <w:color w:val="000000"/>
                <w:sz w:val="20"/>
                <w:szCs w:val="20"/>
              </w:rPr>
              <w:t>.</w:t>
            </w:r>
            <w:r w:rsidRPr="00E8561A">
              <w:rPr>
                <w:color w:val="000000"/>
                <w:sz w:val="20"/>
                <w:szCs w:val="20"/>
                <w:lang w:val="ru-RU"/>
              </w:rPr>
              <w:t>2</w:t>
            </w:r>
            <w:r w:rsidRPr="00E8561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836" w:type="dxa"/>
          </w:tcPr>
          <w:p w14:paraId="64F0F5B2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16.</w:t>
            </w:r>
            <w:r w:rsidRPr="00E8561A">
              <w:rPr>
                <w:color w:val="000000"/>
                <w:sz w:val="20"/>
                <w:szCs w:val="20"/>
                <w:lang w:val="ru-RU"/>
              </w:rPr>
              <w:t>9</w:t>
            </w:r>
            <w:r w:rsidRPr="00E8561A">
              <w:rPr>
                <w:color w:val="000000"/>
                <w:sz w:val="20"/>
                <w:szCs w:val="20"/>
              </w:rPr>
              <w:t>%</w:t>
            </w:r>
          </w:p>
        </w:tc>
      </w:tr>
      <w:tr w:rsidR="00E8561A" w:rsidRPr="00E8561A" w14:paraId="22F418CA" w14:textId="77777777" w:rsidTr="00213332">
        <w:tc>
          <w:tcPr>
            <w:tcW w:w="2830" w:type="dxa"/>
          </w:tcPr>
          <w:p w14:paraId="47CD2D66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NPV</w:t>
            </w:r>
          </w:p>
        </w:tc>
        <w:tc>
          <w:tcPr>
            <w:tcW w:w="1560" w:type="dxa"/>
            <w:vAlign w:val="center"/>
          </w:tcPr>
          <w:p w14:paraId="25536AAA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85.8%</w:t>
            </w:r>
          </w:p>
        </w:tc>
        <w:tc>
          <w:tcPr>
            <w:tcW w:w="1701" w:type="dxa"/>
            <w:vAlign w:val="center"/>
          </w:tcPr>
          <w:p w14:paraId="0C2FAF9D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85.</w:t>
            </w:r>
            <w:r w:rsidRPr="00E8561A">
              <w:rPr>
                <w:color w:val="000000"/>
                <w:sz w:val="20"/>
                <w:szCs w:val="20"/>
                <w:lang w:val="ru-RU"/>
              </w:rPr>
              <w:t>7</w:t>
            </w:r>
            <w:r w:rsidRPr="00E8561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701" w:type="dxa"/>
            <w:vAlign w:val="center"/>
          </w:tcPr>
          <w:p w14:paraId="1C70C1D3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97.</w:t>
            </w:r>
            <w:r w:rsidRPr="00E8561A">
              <w:rPr>
                <w:color w:val="000000"/>
                <w:sz w:val="20"/>
                <w:szCs w:val="20"/>
                <w:lang w:val="ru-RU"/>
              </w:rPr>
              <w:t>0</w:t>
            </w:r>
            <w:r w:rsidRPr="00E8561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836" w:type="dxa"/>
          </w:tcPr>
          <w:p w14:paraId="2CC88070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97.</w:t>
            </w:r>
            <w:r w:rsidRPr="00E8561A">
              <w:rPr>
                <w:color w:val="000000"/>
                <w:sz w:val="20"/>
                <w:szCs w:val="20"/>
                <w:lang w:val="ru-RU"/>
              </w:rPr>
              <w:t>3</w:t>
            </w:r>
            <w:r w:rsidRPr="00E8561A">
              <w:rPr>
                <w:color w:val="000000"/>
                <w:sz w:val="20"/>
                <w:szCs w:val="20"/>
              </w:rPr>
              <w:t>%</w:t>
            </w:r>
          </w:p>
        </w:tc>
      </w:tr>
      <w:tr w:rsidR="00E8561A" w:rsidRPr="00E8561A" w14:paraId="5328DB8D" w14:textId="77777777" w:rsidTr="00213332">
        <w:tc>
          <w:tcPr>
            <w:tcW w:w="2830" w:type="dxa"/>
          </w:tcPr>
          <w:p w14:paraId="0967B788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AUC (95% CI)</w:t>
            </w:r>
            <w:r w:rsidRPr="00E8561A"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1560" w:type="dxa"/>
            <w:vAlign w:val="center"/>
          </w:tcPr>
          <w:p w14:paraId="6AF88E15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0.72 (95% CI: 0.66–0.77)</w:t>
            </w:r>
          </w:p>
          <w:p w14:paraId="5C6FA5E0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23B71F2" w14:textId="77777777" w:rsidR="00E8561A" w:rsidRPr="00E8561A" w:rsidRDefault="00E8561A" w:rsidP="00E8561A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0.72 (95% CI: 0.66–0.77)</w:t>
            </w:r>
          </w:p>
        </w:tc>
        <w:tc>
          <w:tcPr>
            <w:tcW w:w="1701" w:type="dxa"/>
          </w:tcPr>
          <w:p w14:paraId="7D8F1625" w14:textId="77777777" w:rsidR="00E8561A" w:rsidRPr="00E8561A" w:rsidRDefault="00E8561A" w:rsidP="00E8561A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0.84 (95% CI: 0.78–0.90)</w:t>
            </w:r>
          </w:p>
        </w:tc>
        <w:tc>
          <w:tcPr>
            <w:tcW w:w="1836" w:type="dxa"/>
          </w:tcPr>
          <w:p w14:paraId="75518359" w14:textId="77777777" w:rsidR="00E8561A" w:rsidRPr="00E8561A" w:rsidRDefault="00E8561A" w:rsidP="00E85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RPr="00E8561A">
              <w:rPr>
                <w:color w:val="000000"/>
                <w:sz w:val="20"/>
                <w:szCs w:val="20"/>
              </w:rPr>
              <w:t>0.82 (95% CI: 0.75–0.89)</w:t>
            </w:r>
          </w:p>
        </w:tc>
      </w:tr>
    </w:tbl>
    <w:p w14:paraId="5744B425" w14:textId="174C997E" w:rsidR="002B0F31" w:rsidRDefault="00E8561A" w:rsidP="00E8561A">
      <w:pPr>
        <w:spacing w:line="480" w:lineRule="auto"/>
        <w:jc w:val="both"/>
        <w:rPr>
          <w:rFonts w:ascii="Arial" w:eastAsia="Arial" w:hAnsi="Arial" w:cs="Arial"/>
          <w:color w:val="000000"/>
          <w:kern w:val="0"/>
          <w:sz w:val="16"/>
          <w:szCs w:val="16"/>
          <w:lang w:val="en-US" w:eastAsia="ru-RU"/>
          <w14:ligatures w14:val="none"/>
        </w:rPr>
      </w:pPr>
      <w:r w:rsidRPr="00E8561A">
        <w:rPr>
          <w:rFonts w:ascii="Arial" w:eastAsia="Arial" w:hAnsi="Arial" w:cs="Arial"/>
          <w:color w:val="000000"/>
          <w:kern w:val="0"/>
          <w:sz w:val="16"/>
          <w:szCs w:val="16"/>
          <w:lang w:eastAsia="ru-RU"/>
          <w14:ligatures w14:val="none"/>
        </w:rPr>
        <w:t xml:space="preserve">Performance metrics calculated among patients who have </w:t>
      </w:r>
      <w:r w:rsidRPr="00E8561A">
        <w:rPr>
          <w:rFonts w:ascii="Arial" w:eastAsia="Arial" w:hAnsi="Arial" w:cs="Arial"/>
          <w:color w:val="000000"/>
          <w:kern w:val="0"/>
          <w:sz w:val="16"/>
          <w:szCs w:val="16"/>
          <w:lang w:val="en-US" w:eastAsia="ru-RU"/>
          <w14:ligatures w14:val="none"/>
        </w:rPr>
        <w:t xml:space="preserve">final pathology at RP. </w:t>
      </w:r>
      <w:r w:rsidRPr="00E8561A">
        <w:rPr>
          <w:rFonts w:ascii="Arial" w:eastAsia="Arial" w:hAnsi="Arial" w:cs="Arial"/>
          <w:color w:val="000000"/>
          <w:kern w:val="0"/>
          <w:sz w:val="16"/>
          <w:szCs w:val="16"/>
          <w:lang w:eastAsia="ru-RU"/>
          <w14:ligatures w14:val="none"/>
        </w:rPr>
        <w:t xml:space="preserve">f-GN – full </w:t>
      </w:r>
      <w:proofErr w:type="spellStart"/>
      <w:r w:rsidRPr="00E8561A">
        <w:rPr>
          <w:rFonts w:ascii="Arial" w:eastAsia="Arial" w:hAnsi="Arial" w:cs="Arial"/>
          <w:color w:val="000000"/>
          <w:kern w:val="0"/>
          <w:sz w:val="16"/>
          <w:szCs w:val="16"/>
          <w:lang w:eastAsia="ru-RU"/>
          <w14:ligatures w14:val="none"/>
        </w:rPr>
        <w:t>Gandaglia</w:t>
      </w:r>
      <w:proofErr w:type="spellEnd"/>
      <w:r w:rsidRPr="00E8561A">
        <w:rPr>
          <w:rFonts w:ascii="Arial" w:eastAsia="Arial" w:hAnsi="Arial" w:cs="Arial"/>
          <w:color w:val="000000"/>
          <w:kern w:val="0"/>
          <w:sz w:val="16"/>
          <w:szCs w:val="16"/>
          <w:lang w:eastAsia="ru-RU"/>
          <w14:ligatures w14:val="none"/>
        </w:rPr>
        <w:t xml:space="preserve"> nomogram, </w:t>
      </w:r>
      <w:proofErr w:type="spellStart"/>
      <w:r w:rsidRPr="00E8561A">
        <w:rPr>
          <w:rFonts w:ascii="Arial" w:eastAsia="Arial" w:hAnsi="Arial" w:cs="Arial"/>
          <w:color w:val="000000"/>
          <w:kern w:val="0"/>
          <w:sz w:val="16"/>
          <w:szCs w:val="16"/>
          <w:lang w:eastAsia="ru-RU"/>
          <w14:ligatures w14:val="none"/>
        </w:rPr>
        <w:t>i</w:t>
      </w:r>
      <w:proofErr w:type="spellEnd"/>
      <w:r w:rsidRPr="00E8561A">
        <w:rPr>
          <w:rFonts w:ascii="Arial" w:eastAsia="Arial" w:hAnsi="Arial" w:cs="Arial"/>
          <w:color w:val="000000"/>
          <w:kern w:val="0"/>
          <w:sz w:val="16"/>
          <w:szCs w:val="16"/>
          <w:lang w:eastAsia="ru-RU"/>
          <w14:ligatures w14:val="none"/>
        </w:rPr>
        <w:t xml:space="preserve">-GN – ipsilateral </w:t>
      </w:r>
      <w:proofErr w:type="spellStart"/>
      <w:r w:rsidRPr="00E8561A">
        <w:rPr>
          <w:rFonts w:ascii="Arial" w:eastAsia="Arial" w:hAnsi="Arial" w:cs="Arial"/>
          <w:color w:val="000000"/>
          <w:kern w:val="0"/>
          <w:sz w:val="16"/>
          <w:szCs w:val="16"/>
          <w:lang w:eastAsia="ru-RU"/>
          <w14:ligatures w14:val="none"/>
        </w:rPr>
        <w:t>Gandaglia</w:t>
      </w:r>
      <w:proofErr w:type="spellEnd"/>
      <w:r w:rsidRPr="00E8561A">
        <w:rPr>
          <w:rFonts w:ascii="Arial" w:eastAsia="Arial" w:hAnsi="Arial" w:cs="Arial"/>
          <w:color w:val="000000"/>
          <w:kern w:val="0"/>
          <w:sz w:val="16"/>
          <w:szCs w:val="16"/>
          <w:lang w:eastAsia="ru-RU"/>
          <w14:ligatures w14:val="none"/>
        </w:rPr>
        <w:t xml:space="preserve"> nomogram, ECE – extracapsular extension, SVI – seminal vesicle invasion, PPV = positive predictive value; NPV = negative predictive </w:t>
      </w:r>
      <w:proofErr w:type="gramStart"/>
      <w:r w:rsidRPr="00E8561A">
        <w:rPr>
          <w:rFonts w:ascii="Arial" w:eastAsia="Arial" w:hAnsi="Arial" w:cs="Arial"/>
          <w:color w:val="000000"/>
          <w:kern w:val="0"/>
          <w:sz w:val="16"/>
          <w:szCs w:val="16"/>
          <w:lang w:eastAsia="ru-RU"/>
          <w14:ligatures w14:val="none"/>
        </w:rPr>
        <w:t>value;  Accuracy</w:t>
      </w:r>
      <w:proofErr w:type="gramEnd"/>
      <w:r w:rsidRPr="00E8561A">
        <w:rPr>
          <w:rFonts w:ascii="Arial" w:eastAsia="Arial" w:hAnsi="Arial" w:cs="Arial"/>
          <w:color w:val="000000"/>
          <w:kern w:val="0"/>
          <w:sz w:val="16"/>
          <w:szCs w:val="16"/>
          <w:lang w:eastAsia="ru-RU"/>
          <w14:ligatures w14:val="none"/>
        </w:rPr>
        <w:t xml:space="preserve">: p value for </w:t>
      </w:r>
      <w:proofErr w:type="gramStart"/>
      <w:r w:rsidRPr="00E8561A">
        <w:rPr>
          <w:rFonts w:ascii="Arial" w:eastAsia="Arial" w:hAnsi="Arial" w:cs="Arial"/>
          <w:color w:val="000000"/>
          <w:kern w:val="0"/>
          <w:sz w:val="16"/>
          <w:szCs w:val="16"/>
          <w:lang w:eastAsia="ru-RU"/>
          <w14:ligatures w14:val="none"/>
        </w:rPr>
        <w:t>ECE  f</w:t>
      </w:r>
      <w:proofErr w:type="gramEnd"/>
      <w:r w:rsidRPr="00E8561A">
        <w:rPr>
          <w:rFonts w:ascii="Arial" w:eastAsia="Arial" w:hAnsi="Arial" w:cs="Arial"/>
          <w:color w:val="000000"/>
          <w:kern w:val="0"/>
          <w:sz w:val="16"/>
          <w:szCs w:val="16"/>
          <w:lang w:eastAsia="ru-RU"/>
          <w14:ligatures w14:val="none"/>
        </w:rPr>
        <w:t xml:space="preserve">-GN vs </w:t>
      </w:r>
      <w:proofErr w:type="spellStart"/>
      <w:r w:rsidRPr="00E8561A">
        <w:rPr>
          <w:rFonts w:ascii="Arial" w:eastAsia="Arial" w:hAnsi="Arial" w:cs="Arial"/>
          <w:color w:val="000000"/>
          <w:kern w:val="0"/>
          <w:sz w:val="16"/>
          <w:szCs w:val="16"/>
          <w:lang w:eastAsia="ru-RU"/>
          <w14:ligatures w14:val="none"/>
        </w:rPr>
        <w:t>i</w:t>
      </w:r>
      <w:proofErr w:type="spellEnd"/>
      <w:r w:rsidRPr="00E8561A">
        <w:rPr>
          <w:rFonts w:ascii="Arial" w:eastAsia="Arial" w:hAnsi="Arial" w:cs="Arial"/>
          <w:color w:val="000000"/>
          <w:kern w:val="0"/>
          <w:sz w:val="16"/>
          <w:szCs w:val="16"/>
          <w:lang w:eastAsia="ru-RU"/>
          <w14:ligatures w14:val="none"/>
        </w:rPr>
        <w:t xml:space="preserve">-GN p&lt;0.01, p value for </w:t>
      </w:r>
      <w:proofErr w:type="gramStart"/>
      <w:r w:rsidRPr="00E8561A">
        <w:rPr>
          <w:rFonts w:ascii="Arial" w:eastAsia="Arial" w:hAnsi="Arial" w:cs="Arial"/>
          <w:color w:val="000000"/>
          <w:kern w:val="0"/>
          <w:sz w:val="16"/>
          <w:szCs w:val="16"/>
          <w:lang w:eastAsia="ru-RU"/>
          <w14:ligatures w14:val="none"/>
        </w:rPr>
        <w:t>SVI  f</w:t>
      </w:r>
      <w:proofErr w:type="gramEnd"/>
      <w:r w:rsidRPr="00E8561A">
        <w:rPr>
          <w:rFonts w:ascii="Arial" w:eastAsia="Arial" w:hAnsi="Arial" w:cs="Arial"/>
          <w:color w:val="000000"/>
          <w:kern w:val="0"/>
          <w:sz w:val="16"/>
          <w:szCs w:val="16"/>
          <w:lang w:eastAsia="ru-RU"/>
          <w14:ligatures w14:val="none"/>
        </w:rPr>
        <w:t xml:space="preserve">-GN vs </w:t>
      </w:r>
      <w:proofErr w:type="spellStart"/>
      <w:r w:rsidRPr="00E8561A">
        <w:rPr>
          <w:rFonts w:ascii="Arial" w:eastAsia="Arial" w:hAnsi="Arial" w:cs="Arial"/>
          <w:color w:val="000000"/>
          <w:kern w:val="0"/>
          <w:sz w:val="16"/>
          <w:szCs w:val="16"/>
          <w:lang w:eastAsia="ru-RU"/>
          <w14:ligatures w14:val="none"/>
        </w:rPr>
        <w:t>i</w:t>
      </w:r>
      <w:proofErr w:type="spellEnd"/>
      <w:r w:rsidRPr="00E8561A">
        <w:rPr>
          <w:rFonts w:ascii="Arial" w:eastAsia="Arial" w:hAnsi="Arial" w:cs="Arial"/>
          <w:color w:val="000000"/>
          <w:kern w:val="0"/>
          <w:sz w:val="16"/>
          <w:szCs w:val="16"/>
          <w:lang w:eastAsia="ru-RU"/>
          <w14:ligatures w14:val="none"/>
        </w:rPr>
        <w:t xml:space="preserve">-GN p&lt;0.01. </w:t>
      </w:r>
      <w:r w:rsidRPr="00E8561A">
        <w:rPr>
          <w:rFonts w:ascii="Arial" w:eastAsia="Arial" w:hAnsi="Arial" w:cs="Arial"/>
          <w:color w:val="000000"/>
          <w:kern w:val="0"/>
          <w:sz w:val="15"/>
          <w:szCs w:val="15"/>
          <w:lang w:eastAsia="ru-RU"/>
          <w14:ligatures w14:val="none"/>
        </w:rPr>
        <w:t xml:space="preserve">AUC DeLong p value: ECE </w:t>
      </w:r>
      <w:r w:rsidRPr="00E8561A">
        <w:rPr>
          <w:rFonts w:ascii="Arial" w:eastAsia="Arial" w:hAnsi="Arial" w:cs="Arial"/>
          <w:color w:val="000000"/>
          <w:kern w:val="0"/>
          <w:sz w:val="16"/>
          <w:szCs w:val="16"/>
          <w:lang w:eastAsia="ru-RU"/>
          <w14:ligatures w14:val="none"/>
        </w:rPr>
        <w:t xml:space="preserve">f-GN vs </w:t>
      </w:r>
      <w:proofErr w:type="spellStart"/>
      <w:r w:rsidRPr="00E8561A">
        <w:rPr>
          <w:rFonts w:ascii="Arial" w:eastAsia="Arial" w:hAnsi="Arial" w:cs="Arial"/>
          <w:color w:val="000000"/>
          <w:kern w:val="0"/>
          <w:sz w:val="16"/>
          <w:szCs w:val="16"/>
          <w:lang w:eastAsia="ru-RU"/>
          <w14:ligatures w14:val="none"/>
        </w:rPr>
        <w:t>i</w:t>
      </w:r>
      <w:proofErr w:type="spellEnd"/>
      <w:r w:rsidRPr="00E8561A">
        <w:rPr>
          <w:rFonts w:ascii="Arial" w:eastAsia="Arial" w:hAnsi="Arial" w:cs="Arial"/>
          <w:color w:val="000000"/>
          <w:kern w:val="0"/>
          <w:sz w:val="16"/>
          <w:szCs w:val="16"/>
          <w:lang w:eastAsia="ru-RU"/>
          <w14:ligatures w14:val="none"/>
        </w:rPr>
        <w:t>-GN p=0.</w:t>
      </w:r>
      <w:proofErr w:type="gramStart"/>
      <w:r w:rsidRPr="00E8561A">
        <w:rPr>
          <w:rFonts w:ascii="Arial" w:eastAsia="Arial" w:hAnsi="Arial" w:cs="Arial"/>
          <w:color w:val="000000"/>
          <w:kern w:val="0"/>
          <w:sz w:val="16"/>
          <w:szCs w:val="16"/>
          <w:lang w:val="en-US" w:eastAsia="ru-RU"/>
          <w14:ligatures w14:val="none"/>
        </w:rPr>
        <w:t>95</w:t>
      </w:r>
      <w:r w:rsidRPr="00E8561A">
        <w:rPr>
          <w:rFonts w:ascii="Arial" w:eastAsia="Arial" w:hAnsi="Arial" w:cs="Arial"/>
          <w:color w:val="000000"/>
          <w:kern w:val="0"/>
          <w:sz w:val="16"/>
          <w:szCs w:val="16"/>
          <w:lang w:eastAsia="ru-RU"/>
          <w14:ligatures w14:val="none"/>
        </w:rPr>
        <w:t>,  SVI</w:t>
      </w:r>
      <w:proofErr w:type="gramEnd"/>
      <w:r w:rsidRPr="00E8561A">
        <w:rPr>
          <w:rFonts w:ascii="Arial" w:eastAsia="Arial" w:hAnsi="Arial" w:cs="Arial"/>
          <w:color w:val="000000"/>
          <w:kern w:val="0"/>
          <w:sz w:val="16"/>
          <w:szCs w:val="16"/>
          <w:lang w:eastAsia="ru-RU"/>
          <w14:ligatures w14:val="none"/>
        </w:rPr>
        <w:t xml:space="preserve"> f-GN vs t-GN p=0.1</w:t>
      </w:r>
      <w:r w:rsidRPr="00E8561A">
        <w:rPr>
          <w:rFonts w:ascii="Arial" w:eastAsia="Arial" w:hAnsi="Arial" w:cs="Arial"/>
          <w:color w:val="000000"/>
          <w:kern w:val="0"/>
          <w:sz w:val="16"/>
          <w:szCs w:val="16"/>
          <w:lang w:val="en-US" w:eastAsia="ru-RU"/>
          <w14:ligatures w14:val="none"/>
        </w:rPr>
        <w:t>6</w:t>
      </w:r>
    </w:p>
    <w:p w14:paraId="13CF6B1B" w14:textId="69E0F6BA" w:rsidR="002B0F31" w:rsidRPr="002B0F31" w:rsidRDefault="002B0F31" w:rsidP="002B0F31">
      <w:pPr>
        <w:spacing w:line="480" w:lineRule="auto"/>
        <w:jc w:val="both"/>
        <w:rPr>
          <w:rFonts w:ascii="Arial" w:eastAsia="Arial" w:hAnsi="Arial" w:cs="Arial"/>
          <w:color w:val="000000"/>
          <w:kern w:val="0"/>
          <w:lang w:eastAsia="ru-RU"/>
          <w14:ligatures w14:val="none"/>
        </w:rPr>
      </w:pPr>
      <w:r w:rsidRPr="002B0F31">
        <w:rPr>
          <w:rFonts w:ascii="Arial" w:eastAsia="Arial" w:hAnsi="Arial" w:cs="Arial"/>
          <w:color w:val="000000"/>
          <w:kern w:val="0"/>
          <w:lang w:eastAsia="ru-RU"/>
          <w14:ligatures w14:val="none"/>
        </w:rPr>
        <w:t>Diagnostic performance of full (f-GN) and ipsilateral-only (</w:t>
      </w:r>
      <w:proofErr w:type="spellStart"/>
      <w:r w:rsidRPr="002B0F31">
        <w:rPr>
          <w:rFonts w:ascii="Arial" w:eastAsia="Arial" w:hAnsi="Arial" w:cs="Arial"/>
          <w:color w:val="000000"/>
          <w:kern w:val="0"/>
          <w:lang w:eastAsia="ru-RU"/>
          <w14:ligatures w14:val="none"/>
        </w:rPr>
        <w:t>i</w:t>
      </w:r>
      <w:proofErr w:type="spellEnd"/>
      <w:r w:rsidRPr="002B0F31">
        <w:rPr>
          <w:rFonts w:ascii="Arial" w:eastAsia="Arial" w:hAnsi="Arial" w:cs="Arial"/>
          <w:color w:val="000000"/>
          <w:kern w:val="0"/>
          <w:lang w:eastAsia="ru-RU"/>
          <w14:ligatures w14:val="none"/>
        </w:rPr>
        <w:t xml:space="preserve">-GN) </w:t>
      </w:r>
      <w:proofErr w:type="spellStart"/>
      <w:r w:rsidRPr="002B0F31">
        <w:rPr>
          <w:rFonts w:ascii="Arial" w:eastAsia="Arial" w:hAnsi="Arial" w:cs="Arial"/>
          <w:color w:val="000000"/>
          <w:kern w:val="0"/>
          <w:lang w:eastAsia="ru-RU"/>
          <w14:ligatures w14:val="none"/>
        </w:rPr>
        <w:t>Gandaglia</w:t>
      </w:r>
      <w:proofErr w:type="spellEnd"/>
      <w:r w:rsidRPr="002B0F31">
        <w:rPr>
          <w:rFonts w:ascii="Arial" w:eastAsia="Arial" w:hAnsi="Arial" w:cs="Arial"/>
          <w:color w:val="000000"/>
          <w:kern w:val="0"/>
          <w:lang w:eastAsia="ru-RU"/>
          <w14:ligatures w14:val="none"/>
        </w:rPr>
        <w:t xml:space="preserve"> nomograms for extracapsular extension and seminal vesicle invasion prediction (unifocal cohort; final pathology n=481), showing risk reclassification, sensitivity, specificity, accuracy, PPV, NPV, and AUC with DeLong comparison.</w:t>
      </w:r>
    </w:p>
    <w:p w14:paraId="7666256B" w14:textId="77777777" w:rsidR="002B0F31" w:rsidRDefault="002B0F31">
      <w:pPr>
        <w:rPr>
          <w:rFonts w:ascii="Arial" w:eastAsia="Arial" w:hAnsi="Arial" w:cs="Arial"/>
          <w:color w:val="000000"/>
          <w:kern w:val="0"/>
          <w:sz w:val="16"/>
          <w:szCs w:val="16"/>
          <w:lang w:eastAsia="ru-RU"/>
          <w14:ligatures w14:val="none"/>
        </w:rPr>
      </w:pPr>
      <w:r>
        <w:rPr>
          <w:rFonts w:ascii="Arial" w:eastAsia="Arial" w:hAnsi="Arial" w:cs="Arial"/>
          <w:color w:val="000000"/>
          <w:kern w:val="0"/>
          <w:sz w:val="16"/>
          <w:szCs w:val="16"/>
          <w:lang w:eastAsia="ru-RU"/>
          <w14:ligatures w14:val="none"/>
        </w:rPr>
        <w:br w:type="page"/>
      </w:r>
    </w:p>
    <w:p w14:paraId="32F13091" w14:textId="77777777" w:rsidR="00E8561A" w:rsidRPr="00E8561A" w:rsidRDefault="00E8561A" w:rsidP="002B0F31">
      <w:pPr>
        <w:rPr>
          <w:rFonts w:ascii="Arial" w:eastAsia="Arial" w:hAnsi="Arial" w:cs="Arial"/>
          <w:color w:val="000000"/>
          <w:kern w:val="0"/>
          <w:sz w:val="16"/>
          <w:szCs w:val="16"/>
          <w:lang w:val="en-US" w:eastAsia="ru-RU"/>
          <w14:ligatures w14:val="none"/>
        </w:rPr>
      </w:pPr>
    </w:p>
    <w:p w14:paraId="01BFC936" w14:textId="77777777" w:rsidR="00E8561A" w:rsidRDefault="00E8561A" w:rsidP="00E8561A">
      <w:pPr>
        <w:pStyle w:val="a7"/>
        <w:spacing w:line="48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Supplementary figure 1. </w:t>
      </w:r>
    </w:p>
    <w:p w14:paraId="3596C0F5" w14:textId="77777777" w:rsidR="00E8561A" w:rsidRDefault="00E8561A" w:rsidP="00E8561A">
      <w:pPr>
        <w:pStyle w:val="a7"/>
        <w:spacing w:line="480" w:lineRule="auto"/>
        <w:jc w:val="both"/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</w:rPr>
        <w:drawing>
          <wp:inline distT="0" distB="0" distL="0" distR="0" wp14:anchorId="36EB7DCD" wp14:editId="0345E8CF">
            <wp:extent cx="6120130" cy="4926965"/>
            <wp:effectExtent l="0" t="0" r="0" b="0"/>
            <wp:docPr id="18177218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721888" name="Рисунок 181772188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92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55484" w14:textId="77777777" w:rsidR="00E8561A" w:rsidRPr="00616B3D" w:rsidRDefault="00E8561A" w:rsidP="00E8561A">
      <w:pPr>
        <w:pStyle w:val="a7"/>
        <w:spacing w:line="480" w:lineRule="auto"/>
        <w:jc w:val="both"/>
        <w:rPr>
          <w:color w:val="000000" w:themeColor="text1"/>
          <w:sz w:val="20"/>
          <w:szCs w:val="20"/>
        </w:rPr>
      </w:pPr>
      <w:r w:rsidRPr="00616B3D">
        <w:rPr>
          <w:color w:val="000000" w:themeColor="text1"/>
          <w:sz w:val="20"/>
          <w:szCs w:val="20"/>
        </w:rPr>
        <w:t xml:space="preserve">Supplementary figure </w:t>
      </w:r>
      <w:r>
        <w:rPr>
          <w:color w:val="000000" w:themeColor="text1"/>
          <w:sz w:val="20"/>
          <w:szCs w:val="20"/>
        </w:rPr>
        <w:t>1</w:t>
      </w:r>
      <w:r w:rsidRPr="00616B3D">
        <w:rPr>
          <w:color w:val="000000" w:themeColor="text1"/>
          <w:sz w:val="20"/>
          <w:szCs w:val="20"/>
        </w:rPr>
        <w:t xml:space="preserve">. </w:t>
      </w:r>
      <w:r>
        <w:rPr>
          <w:color w:val="000000" w:themeColor="text1"/>
          <w:sz w:val="20"/>
          <w:szCs w:val="20"/>
        </w:rPr>
        <w:t>Consort diagram of the COBRA study</w:t>
      </w:r>
    </w:p>
    <w:p w14:paraId="773830CE" w14:textId="77777777" w:rsidR="00E8561A" w:rsidRDefault="00E8561A" w:rsidP="00E8561A">
      <w:pPr>
        <w:pStyle w:val="a7"/>
        <w:spacing w:line="480" w:lineRule="auto"/>
        <w:jc w:val="both"/>
        <w:rPr>
          <w:b/>
          <w:bCs/>
          <w:color w:val="000000" w:themeColor="text1"/>
        </w:rPr>
      </w:pPr>
    </w:p>
    <w:p w14:paraId="41B53B68" w14:textId="7984C695" w:rsidR="00E8561A" w:rsidRDefault="002B0F31" w:rsidP="00E8561A">
      <w:pPr>
        <w:pStyle w:val="a7"/>
        <w:spacing w:line="480" w:lineRule="auto"/>
        <w:jc w:val="both"/>
        <w:rPr>
          <w:b/>
          <w:bCs/>
          <w:color w:val="000000" w:themeColor="text1"/>
        </w:rPr>
      </w:pPr>
      <w:r>
        <w:t>CONSORT flow diagram of the COBRA study, showing patient identification, stratification by MRI lesion pattern (unifocal, multifocal ipsilateral, bilateral), and inclusion in nomogram analyses.</w:t>
      </w:r>
    </w:p>
    <w:p w14:paraId="60B4E643" w14:textId="77777777" w:rsidR="00E8561A" w:rsidRDefault="00E8561A" w:rsidP="00E8561A">
      <w:pPr>
        <w:pStyle w:val="a7"/>
        <w:spacing w:line="480" w:lineRule="auto"/>
        <w:jc w:val="both"/>
        <w:rPr>
          <w:b/>
          <w:bCs/>
          <w:color w:val="000000" w:themeColor="text1"/>
        </w:rPr>
      </w:pPr>
    </w:p>
    <w:p w14:paraId="16F27E3F" w14:textId="77777777" w:rsidR="00E8561A" w:rsidRPr="00616B3D" w:rsidRDefault="00E8561A" w:rsidP="00E8561A">
      <w:pPr>
        <w:pStyle w:val="a7"/>
        <w:spacing w:line="480" w:lineRule="auto"/>
        <w:jc w:val="both"/>
        <w:rPr>
          <w:b/>
          <w:bCs/>
          <w:color w:val="000000" w:themeColor="text1"/>
        </w:rPr>
      </w:pPr>
    </w:p>
    <w:p w14:paraId="6FE1EB8F" w14:textId="77777777" w:rsidR="00E8561A" w:rsidRPr="00616B3D" w:rsidRDefault="00E8561A" w:rsidP="00E8561A">
      <w:pPr>
        <w:pStyle w:val="a7"/>
        <w:spacing w:line="480" w:lineRule="auto"/>
        <w:jc w:val="both"/>
        <w:rPr>
          <w:color w:val="000000" w:themeColor="text1"/>
        </w:rPr>
      </w:pPr>
      <w:r w:rsidRPr="00025D1A">
        <w:rPr>
          <w:noProof/>
          <w:color w:val="000000" w:themeColor="text1"/>
        </w:rPr>
        <w:lastRenderedPageBreak/>
        <w:drawing>
          <wp:inline distT="0" distB="0" distL="0" distR="0" wp14:anchorId="2C00FDAE" wp14:editId="3D10C3B2">
            <wp:extent cx="4637729" cy="3253339"/>
            <wp:effectExtent l="0" t="0" r="0" b="0"/>
            <wp:docPr id="11000353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03535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49121" cy="3261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6C163" w14:textId="77777777" w:rsidR="00E8561A" w:rsidRDefault="00E8561A" w:rsidP="00E8561A">
      <w:pPr>
        <w:pStyle w:val="a7"/>
        <w:spacing w:line="480" w:lineRule="auto"/>
        <w:jc w:val="both"/>
        <w:rPr>
          <w:color w:val="000000" w:themeColor="text1"/>
          <w:sz w:val="20"/>
          <w:szCs w:val="20"/>
          <w:lang w:val="ru-RU"/>
        </w:rPr>
      </w:pPr>
      <w:r w:rsidRPr="00616B3D">
        <w:rPr>
          <w:color w:val="000000" w:themeColor="text1"/>
          <w:sz w:val="20"/>
          <w:szCs w:val="20"/>
        </w:rPr>
        <w:t xml:space="preserve">Supplementary figure </w:t>
      </w:r>
      <w:r>
        <w:rPr>
          <w:color w:val="000000" w:themeColor="text1"/>
          <w:sz w:val="20"/>
          <w:szCs w:val="20"/>
        </w:rPr>
        <w:t>2</w:t>
      </w:r>
      <w:r w:rsidRPr="00616B3D">
        <w:rPr>
          <w:color w:val="000000" w:themeColor="text1"/>
          <w:sz w:val="20"/>
          <w:szCs w:val="20"/>
        </w:rPr>
        <w:t xml:space="preserve">. ROC Curves for Briganti nomogram predictions using f-BN and </w:t>
      </w:r>
      <w:proofErr w:type="spellStart"/>
      <w:r w:rsidRPr="00616B3D">
        <w:rPr>
          <w:color w:val="000000" w:themeColor="text1"/>
          <w:sz w:val="20"/>
          <w:szCs w:val="20"/>
        </w:rPr>
        <w:t>i</w:t>
      </w:r>
      <w:proofErr w:type="spellEnd"/>
      <w:r w:rsidRPr="00616B3D">
        <w:rPr>
          <w:color w:val="000000" w:themeColor="text1"/>
          <w:sz w:val="20"/>
          <w:szCs w:val="20"/>
        </w:rPr>
        <w:t>-BN</w:t>
      </w:r>
    </w:p>
    <w:p w14:paraId="07C30510" w14:textId="5EC428E8" w:rsidR="002B0F31" w:rsidRPr="002B0F31" w:rsidRDefault="002B0F31" w:rsidP="00E8561A">
      <w:pPr>
        <w:pStyle w:val="a7"/>
        <w:spacing w:line="480" w:lineRule="auto"/>
        <w:jc w:val="both"/>
        <w:rPr>
          <w:color w:val="000000" w:themeColor="text1"/>
          <w:sz w:val="20"/>
          <w:szCs w:val="20"/>
          <w:lang w:val="en-US"/>
        </w:rPr>
      </w:pPr>
      <w:r>
        <w:t>Receiver operating characteristic (ROC) curves comparing full-bilateral (f-BN) and ipsilateral-only (</w:t>
      </w:r>
      <w:proofErr w:type="spellStart"/>
      <w:r>
        <w:t>i</w:t>
      </w:r>
      <w:proofErr w:type="spellEnd"/>
      <w:r>
        <w:t>-BN) Briganti nomogram predictions of lymph node invasion in the unifocal cohort.</w:t>
      </w:r>
    </w:p>
    <w:p w14:paraId="78E683E6" w14:textId="77777777" w:rsidR="002B0F31" w:rsidRPr="002B0F31" w:rsidRDefault="002B0F31" w:rsidP="00E8561A">
      <w:pPr>
        <w:pStyle w:val="a7"/>
        <w:spacing w:line="480" w:lineRule="auto"/>
        <w:jc w:val="both"/>
        <w:rPr>
          <w:color w:val="000000" w:themeColor="text1"/>
          <w:sz w:val="20"/>
          <w:szCs w:val="20"/>
          <w:lang w:val="en-US"/>
        </w:rPr>
      </w:pPr>
    </w:p>
    <w:p w14:paraId="0905D726" w14:textId="77777777" w:rsidR="00E8561A" w:rsidRPr="00616B3D" w:rsidRDefault="00E8561A" w:rsidP="00E8561A">
      <w:pPr>
        <w:pStyle w:val="a7"/>
        <w:spacing w:line="480" w:lineRule="auto"/>
        <w:jc w:val="both"/>
        <w:rPr>
          <w:color w:val="000000" w:themeColor="text1"/>
          <w:sz w:val="20"/>
          <w:szCs w:val="20"/>
        </w:rPr>
      </w:pPr>
    </w:p>
    <w:p w14:paraId="401B7AA9" w14:textId="77777777" w:rsidR="00E8561A" w:rsidRPr="00616B3D" w:rsidRDefault="00E8561A" w:rsidP="00E8561A">
      <w:pPr>
        <w:pStyle w:val="a7"/>
        <w:spacing w:line="480" w:lineRule="auto"/>
        <w:jc w:val="both"/>
        <w:rPr>
          <w:color w:val="000000" w:themeColor="text1"/>
        </w:rPr>
      </w:pPr>
      <w:r w:rsidRPr="00616B3D">
        <w:rPr>
          <w:noProof/>
          <w:color w:val="000000" w:themeColor="text1"/>
        </w:rPr>
        <w:lastRenderedPageBreak/>
        <w:drawing>
          <wp:inline distT="0" distB="0" distL="0" distR="0" wp14:anchorId="47305915" wp14:editId="24D6572B">
            <wp:extent cx="4085512" cy="4085512"/>
            <wp:effectExtent l="0" t="0" r="4445" b="4445"/>
            <wp:docPr id="150001746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017469" name="Рисунок 150001746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8507" cy="4088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D8586" w14:textId="77777777" w:rsidR="00E8561A" w:rsidRPr="00616B3D" w:rsidRDefault="00E8561A" w:rsidP="00E8561A">
      <w:pPr>
        <w:pStyle w:val="a7"/>
        <w:spacing w:line="480" w:lineRule="auto"/>
        <w:jc w:val="both"/>
        <w:rPr>
          <w:color w:val="000000" w:themeColor="text1"/>
        </w:rPr>
      </w:pPr>
      <w:r w:rsidRPr="00616B3D">
        <w:rPr>
          <w:color w:val="000000" w:themeColor="text1"/>
        </w:rPr>
        <w:t xml:space="preserve">Supplementary figure </w:t>
      </w:r>
      <w:r>
        <w:rPr>
          <w:color w:val="000000" w:themeColor="text1"/>
        </w:rPr>
        <w:t>3</w:t>
      </w:r>
      <w:r w:rsidRPr="00616B3D">
        <w:rPr>
          <w:color w:val="000000" w:themeColor="text1"/>
        </w:rPr>
        <w:t xml:space="preserve">. ROC-curves for Briganti nomogram estimation (ipsilateral multiple lesions) </w:t>
      </w:r>
    </w:p>
    <w:p w14:paraId="4838679B" w14:textId="0A6E4665" w:rsidR="00E8561A" w:rsidRPr="00E8561A" w:rsidRDefault="002B0F31" w:rsidP="00E8561A">
      <w:pPr>
        <w:pStyle w:val="a7"/>
        <w:spacing w:line="480" w:lineRule="auto"/>
        <w:jc w:val="both"/>
        <w:rPr>
          <w:b/>
          <w:bCs/>
          <w:color w:val="000000" w:themeColor="text1"/>
          <w:lang w:val="en-US"/>
        </w:rPr>
      </w:pPr>
      <w:r>
        <w:t>Receiver operating characteristic (ROC) curves for full-bilateral (f-BN) and ipsilateral-only (</w:t>
      </w:r>
      <w:proofErr w:type="spellStart"/>
      <w:r>
        <w:t>i</w:t>
      </w:r>
      <w:proofErr w:type="spellEnd"/>
      <w:r>
        <w:t>-BN) Briganti nomogram estimations in the multifocal ipsilateral (multiple-lesion) subgroup.</w:t>
      </w:r>
    </w:p>
    <w:p w14:paraId="35BEBAD3" w14:textId="1D338E96" w:rsidR="00E333D3" w:rsidRPr="00E8561A" w:rsidRDefault="00E333D3">
      <w:pPr>
        <w:rPr>
          <w:lang w:val="en-US"/>
        </w:rPr>
      </w:pPr>
    </w:p>
    <w:sectPr w:rsidR="00E333D3" w:rsidRPr="00E8561A" w:rsidSect="00882A6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61A"/>
    <w:rsid w:val="0003751D"/>
    <w:rsid w:val="00037EF7"/>
    <w:rsid w:val="00055F93"/>
    <w:rsid w:val="0007715F"/>
    <w:rsid w:val="000C4B20"/>
    <w:rsid w:val="000E2C61"/>
    <w:rsid w:val="00212840"/>
    <w:rsid w:val="00261635"/>
    <w:rsid w:val="00284F35"/>
    <w:rsid w:val="002B0F31"/>
    <w:rsid w:val="002F2326"/>
    <w:rsid w:val="003020CC"/>
    <w:rsid w:val="00306367"/>
    <w:rsid w:val="003204FB"/>
    <w:rsid w:val="00334E21"/>
    <w:rsid w:val="00343176"/>
    <w:rsid w:val="0037455B"/>
    <w:rsid w:val="003D31E5"/>
    <w:rsid w:val="003E6DA6"/>
    <w:rsid w:val="003F1EB8"/>
    <w:rsid w:val="00437F06"/>
    <w:rsid w:val="004806B2"/>
    <w:rsid w:val="00543BC3"/>
    <w:rsid w:val="0055272D"/>
    <w:rsid w:val="005619F9"/>
    <w:rsid w:val="00573C9E"/>
    <w:rsid w:val="00576562"/>
    <w:rsid w:val="005A4CE7"/>
    <w:rsid w:val="005C3AF7"/>
    <w:rsid w:val="005E21E2"/>
    <w:rsid w:val="006031BD"/>
    <w:rsid w:val="0061416F"/>
    <w:rsid w:val="00652FA6"/>
    <w:rsid w:val="0066652D"/>
    <w:rsid w:val="006669C9"/>
    <w:rsid w:val="00680570"/>
    <w:rsid w:val="006B1E87"/>
    <w:rsid w:val="006D724A"/>
    <w:rsid w:val="006F58DB"/>
    <w:rsid w:val="00714E93"/>
    <w:rsid w:val="00757792"/>
    <w:rsid w:val="00771E3D"/>
    <w:rsid w:val="0079521A"/>
    <w:rsid w:val="007A5EA4"/>
    <w:rsid w:val="007B5514"/>
    <w:rsid w:val="007C6E6B"/>
    <w:rsid w:val="00821B81"/>
    <w:rsid w:val="00837D74"/>
    <w:rsid w:val="00852624"/>
    <w:rsid w:val="00855AC0"/>
    <w:rsid w:val="00882A64"/>
    <w:rsid w:val="00922052"/>
    <w:rsid w:val="00983524"/>
    <w:rsid w:val="0098417C"/>
    <w:rsid w:val="009E4891"/>
    <w:rsid w:val="009E7213"/>
    <w:rsid w:val="009F2450"/>
    <w:rsid w:val="00A47425"/>
    <w:rsid w:val="00A524F0"/>
    <w:rsid w:val="00A52CF7"/>
    <w:rsid w:val="00A64889"/>
    <w:rsid w:val="00AC408C"/>
    <w:rsid w:val="00B06062"/>
    <w:rsid w:val="00B1251F"/>
    <w:rsid w:val="00B94671"/>
    <w:rsid w:val="00BA1911"/>
    <w:rsid w:val="00BB4698"/>
    <w:rsid w:val="00C11BA0"/>
    <w:rsid w:val="00C172EB"/>
    <w:rsid w:val="00D70153"/>
    <w:rsid w:val="00D70417"/>
    <w:rsid w:val="00DA022D"/>
    <w:rsid w:val="00DB6752"/>
    <w:rsid w:val="00DE7A86"/>
    <w:rsid w:val="00E333D3"/>
    <w:rsid w:val="00E45EB7"/>
    <w:rsid w:val="00E8561A"/>
    <w:rsid w:val="00EF66B3"/>
    <w:rsid w:val="00F16A41"/>
    <w:rsid w:val="00F44AF1"/>
    <w:rsid w:val="00F71714"/>
    <w:rsid w:val="00FE6DB2"/>
    <w:rsid w:val="00FF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306797"/>
  <w14:defaultImageDpi w14:val="32767"/>
  <w15:chartTrackingRefBased/>
  <w15:docId w15:val="{78734D0E-DB0F-C844-9DF5-0CD03C6E3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E856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6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56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56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56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6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56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56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56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561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20">
    <w:name w:val="Заголовок 2 Знак"/>
    <w:basedOn w:val="a0"/>
    <w:link w:val="2"/>
    <w:uiPriority w:val="9"/>
    <w:semiHidden/>
    <w:rsid w:val="00E8561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30">
    <w:name w:val="Заголовок 3 Знак"/>
    <w:basedOn w:val="a0"/>
    <w:link w:val="3"/>
    <w:uiPriority w:val="9"/>
    <w:semiHidden/>
    <w:rsid w:val="00E8561A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40">
    <w:name w:val="Заголовок 4 Знак"/>
    <w:basedOn w:val="a0"/>
    <w:link w:val="4"/>
    <w:uiPriority w:val="9"/>
    <w:semiHidden/>
    <w:rsid w:val="00E8561A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50">
    <w:name w:val="Заголовок 5 Знак"/>
    <w:basedOn w:val="a0"/>
    <w:link w:val="5"/>
    <w:uiPriority w:val="9"/>
    <w:semiHidden/>
    <w:rsid w:val="00E8561A"/>
    <w:rPr>
      <w:rFonts w:eastAsiaTheme="majorEastAsia" w:cstheme="majorBidi"/>
      <w:color w:val="2F5496" w:themeColor="accent1" w:themeShade="BF"/>
      <w:lang w:val="en-GB"/>
    </w:rPr>
  </w:style>
  <w:style w:type="character" w:customStyle="1" w:styleId="60">
    <w:name w:val="Заголовок 6 Знак"/>
    <w:basedOn w:val="a0"/>
    <w:link w:val="6"/>
    <w:uiPriority w:val="9"/>
    <w:semiHidden/>
    <w:rsid w:val="00E8561A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70">
    <w:name w:val="Заголовок 7 Знак"/>
    <w:basedOn w:val="a0"/>
    <w:link w:val="7"/>
    <w:uiPriority w:val="9"/>
    <w:semiHidden/>
    <w:rsid w:val="00E8561A"/>
    <w:rPr>
      <w:rFonts w:eastAsiaTheme="majorEastAsia" w:cstheme="majorBidi"/>
      <w:color w:val="595959" w:themeColor="text1" w:themeTint="A6"/>
      <w:lang w:val="en-GB"/>
    </w:rPr>
  </w:style>
  <w:style w:type="character" w:customStyle="1" w:styleId="80">
    <w:name w:val="Заголовок 8 Знак"/>
    <w:basedOn w:val="a0"/>
    <w:link w:val="8"/>
    <w:uiPriority w:val="9"/>
    <w:semiHidden/>
    <w:rsid w:val="00E8561A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E8561A"/>
    <w:rPr>
      <w:rFonts w:eastAsiaTheme="majorEastAsia" w:cstheme="majorBidi"/>
      <w:color w:val="272727" w:themeColor="text1" w:themeTint="D8"/>
      <w:lang w:val="en-GB"/>
    </w:rPr>
  </w:style>
  <w:style w:type="paragraph" w:styleId="a3">
    <w:name w:val="Title"/>
    <w:basedOn w:val="a"/>
    <w:next w:val="a"/>
    <w:link w:val="a4"/>
    <w:uiPriority w:val="10"/>
    <w:qFormat/>
    <w:rsid w:val="00E856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8561A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5">
    <w:name w:val="Subtitle"/>
    <w:basedOn w:val="a"/>
    <w:next w:val="a"/>
    <w:link w:val="a6"/>
    <w:uiPriority w:val="11"/>
    <w:qFormat/>
    <w:rsid w:val="00E8561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8561A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21">
    <w:name w:val="Quote"/>
    <w:basedOn w:val="a"/>
    <w:next w:val="a"/>
    <w:link w:val="22"/>
    <w:uiPriority w:val="29"/>
    <w:qFormat/>
    <w:rsid w:val="00E856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561A"/>
    <w:rPr>
      <w:i/>
      <w:iCs/>
      <w:color w:val="404040" w:themeColor="text1" w:themeTint="BF"/>
      <w:lang w:val="en-GB"/>
    </w:rPr>
  </w:style>
  <w:style w:type="paragraph" w:styleId="a7">
    <w:name w:val="List Paragraph"/>
    <w:basedOn w:val="a"/>
    <w:qFormat/>
    <w:rsid w:val="00E8561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8561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56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8561A"/>
    <w:rPr>
      <w:i/>
      <w:iCs/>
      <w:color w:val="2F5496" w:themeColor="accent1" w:themeShade="BF"/>
      <w:lang w:val="en-GB"/>
    </w:rPr>
  </w:style>
  <w:style w:type="character" w:styleId="ab">
    <w:name w:val="Intense Reference"/>
    <w:basedOn w:val="a0"/>
    <w:uiPriority w:val="32"/>
    <w:qFormat/>
    <w:rsid w:val="00E8561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8561A"/>
    <w:rPr>
      <w:rFonts w:ascii="Arial" w:eastAsia="Arial" w:hAnsi="Arial" w:cs="Arial"/>
      <w:kern w:val="0"/>
      <w:sz w:val="22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736</Words>
  <Characters>4550</Characters>
  <Application>Microsoft Office Word</Application>
  <DocSecurity>0</DocSecurity>
  <Lines>78</Lines>
  <Paragraphs>20</Paragraphs>
  <ScaleCrop>false</ScaleCrop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Chernysheva</dc:creator>
  <cp:keywords/>
  <dc:description/>
  <cp:lastModifiedBy>Daria Chernysheva</cp:lastModifiedBy>
  <cp:revision>2</cp:revision>
  <dcterms:created xsi:type="dcterms:W3CDTF">2026-08-07T10:30:00Z</dcterms:created>
  <dcterms:modified xsi:type="dcterms:W3CDTF">2026-08-07T10:45:00Z</dcterms:modified>
</cp:coreProperties>
</file>