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0F11" w14:textId="77777777" w:rsidR="00FF5B41" w:rsidRDefault="00FF5B41" w:rsidP="00FF5B41">
      <w:pPr>
        <w:spacing w:before="120" w:after="100" w:afterAutospacing="1"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Supplementary Data</w:t>
      </w:r>
    </w:p>
    <w:p w14:paraId="1D84D02D" w14:textId="77777777" w:rsidR="00FF5B41" w:rsidRPr="00425B7D" w:rsidRDefault="00FF5B41" w:rsidP="00FF5B41">
      <w:pPr>
        <w:spacing w:before="120" w:after="100" w:afterAutospacing="1"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Figure 1. Expression of major SMAD proteins in the canonical </w:t>
      </w:r>
      <w:r w:rsidRPr="00425B7D">
        <w:rPr>
          <w:rFonts w:ascii="Arial" w:hAnsi="Arial" w:cs="Arial"/>
          <w:b/>
          <w:bCs/>
          <w:sz w:val="24"/>
          <w:szCs w:val="24"/>
          <w:lang w:val="en-US"/>
        </w:rPr>
        <w:t>TGFβ1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signalling pathway with </w:t>
      </w:r>
      <w:r w:rsidRPr="004F049D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SARA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expression modulation. </w:t>
      </w:r>
      <w:r>
        <w:rPr>
          <w:rFonts w:ascii="Arial" w:hAnsi="Arial" w:cs="Arial"/>
          <w:sz w:val="24"/>
          <w:szCs w:val="24"/>
          <w:lang w:val="en-US"/>
        </w:rPr>
        <w:t xml:space="preserve">Protein expression of SMAD7, and total or phosphorylated SMAD2/3 in </w:t>
      </w:r>
      <w:r w:rsidRPr="008D1BFD">
        <w:rPr>
          <w:rFonts w:ascii="Arial" w:hAnsi="Arial" w:cs="Arial"/>
          <w:sz w:val="24"/>
          <w:szCs w:val="24"/>
          <w:lang w:val="en-US"/>
        </w:rPr>
        <w:t>LX</w:t>
      </w:r>
      <w:r>
        <w:rPr>
          <w:rFonts w:ascii="Arial" w:hAnsi="Arial" w:cs="Arial"/>
          <w:sz w:val="24"/>
          <w:szCs w:val="24"/>
          <w:lang w:val="en-US"/>
        </w:rPr>
        <w:t>-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2 cells </w:t>
      </w:r>
      <w:r>
        <w:rPr>
          <w:rFonts w:ascii="Arial" w:hAnsi="Arial" w:cs="Arial"/>
          <w:sz w:val="24"/>
          <w:szCs w:val="24"/>
          <w:lang w:val="en-US"/>
        </w:rPr>
        <w:t xml:space="preserve">that 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were </w:t>
      </w:r>
      <w:r>
        <w:rPr>
          <w:rFonts w:ascii="Arial" w:hAnsi="Arial" w:cs="Arial"/>
          <w:sz w:val="24"/>
          <w:szCs w:val="24"/>
          <w:lang w:val="en-US"/>
        </w:rPr>
        <w:t>transfected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 with </w:t>
      </w:r>
      <w:r>
        <w:rPr>
          <w:rFonts w:ascii="Arial" w:hAnsi="Arial" w:cs="Arial"/>
          <w:sz w:val="24"/>
          <w:szCs w:val="24"/>
          <w:lang w:val="en-US"/>
        </w:rPr>
        <w:t xml:space="preserve">(A) </w:t>
      </w:r>
      <w:r w:rsidRPr="008D1BFD">
        <w:rPr>
          <w:rFonts w:ascii="Arial" w:hAnsi="Arial" w:cs="Arial"/>
          <w:sz w:val="24"/>
          <w:szCs w:val="24"/>
          <w:lang w:val="en-US"/>
        </w:rPr>
        <w:t>either control (si-NS) or SARA-siRNA (</w:t>
      </w:r>
      <w:r>
        <w:rPr>
          <w:rFonts w:ascii="Arial" w:hAnsi="Arial" w:cs="Arial"/>
          <w:sz w:val="24"/>
          <w:szCs w:val="24"/>
          <w:lang w:val="en-US"/>
        </w:rPr>
        <w:t>si-SARA</w:t>
      </w:r>
      <w:r w:rsidRPr="008D1BFD">
        <w:rPr>
          <w:rFonts w:ascii="Arial" w:hAnsi="Arial" w:cs="Arial"/>
          <w:sz w:val="24"/>
          <w:szCs w:val="24"/>
          <w:lang w:val="en-US"/>
        </w:rPr>
        <w:t>) for 72 hours followed by TGFβ1 treatment (10 ng/ml) for 4 hr (n=</w:t>
      </w:r>
      <w:r>
        <w:rPr>
          <w:rFonts w:ascii="Arial" w:hAnsi="Arial" w:cs="Arial"/>
          <w:sz w:val="24"/>
          <w:szCs w:val="24"/>
          <w:lang w:val="en-US"/>
        </w:rPr>
        <w:t>2</w:t>
      </w:r>
      <w:r w:rsidRPr="008D1BFD"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 xml:space="preserve"> or (B) </w:t>
      </w:r>
      <w:r w:rsidRPr="008D1BFD">
        <w:rPr>
          <w:rFonts w:ascii="Arial" w:hAnsi="Arial" w:cs="Arial"/>
          <w:sz w:val="24"/>
          <w:szCs w:val="24"/>
          <w:lang w:val="en-US"/>
        </w:rPr>
        <w:t>plasmid expressing human SARA</w:t>
      </w:r>
      <w:r>
        <w:rPr>
          <w:rFonts w:ascii="Arial" w:hAnsi="Arial" w:cs="Arial"/>
          <w:sz w:val="24"/>
          <w:szCs w:val="24"/>
          <w:lang w:val="en-US"/>
        </w:rPr>
        <w:t xml:space="preserve"> (0 or 50ng)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 for 48 hours (n=3).</w:t>
      </w:r>
      <w:r>
        <w:rPr>
          <w:rFonts w:ascii="Arial" w:hAnsi="Arial" w:cs="Arial"/>
          <w:sz w:val="24"/>
          <w:szCs w:val="24"/>
          <w:lang w:val="en-US"/>
        </w:rPr>
        <w:t xml:space="preserve"> Representative blots are shown.</w:t>
      </w:r>
    </w:p>
    <w:p w14:paraId="0B330F64" w14:textId="77777777" w:rsidR="00FF5B41" w:rsidRPr="008D1BFD" w:rsidRDefault="00FF5B41" w:rsidP="00FF5B41">
      <w:pPr>
        <w:spacing w:before="120" w:after="100" w:afterAutospacing="1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Supplementary Figure 2</w:t>
      </w:r>
      <w:r w:rsidRPr="008D1BFD">
        <w:rPr>
          <w:rFonts w:ascii="Arial" w:hAnsi="Arial" w:cs="Arial"/>
          <w:b/>
          <w:bCs/>
          <w:sz w:val="24"/>
          <w:szCs w:val="24"/>
          <w:lang w:val="en-US"/>
        </w:rPr>
        <w:t>.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Loss of </w:t>
      </w:r>
      <w:r w:rsidRPr="009B2F7B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Sara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in murine HSCs leads to increased expression of other ECM remodelling markers. 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mRNA expression of </w:t>
      </w:r>
      <w:r>
        <w:rPr>
          <w:rFonts w:ascii="Arial" w:hAnsi="Arial" w:cs="Arial"/>
          <w:i/>
          <w:iCs/>
          <w:sz w:val="24"/>
          <w:szCs w:val="24"/>
          <w:lang w:val="en-US"/>
        </w:rPr>
        <w:t>Col3a1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(A) and </w:t>
      </w:r>
      <w:r>
        <w:rPr>
          <w:rFonts w:ascii="Arial" w:hAnsi="Arial" w:cs="Arial"/>
          <w:i/>
          <w:iCs/>
          <w:sz w:val="24"/>
          <w:szCs w:val="24"/>
          <w:lang w:val="en-US"/>
        </w:rPr>
        <w:t xml:space="preserve">Mmp2 </w:t>
      </w:r>
      <w:r w:rsidRPr="008D1BFD">
        <w:rPr>
          <w:rFonts w:ascii="Arial" w:hAnsi="Arial" w:cs="Arial"/>
          <w:sz w:val="24"/>
          <w:szCs w:val="24"/>
          <w:lang w:val="en-US"/>
        </w:rPr>
        <w:t>(</w:t>
      </w:r>
      <w:r>
        <w:rPr>
          <w:rFonts w:ascii="Arial" w:hAnsi="Arial" w:cs="Arial"/>
          <w:sz w:val="24"/>
          <w:szCs w:val="24"/>
          <w:lang w:val="en-US"/>
        </w:rPr>
        <w:t>B</w:t>
      </w:r>
      <w:r w:rsidRPr="008D1BFD"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 xml:space="preserve"> were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 measured in the livers of HSC-specific </w:t>
      </w:r>
      <w:r w:rsidRPr="009B2F7B">
        <w:rPr>
          <w:rFonts w:ascii="Arial" w:hAnsi="Arial" w:cs="Arial"/>
          <w:i/>
          <w:iCs/>
          <w:sz w:val="24"/>
          <w:szCs w:val="24"/>
          <w:lang w:val="en-US"/>
        </w:rPr>
        <w:t>Sara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 knockout mice (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>Lrat-Cre</w:t>
      </w:r>
      <w:r w:rsidRPr="008D1BFD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+/-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>/S</w:t>
      </w:r>
      <w:r>
        <w:rPr>
          <w:rFonts w:ascii="Arial" w:hAnsi="Arial" w:cs="Arial"/>
          <w:i/>
          <w:iCs/>
          <w:sz w:val="24"/>
          <w:szCs w:val="24"/>
          <w:lang w:val="en-US"/>
        </w:rPr>
        <w:t>ara</w:t>
      </w:r>
      <w:r w:rsidRPr="008D1BFD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f/f</w:t>
      </w:r>
      <w:r w:rsidRPr="008D1BFD">
        <w:rPr>
          <w:rFonts w:ascii="Arial" w:hAnsi="Arial" w:cs="Arial"/>
          <w:sz w:val="24"/>
          <w:szCs w:val="24"/>
          <w:vertAlign w:val="superscript"/>
          <w:lang w:val="en-US"/>
        </w:rPr>
        <w:t xml:space="preserve">) </w:t>
      </w:r>
      <w:r w:rsidRPr="008D1BFD">
        <w:rPr>
          <w:rFonts w:ascii="Arial" w:hAnsi="Arial" w:cs="Arial"/>
          <w:sz w:val="24"/>
          <w:szCs w:val="24"/>
          <w:lang w:val="en-US"/>
        </w:rPr>
        <w:t>and littermate controls (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>Lrat-Cre</w:t>
      </w:r>
      <w:r w:rsidRPr="008D1BFD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-/-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>/S</w:t>
      </w:r>
      <w:r>
        <w:rPr>
          <w:rFonts w:ascii="Arial" w:hAnsi="Arial" w:cs="Arial"/>
          <w:i/>
          <w:iCs/>
          <w:sz w:val="24"/>
          <w:szCs w:val="24"/>
          <w:lang w:val="en-US"/>
        </w:rPr>
        <w:t>ara</w:t>
      </w:r>
      <w:r w:rsidRPr="008D1BFD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f/f</w:t>
      </w:r>
      <w:r w:rsidRPr="008D1BFD">
        <w:rPr>
          <w:rFonts w:ascii="Arial" w:hAnsi="Arial" w:cs="Arial"/>
          <w:sz w:val="24"/>
          <w:szCs w:val="24"/>
          <w:lang w:val="en-US"/>
        </w:rPr>
        <w:t>) treated with</w:t>
      </w:r>
      <w:r>
        <w:rPr>
          <w:rFonts w:ascii="Arial" w:hAnsi="Arial" w:cs="Arial"/>
          <w:sz w:val="24"/>
          <w:szCs w:val="24"/>
          <w:lang w:val="en-US"/>
        </w:rPr>
        <w:t xml:space="preserve"> or </w:t>
      </w:r>
      <w:r w:rsidRPr="008D1BFD">
        <w:rPr>
          <w:rFonts w:ascii="Arial" w:hAnsi="Arial" w:cs="Arial"/>
          <w:sz w:val="24"/>
          <w:szCs w:val="24"/>
          <w:lang w:val="en-US"/>
        </w:rPr>
        <w:t>without TAA supplemented drinking water (300 mg/L) for 6 (</w:t>
      </w:r>
      <w:r>
        <w:rPr>
          <w:rFonts w:ascii="Arial" w:hAnsi="Arial" w:cs="Arial"/>
          <w:sz w:val="24"/>
          <w:szCs w:val="24"/>
          <w:lang w:val="en-US"/>
        </w:rPr>
        <w:t xml:space="preserve">left; </w:t>
      </w:r>
      <w:r w:rsidRPr="008D1BFD">
        <w:rPr>
          <w:rFonts w:ascii="Arial" w:hAnsi="Arial" w:cs="Arial"/>
          <w:sz w:val="24"/>
          <w:szCs w:val="24"/>
          <w:lang w:val="en-US"/>
        </w:rPr>
        <w:t>n=7-9)</w:t>
      </w:r>
      <w:r>
        <w:rPr>
          <w:rFonts w:ascii="Arial" w:hAnsi="Arial" w:cs="Arial"/>
          <w:sz w:val="24"/>
          <w:szCs w:val="24"/>
          <w:lang w:val="en-US"/>
        </w:rPr>
        <w:t xml:space="preserve"> or </w:t>
      </w:r>
      <w:r w:rsidRPr="008D1BFD">
        <w:rPr>
          <w:rFonts w:ascii="Arial" w:hAnsi="Arial" w:cs="Arial"/>
          <w:sz w:val="24"/>
          <w:szCs w:val="24"/>
          <w:lang w:val="en-US"/>
        </w:rPr>
        <w:t>12 (</w:t>
      </w:r>
      <w:r>
        <w:rPr>
          <w:rFonts w:ascii="Arial" w:hAnsi="Arial" w:cs="Arial"/>
          <w:sz w:val="24"/>
          <w:szCs w:val="24"/>
          <w:lang w:val="en-US"/>
        </w:rPr>
        <w:t xml:space="preserve">right; </w:t>
      </w:r>
      <w:r w:rsidRPr="008D1BFD">
        <w:rPr>
          <w:rFonts w:ascii="Arial" w:hAnsi="Arial" w:cs="Arial"/>
          <w:sz w:val="24"/>
          <w:szCs w:val="24"/>
          <w:lang w:val="en-US"/>
        </w:rPr>
        <w:t>n=7-1</w:t>
      </w:r>
      <w:r>
        <w:rPr>
          <w:rFonts w:ascii="Arial" w:hAnsi="Arial" w:cs="Arial"/>
          <w:sz w:val="24"/>
          <w:szCs w:val="24"/>
          <w:lang w:val="en-US"/>
        </w:rPr>
        <w:t>1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) weeks. </w:t>
      </w:r>
      <w:r>
        <w:rPr>
          <w:rFonts w:ascii="Arial" w:hAnsi="Arial" w:cs="Arial"/>
          <w:sz w:val="24"/>
          <w:szCs w:val="24"/>
          <w:lang w:val="en-US"/>
        </w:rPr>
        <w:t xml:space="preserve">The data was normalized to the average of the control group, and 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presented as </w:t>
      </w:r>
      <w:r>
        <w:rPr>
          <w:rFonts w:ascii="Arial" w:hAnsi="Arial" w:cs="Arial"/>
          <w:sz w:val="24"/>
          <w:szCs w:val="24"/>
          <w:lang w:val="en-US"/>
        </w:rPr>
        <w:t>m</w:t>
      </w:r>
      <w:r w:rsidRPr="008D1BFD">
        <w:rPr>
          <w:rFonts w:ascii="Arial" w:hAnsi="Arial" w:cs="Arial"/>
          <w:sz w:val="24"/>
          <w:szCs w:val="24"/>
          <w:lang w:val="en-US"/>
        </w:rPr>
        <w:t>ean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8D1BFD">
        <w:rPr>
          <w:rFonts w:ascii="Arial" w:hAnsi="Arial" w:cs="Arial"/>
          <w:sz w:val="24"/>
          <w:szCs w:val="24"/>
          <w:lang w:val="en-US"/>
        </w:rPr>
        <w:t>+/- SEM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Pr="008D1BFD">
        <w:rPr>
          <w:rFonts w:ascii="Arial" w:hAnsi="Arial" w:cs="Arial"/>
          <w:sz w:val="24"/>
          <w:szCs w:val="24"/>
          <w:lang w:val="en-US"/>
        </w:rPr>
        <w:t>P-values were calculated using two-way ANOVA</w:t>
      </w:r>
      <w:r>
        <w:rPr>
          <w:rFonts w:ascii="Arial" w:hAnsi="Arial" w:cs="Arial"/>
          <w:sz w:val="24"/>
          <w:szCs w:val="24"/>
          <w:lang w:val="en-US"/>
        </w:rPr>
        <w:t xml:space="preserve"> with Fisher’s LSD post-hoc correction; </w:t>
      </w:r>
      <w:r w:rsidRPr="008D1BFD">
        <w:rPr>
          <w:rFonts w:ascii="Arial" w:hAnsi="Arial" w:cs="Arial"/>
          <w:sz w:val="24"/>
          <w:szCs w:val="24"/>
          <w:lang w:val="en-US"/>
        </w:rPr>
        <w:t>* indicates a P-value of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8D1BFD">
        <w:rPr>
          <w:rFonts w:ascii="Arial" w:hAnsi="Arial" w:cs="Arial"/>
          <w:sz w:val="24"/>
          <w:szCs w:val="24"/>
          <w:lang w:val="en-US"/>
        </w:rPr>
        <w:t>&lt;0.05</w:t>
      </w:r>
      <w:r>
        <w:rPr>
          <w:rFonts w:ascii="Arial" w:hAnsi="Arial" w:cs="Arial"/>
          <w:sz w:val="24"/>
          <w:szCs w:val="24"/>
          <w:lang w:val="en-US"/>
        </w:rPr>
        <w:t>, **- P&lt;0.01,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***- P&lt;0.001, </w:t>
      </w:r>
      <w:r w:rsidRPr="008D1BFD">
        <w:rPr>
          <w:rFonts w:ascii="Arial" w:hAnsi="Arial" w:cs="Arial"/>
          <w:sz w:val="24"/>
          <w:szCs w:val="24"/>
          <w:lang w:val="en-US"/>
        </w:rPr>
        <w:t>and *</w:t>
      </w:r>
      <w:r>
        <w:rPr>
          <w:rFonts w:ascii="Arial" w:hAnsi="Arial" w:cs="Arial"/>
          <w:sz w:val="24"/>
          <w:szCs w:val="24"/>
          <w:lang w:val="en-US"/>
        </w:rPr>
        <w:t>*</w:t>
      </w:r>
      <w:r w:rsidRPr="008D1BFD">
        <w:rPr>
          <w:rFonts w:ascii="Arial" w:hAnsi="Arial" w:cs="Arial"/>
          <w:sz w:val="24"/>
          <w:szCs w:val="24"/>
          <w:lang w:val="en-US"/>
        </w:rPr>
        <w:t>**</w:t>
      </w:r>
      <w:r>
        <w:rPr>
          <w:rFonts w:ascii="Arial" w:hAnsi="Arial" w:cs="Arial"/>
          <w:sz w:val="24"/>
          <w:szCs w:val="24"/>
          <w:lang w:val="en-US"/>
        </w:rPr>
        <w:t>-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 P&lt;0.</w:t>
      </w:r>
      <w:r>
        <w:rPr>
          <w:rFonts w:ascii="Arial" w:hAnsi="Arial" w:cs="Arial"/>
          <w:sz w:val="24"/>
          <w:szCs w:val="24"/>
          <w:lang w:val="en-US"/>
        </w:rPr>
        <w:t>0</w:t>
      </w:r>
      <w:r w:rsidRPr="008D1BFD">
        <w:rPr>
          <w:rFonts w:ascii="Arial" w:hAnsi="Arial" w:cs="Arial"/>
          <w:sz w:val="24"/>
          <w:szCs w:val="24"/>
          <w:lang w:val="en-US"/>
        </w:rPr>
        <w:t>001.</w:t>
      </w:r>
    </w:p>
    <w:p w14:paraId="40E215EB" w14:textId="77777777" w:rsidR="00FF5B41" w:rsidRPr="008D1BFD" w:rsidRDefault="00FF5B41" w:rsidP="00FF5B41">
      <w:pPr>
        <w:spacing w:before="120" w:after="100" w:afterAutospacing="1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Supplementary Figure 3</w:t>
      </w:r>
      <w:r w:rsidRPr="008D1BFD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 </w:t>
      </w:r>
      <w:r w:rsidRPr="008D1BFD">
        <w:rPr>
          <w:rFonts w:ascii="Arial" w:hAnsi="Arial" w:cs="Arial"/>
          <w:b/>
          <w:bCs/>
          <w:sz w:val="24"/>
          <w:szCs w:val="24"/>
          <w:lang w:val="en-US"/>
        </w:rPr>
        <w:t xml:space="preserve">Loss of </w:t>
      </w:r>
      <w:r w:rsidRPr="009B2F7B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Sara</w:t>
      </w:r>
      <w:r w:rsidRPr="008D1BFD">
        <w:rPr>
          <w:rFonts w:ascii="Arial" w:hAnsi="Arial" w:cs="Arial"/>
          <w:b/>
          <w:bCs/>
          <w:sz w:val="24"/>
          <w:szCs w:val="24"/>
          <w:lang w:val="en-US"/>
        </w:rPr>
        <w:t xml:space="preserve"> in murine </w:t>
      </w:r>
      <w:r>
        <w:rPr>
          <w:rFonts w:ascii="Arial" w:hAnsi="Arial" w:cs="Arial"/>
          <w:b/>
          <w:bCs/>
          <w:sz w:val="24"/>
          <w:szCs w:val="24"/>
          <w:lang w:val="en-US"/>
        </w:rPr>
        <w:t>HSC</w:t>
      </w:r>
      <w:r w:rsidRPr="008D1BFD">
        <w:rPr>
          <w:rFonts w:ascii="Arial" w:hAnsi="Arial" w:cs="Arial"/>
          <w:b/>
          <w:bCs/>
          <w:sz w:val="24"/>
          <w:szCs w:val="24"/>
          <w:lang w:val="en-US"/>
        </w:rPr>
        <w:t>s leads to increased expression of stellate cell activation markers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. mRNA expression of 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 xml:space="preserve">Ctgf 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(A), 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 xml:space="preserve">Cygb </w:t>
      </w:r>
      <w:r w:rsidRPr="008D1BFD">
        <w:rPr>
          <w:rFonts w:ascii="Arial" w:hAnsi="Arial" w:cs="Arial"/>
          <w:sz w:val="24"/>
          <w:szCs w:val="24"/>
          <w:lang w:val="en-US"/>
        </w:rPr>
        <w:t>(B)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 and 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>Ppar</w:t>
      </w:r>
      <w:r w:rsidRPr="00AE4872">
        <w:rPr>
          <w:rFonts w:ascii="Arial" w:hAnsi="Arial" w:cs="Arial"/>
          <w:i/>
          <w:iCs/>
          <w:sz w:val="24"/>
          <w:szCs w:val="24"/>
          <w:lang w:val="en-US"/>
        </w:rPr>
        <w:t>g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8D1BFD">
        <w:rPr>
          <w:rFonts w:ascii="Arial" w:hAnsi="Arial" w:cs="Arial"/>
          <w:sz w:val="24"/>
          <w:szCs w:val="24"/>
          <w:lang w:val="en-US"/>
        </w:rPr>
        <w:t>(C)</w:t>
      </w:r>
      <w:r>
        <w:rPr>
          <w:rFonts w:ascii="Arial" w:hAnsi="Arial" w:cs="Arial"/>
          <w:sz w:val="24"/>
          <w:szCs w:val="24"/>
          <w:lang w:val="en-US"/>
        </w:rPr>
        <w:t xml:space="preserve"> were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 measured in the livers of HSC-specific </w:t>
      </w:r>
      <w:r w:rsidRPr="009B2F7B">
        <w:rPr>
          <w:rFonts w:ascii="Arial" w:hAnsi="Arial" w:cs="Arial"/>
          <w:i/>
          <w:iCs/>
          <w:sz w:val="24"/>
          <w:szCs w:val="24"/>
          <w:lang w:val="en-US"/>
        </w:rPr>
        <w:t xml:space="preserve">Sara </w:t>
      </w:r>
      <w:r w:rsidRPr="008D1BFD">
        <w:rPr>
          <w:rFonts w:ascii="Arial" w:hAnsi="Arial" w:cs="Arial"/>
          <w:sz w:val="24"/>
          <w:szCs w:val="24"/>
          <w:lang w:val="en-US"/>
        </w:rPr>
        <w:t>knockout mice (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>Lrat-Cre</w:t>
      </w:r>
      <w:r w:rsidRPr="008D1BFD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+/-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>/S</w:t>
      </w:r>
      <w:r>
        <w:rPr>
          <w:rFonts w:ascii="Arial" w:hAnsi="Arial" w:cs="Arial"/>
          <w:i/>
          <w:iCs/>
          <w:sz w:val="24"/>
          <w:szCs w:val="24"/>
          <w:lang w:val="en-US"/>
        </w:rPr>
        <w:t>ara</w:t>
      </w:r>
      <w:r w:rsidRPr="008D1BFD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f/f</w:t>
      </w:r>
      <w:r w:rsidRPr="008D1BFD">
        <w:rPr>
          <w:rFonts w:ascii="Arial" w:hAnsi="Arial" w:cs="Arial"/>
          <w:sz w:val="24"/>
          <w:szCs w:val="24"/>
          <w:vertAlign w:val="superscript"/>
          <w:lang w:val="en-US"/>
        </w:rPr>
        <w:t xml:space="preserve">) </w:t>
      </w:r>
      <w:r w:rsidRPr="008D1BFD">
        <w:rPr>
          <w:rFonts w:ascii="Arial" w:hAnsi="Arial" w:cs="Arial"/>
          <w:sz w:val="24"/>
          <w:szCs w:val="24"/>
          <w:lang w:val="en-US"/>
        </w:rPr>
        <w:t>and littermate controls (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>Lrat-Cre</w:t>
      </w:r>
      <w:r w:rsidRPr="008D1BFD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-/-</w:t>
      </w:r>
      <w:r w:rsidRPr="008D1BFD">
        <w:rPr>
          <w:rFonts w:ascii="Arial" w:hAnsi="Arial" w:cs="Arial"/>
          <w:i/>
          <w:iCs/>
          <w:sz w:val="24"/>
          <w:szCs w:val="24"/>
          <w:lang w:val="en-US"/>
        </w:rPr>
        <w:t>/S</w:t>
      </w:r>
      <w:r>
        <w:rPr>
          <w:rFonts w:ascii="Arial" w:hAnsi="Arial" w:cs="Arial"/>
          <w:i/>
          <w:iCs/>
          <w:sz w:val="24"/>
          <w:szCs w:val="24"/>
          <w:lang w:val="en-US"/>
        </w:rPr>
        <w:t>ara</w:t>
      </w:r>
      <w:r w:rsidRPr="008D1BFD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f/f</w:t>
      </w:r>
      <w:r w:rsidRPr="008D1BFD">
        <w:rPr>
          <w:rFonts w:ascii="Arial" w:hAnsi="Arial" w:cs="Arial"/>
          <w:sz w:val="24"/>
          <w:szCs w:val="24"/>
          <w:lang w:val="en-US"/>
        </w:rPr>
        <w:t>) treated with</w:t>
      </w:r>
      <w:r>
        <w:rPr>
          <w:rFonts w:ascii="Arial" w:hAnsi="Arial" w:cs="Arial"/>
          <w:sz w:val="24"/>
          <w:szCs w:val="24"/>
          <w:lang w:val="en-US"/>
        </w:rPr>
        <w:t xml:space="preserve"> or </w:t>
      </w:r>
      <w:r w:rsidRPr="008D1BFD">
        <w:rPr>
          <w:rFonts w:ascii="Arial" w:hAnsi="Arial" w:cs="Arial"/>
          <w:sz w:val="24"/>
          <w:szCs w:val="24"/>
          <w:lang w:val="en-US"/>
        </w:rPr>
        <w:t>without TAA supplemented drinking water (300 mg/L) for 6 (</w:t>
      </w:r>
      <w:r>
        <w:rPr>
          <w:rFonts w:ascii="Arial" w:hAnsi="Arial" w:cs="Arial"/>
          <w:sz w:val="24"/>
          <w:szCs w:val="24"/>
          <w:lang w:val="en-US"/>
        </w:rPr>
        <w:t xml:space="preserve">left; </w:t>
      </w:r>
      <w:r w:rsidRPr="008D1BFD">
        <w:rPr>
          <w:rFonts w:ascii="Arial" w:hAnsi="Arial" w:cs="Arial"/>
          <w:sz w:val="24"/>
          <w:szCs w:val="24"/>
          <w:lang w:val="en-US"/>
        </w:rPr>
        <w:t>n=7-9)</w:t>
      </w:r>
      <w:r>
        <w:rPr>
          <w:rFonts w:ascii="Arial" w:hAnsi="Arial" w:cs="Arial"/>
          <w:sz w:val="24"/>
          <w:szCs w:val="24"/>
          <w:lang w:val="en-US"/>
        </w:rPr>
        <w:t xml:space="preserve"> or </w:t>
      </w:r>
      <w:r w:rsidRPr="008D1BFD">
        <w:rPr>
          <w:rFonts w:ascii="Arial" w:hAnsi="Arial" w:cs="Arial"/>
          <w:sz w:val="24"/>
          <w:szCs w:val="24"/>
          <w:lang w:val="en-US"/>
        </w:rPr>
        <w:t>12 (</w:t>
      </w:r>
      <w:r>
        <w:rPr>
          <w:rFonts w:ascii="Arial" w:hAnsi="Arial" w:cs="Arial"/>
          <w:sz w:val="24"/>
          <w:szCs w:val="24"/>
          <w:lang w:val="en-US"/>
        </w:rPr>
        <w:t xml:space="preserve">right; </w:t>
      </w:r>
      <w:r w:rsidRPr="008D1BFD">
        <w:rPr>
          <w:rFonts w:ascii="Arial" w:hAnsi="Arial" w:cs="Arial"/>
          <w:sz w:val="24"/>
          <w:szCs w:val="24"/>
          <w:lang w:val="en-US"/>
        </w:rPr>
        <w:t>n=7-1</w:t>
      </w:r>
      <w:r>
        <w:rPr>
          <w:rFonts w:ascii="Arial" w:hAnsi="Arial" w:cs="Arial"/>
          <w:sz w:val="24"/>
          <w:szCs w:val="24"/>
          <w:lang w:val="en-US"/>
        </w:rPr>
        <w:t>1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) weeks. </w:t>
      </w:r>
      <w:r>
        <w:rPr>
          <w:rFonts w:ascii="Arial" w:hAnsi="Arial" w:cs="Arial"/>
          <w:sz w:val="24"/>
          <w:szCs w:val="24"/>
          <w:lang w:val="en-US"/>
        </w:rPr>
        <w:t xml:space="preserve">The data was normalized to the average of the control group and 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presented as </w:t>
      </w:r>
      <w:r>
        <w:rPr>
          <w:rFonts w:ascii="Arial" w:hAnsi="Arial" w:cs="Arial"/>
          <w:sz w:val="24"/>
          <w:szCs w:val="24"/>
          <w:lang w:val="en-US"/>
        </w:rPr>
        <w:t>m</w:t>
      </w:r>
      <w:r w:rsidRPr="008D1BFD">
        <w:rPr>
          <w:rFonts w:ascii="Arial" w:hAnsi="Arial" w:cs="Arial"/>
          <w:sz w:val="24"/>
          <w:szCs w:val="24"/>
          <w:lang w:val="en-US"/>
        </w:rPr>
        <w:t>ean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8D1BFD">
        <w:rPr>
          <w:rFonts w:ascii="Arial" w:hAnsi="Arial" w:cs="Arial"/>
          <w:sz w:val="24"/>
          <w:szCs w:val="24"/>
          <w:lang w:val="en-US"/>
        </w:rPr>
        <w:t>+/- SEM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Pr="008D1BFD">
        <w:rPr>
          <w:rFonts w:ascii="Arial" w:hAnsi="Arial" w:cs="Arial"/>
          <w:sz w:val="24"/>
          <w:szCs w:val="24"/>
          <w:lang w:val="en-US"/>
        </w:rPr>
        <w:t>P-values were calculated using two-way ANOVA</w:t>
      </w:r>
      <w:r>
        <w:rPr>
          <w:rFonts w:ascii="Arial" w:hAnsi="Arial" w:cs="Arial"/>
          <w:sz w:val="24"/>
          <w:szCs w:val="24"/>
          <w:lang w:val="en-US"/>
        </w:rPr>
        <w:t xml:space="preserve"> with Fisher’s LSD post-hoc correction; </w:t>
      </w:r>
      <w:r w:rsidRPr="008D1BFD">
        <w:rPr>
          <w:rFonts w:ascii="Arial" w:hAnsi="Arial" w:cs="Arial"/>
          <w:sz w:val="24"/>
          <w:szCs w:val="24"/>
          <w:lang w:val="en-US"/>
        </w:rPr>
        <w:t>* indicates a P-value of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8D1BFD">
        <w:rPr>
          <w:rFonts w:ascii="Arial" w:hAnsi="Arial" w:cs="Arial"/>
          <w:sz w:val="24"/>
          <w:szCs w:val="24"/>
          <w:lang w:val="en-US"/>
        </w:rPr>
        <w:t>&lt;0.05</w:t>
      </w:r>
      <w:r>
        <w:rPr>
          <w:rFonts w:ascii="Arial" w:hAnsi="Arial" w:cs="Arial"/>
          <w:sz w:val="24"/>
          <w:szCs w:val="24"/>
          <w:lang w:val="en-US"/>
        </w:rPr>
        <w:t>, **- P&lt;0.01,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 and *</w:t>
      </w:r>
      <w:r>
        <w:rPr>
          <w:rFonts w:ascii="Arial" w:hAnsi="Arial" w:cs="Arial"/>
          <w:sz w:val="24"/>
          <w:szCs w:val="24"/>
          <w:lang w:val="en-US"/>
        </w:rPr>
        <w:t>*</w:t>
      </w:r>
      <w:r w:rsidRPr="008D1BFD">
        <w:rPr>
          <w:rFonts w:ascii="Arial" w:hAnsi="Arial" w:cs="Arial"/>
          <w:sz w:val="24"/>
          <w:szCs w:val="24"/>
          <w:lang w:val="en-US"/>
        </w:rPr>
        <w:t>**</w:t>
      </w:r>
      <w:r>
        <w:rPr>
          <w:rFonts w:ascii="Arial" w:hAnsi="Arial" w:cs="Arial"/>
          <w:sz w:val="24"/>
          <w:szCs w:val="24"/>
          <w:lang w:val="en-US"/>
        </w:rPr>
        <w:t>-</w:t>
      </w:r>
      <w:r w:rsidRPr="008D1BFD">
        <w:rPr>
          <w:rFonts w:ascii="Arial" w:hAnsi="Arial" w:cs="Arial"/>
          <w:sz w:val="24"/>
          <w:szCs w:val="24"/>
          <w:lang w:val="en-US"/>
        </w:rPr>
        <w:t xml:space="preserve"> P&lt;0.</w:t>
      </w:r>
      <w:r>
        <w:rPr>
          <w:rFonts w:ascii="Arial" w:hAnsi="Arial" w:cs="Arial"/>
          <w:sz w:val="24"/>
          <w:szCs w:val="24"/>
          <w:lang w:val="en-US"/>
        </w:rPr>
        <w:t>0</w:t>
      </w:r>
      <w:r w:rsidRPr="008D1BFD">
        <w:rPr>
          <w:rFonts w:ascii="Arial" w:hAnsi="Arial" w:cs="Arial"/>
          <w:sz w:val="24"/>
          <w:szCs w:val="24"/>
          <w:lang w:val="en-US"/>
        </w:rPr>
        <w:t>001.</w:t>
      </w:r>
    </w:p>
    <w:p w14:paraId="3C6FA0C1" w14:textId="77777777" w:rsidR="00FF5B41" w:rsidRDefault="00FF5B41" w:rsidP="00FF5B41">
      <w:pPr>
        <w:spacing w:before="120" w:after="100" w:afterAutospacing="1" w:line="480" w:lineRule="auto"/>
        <w:jc w:val="both"/>
      </w:pPr>
    </w:p>
    <w:p w14:paraId="2176D16D" w14:textId="77777777" w:rsidR="00E023F9" w:rsidRDefault="00E023F9"/>
    <w:sectPr w:rsidR="00E023F9" w:rsidSect="00FF5B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41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0392F"/>
    <w:rsid w:val="00C94D66"/>
    <w:rsid w:val="00DE7E69"/>
    <w:rsid w:val="00E023F9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4EE83"/>
  <w15:chartTrackingRefBased/>
  <w15:docId w15:val="{A8ED6B33-4D83-4BC8-8470-88CA6C62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B41"/>
    <w:pPr>
      <w:spacing w:line="259" w:lineRule="auto"/>
    </w:pPr>
    <w:rPr>
      <w:kern w:val="0"/>
      <w:sz w:val="22"/>
      <w:szCs w:val="22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B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B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B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B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B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B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B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B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B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B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B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B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B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B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B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5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B4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5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B4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5B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B41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5B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B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B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2026-08-19T17:39:00Z</dcterms:created>
  <dcterms:modified xsi:type="dcterms:W3CDTF">2026-08-19T17:39:00Z</dcterms:modified>
</cp:coreProperties>
</file>