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120" w:line="240" w:lineRule="auto"/>
      </w:pPr>
      <w:r>
        <w:rPr>
          <w:rFonts w:ascii="Times New Roman" w:hAnsi="Times New Roman" w:eastAsia="Times New Roman" w:cs="Times New Roman"/>
          <w:b/>
          <w:color w:val="000000"/>
          <w:sz w:val="32"/>
        </w:rPr>
        <w:t>Additional file 1: Supplementary material</w:t>
      </w:r>
    </w:p>
    <w:p>
      <w:pPr>
        <w:spacing w:after="240" w:line="240" w:lineRule="auto"/>
      </w:pPr>
      <w:r>
        <w:rPr>
          <w:rFonts w:ascii="Times New Roman" w:hAnsi="Times New Roman" w:eastAsia="Times New Roman" w:cs="Times New Roman"/>
          <w:i/>
          <w:color w:val="000000"/>
          <w:sz w:val="24"/>
        </w:rPr>
        <w:t>Geographic equity in community rehabilitation service capacity in Shanghai, China: a five-year entropy-weighted TOPSIS study</w:t>
      </w:r>
    </w:p>
    <w:p>
      <w:pPr>
        <w:keepNext/>
        <w:spacing w:before="120" w:after="60" w:line="240" w:lineRule="auto"/>
      </w:pPr>
      <w:r>
        <w:rPr>
          <w:rFonts w:ascii="Times New Roman" w:hAnsi="Times New Roman" w:eastAsia="Times New Roman" w:cs="Times New Roman"/>
          <w:b/>
          <w:color w:val="000000"/>
          <w:sz w:val="20"/>
        </w:rPr>
        <w:t xml:space="preserve">Table S1 </w:t>
      </w:r>
      <w:r>
        <w:rPr>
          <w:rFonts w:ascii="Times New Roman" w:hAnsi="Times New Roman" w:eastAsia="Times New Roman" w:cs="Times New Roman"/>
          <w:color w:val="000000"/>
          <w:sz w:val="20"/>
        </w:rPr>
        <w:t>SPO evaluation framework and study data sources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50"/>
        <w:gridCol w:w="1800"/>
        <w:gridCol w:w="2550"/>
        <w:gridCol w:w="2200"/>
        <w:gridCol w:w="1660"/>
      </w:tblGrid>
      <w:tr>
        <w:trPr>
          <w:cantSplit/>
          <w:tblHeader w:val="true"/>
        </w:trPr>
        <w:tc>
          <w:tcPr>
            <w:tcW w:type="dxa" w:w="115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6"/>
              </w:rPr>
              <w:t>SPO domain</w:t>
            </w:r>
          </w:p>
        </w:tc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6"/>
              </w:rPr>
              <w:t>Content area</w:t>
            </w:r>
          </w:p>
        </w:tc>
        <w:tc>
          <w:tcPr>
            <w:tcW w:type="dxa" w:w="255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6"/>
              </w:rPr>
              <w:t>Examples explicitly described in this study</w:t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6"/>
              </w:rPr>
              <w:t>Primary data source</w:t>
            </w:r>
          </w:p>
        </w:tc>
        <w:tc>
          <w:tcPr>
            <w:tcW w:type="dxa" w:w="16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6"/>
              </w:rPr>
              <w:t>Analytical role</w:t>
            </w:r>
          </w:p>
        </w:tc>
      </w:tr>
      <w:tr>
        <w:trPr>
          <w:cantSplit/>
        </w:trPr>
        <w:tc>
          <w:tcPr>
            <w:tcW w:type="dxa" w:w="115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Structure</w:t>
            </w:r>
          </w:p>
        </w:tc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Policy and organisational support</w:t>
            </w:r>
          </w:p>
        </w:tc>
        <w:tc>
          <w:tcPr>
            <w:tcW w:type="dxa" w:w="255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Demonstration status; municipal financial and technical support</w:t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Municipal annual rehabilitation survey database</w:t>
            </w:r>
          </w:p>
        </w:tc>
        <w:tc>
          <w:tcPr>
            <w:tcW w:type="dxa" w:w="16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Defined programme exposure and supported interpretation of implementation</w:t>
            </w:r>
          </w:p>
        </w:tc>
      </w:tr>
      <w:tr>
        <w:trPr>
          <w:cantSplit/>
        </w:trPr>
        <w:tc>
          <w:tcPr>
            <w:tcW w:type="dxa" w:w="115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Structure</w:t>
            </w:r>
          </w:p>
        </w:tc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Physical resources and equipment</w:t>
            </w:r>
          </w:p>
        </w:tc>
        <w:tc>
          <w:tcPr>
            <w:tcW w:type="dxa" w:w="255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Equipment investment; intelligent rehabilitation devices; equipment availability and maintenance</w:t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Shanghai Health Statistics Yearbook; annual centre operating ledgers; centre financial records</w:t>
            </w:r>
          </w:p>
        </w:tc>
        <w:tc>
          <w:tcPr>
            <w:tcW w:type="dxa" w:w="16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Resource and infrastructure components of the TOPSIS profile</w:t>
            </w:r>
          </w:p>
        </w:tc>
      </w:tr>
      <w:tr>
        <w:trPr>
          <w:cantSplit/>
        </w:trPr>
        <w:tc>
          <w:tcPr>
            <w:tcW w:type="dxa" w:w="115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Structure</w:t>
            </w:r>
          </w:p>
        </w:tc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Workforce resources</w:t>
            </w:r>
          </w:p>
        </w:tc>
        <w:tc>
          <w:tcPr>
            <w:tcW w:type="dxa" w:w="255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Therapist staffing, training and remuneration</w:t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Annual centre operating and financial records</w:t>
            </w:r>
          </w:p>
        </w:tc>
        <w:tc>
          <w:tcPr>
            <w:tcW w:type="dxa" w:w="16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Workforce component of the TOPSIS profile</w:t>
            </w:r>
          </w:p>
        </w:tc>
      </w:tr>
      <w:tr>
        <w:trPr>
          <w:cantSplit/>
        </w:trPr>
        <w:tc>
          <w:tcPr>
            <w:tcW w:type="dxa" w:w="115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Process</w:t>
            </w:r>
          </w:p>
        </w:tc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Rehabilitation service delivery</w:t>
            </w:r>
          </w:p>
        </w:tc>
        <w:tc>
          <w:tcPr>
            <w:tcW w:type="dxa" w:w="255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Western-medicine and traditional Chinese medicine outpatient rehabilitation; home-based rehabilitation</w:t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Municipal annual survey and centre operating records</w:t>
            </w:r>
          </w:p>
        </w:tc>
        <w:tc>
          <w:tcPr>
            <w:tcW w:type="dxa" w:w="16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Service activity and continuity components</w:t>
            </w:r>
          </w:p>
        </w:tc>
      </w:tr>
      <w:tr>
        <w:trPr>
          <w:cantSplit/>
        </w:trPr>
        <w:tc>
          <w:tcPr>
            <w:tcW w:type="dxa" w:w="115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Process</w:t>
            </w:r>
          </w:p>
        </w:tc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Organisation and quality management</w:t>
            </w:r>
          </w:p>
        </w:tc>
        <w:tc>
          <w:tcPr>
            <w:tcW w:type="dxa" w:w="255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Participation in municipal quality control; service procedures; equipment operation and maintenance</w:t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Municipal quality-control records; annual survey; centre operating records</w:t>
            </w:r>
          </w:p>
        </w:tc>
        <w:tc>
          <w:tcPr>
            <w:tcW w:type="dxa" w:w="16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Process performance and study eligibility</w:t>
            </w:r>
          </w:p>
        </w:tc>
      </w:tr>
      <w:tr>
        <w:trPr>
          <w:cantSplit/>
        </w:trPr>
        <w:tc>
          <w:tcPr>
            <w:tcW w:type="dxa" w:w="115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Outcome</w:t>
            </w:r>
          </w:p>
        </w:tc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Operational output and efficiency</w:t>
            </w:r>
          </w:p>
        </w:tc>
        <w:tc>
          <w:tcPr>
            <w:tcW w:type="dxa" w:w="255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Service volumes; operating efficiency; equipment availability; research applications</w:t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Annual centre operating ledgers and internal records</w:t>
            </w:r>
          </w:p>
        </w:tc>
        <w:tc>
          <w:tcPr>
            <w:tcW w:type="dxa" w:w="16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Output and performance components of the TOPSIS profile</w:t>
            </w:r>
          </w:p>
        </w:tc>
      </w:tr>
      <w:tr>
        <w:trPr>
          <w:cantSplit/>
        </w:trPr>
        <w:tc>
          <w:tcPr>
            <w:tcW w:type="dxa" w:w="115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bottom w:val="single" w:sz="6" w:space="0" w:color="000000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Outcome</w:t>
            </w:r>
          </w:p>
        </w:tc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bottom w:val="single" w:sz="6" w:space="0" w:color="000000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Experience-related components</w:t>
            </w:r>
          </w:p>
        </w:tc>
        <w:tc>
          <w:tcPr>
            <w:tcW w:type="dxa" w:w="255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bottom w:val="single" w:sz="6" w:space="0" w:color="000000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Patient and staff experience domains included in the validated framework</w:t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bottom w:val="single" w:sz="6" w:space="0" w:color="000000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Validated indicator framework reported in reference 21 of the main manuscript</w:t>
            </w:r>
          </w:p>
        </w:tc>
        <w:tc>
          <w:tcPr>
            <w:tcW w:type="dxa" w:w="16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bottom w:val="single" w:sz="6" w:space="0" w:color="000000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6"/>
              </w:rPr>
              <w:t>Broader outcome coverage of the 85-indicator framework</w:t>
            </w:r>
          </w:p>
        </w:tc>
      </w:tr>
    </w:tbl>
    <w:p>
      <w:pPr>
        <w:spacing w:before="60" w:after="120" w:line="240" w:lineRule="auto"/>
      </w:pPr>
      <w:r>
        <w:rPr>
          <w:rFonts w:ascii="Times New Roman" w:hAnsi="Times New Roman" w:eastAsia="Times New Roman" w:cs="Times New Roman"/>
          <w:i/>
          <w:color w:val="000000"/>
          <w:sz w:val="18"/>
        </w:rPr>
        <w:t xml:space="preserve">Note: </w:t>
      </w:r>
      <w:r>
        <w:rPr>
          <w:rFonts w:ascii="Times New Roman" w:hAnsi="Times New Roman" w:eastAsia="Times New Roman" w:cs="Times New Roman"/>
          <w:color w:val="000000"/>
          <w:sz w:val="18"/>
        </w:rPr>
        <w:t>The validated framework comprises three first-level domains, 15 second-level domains and 85 third-level indicators. This table summarises the domains and example measures explicitly described in the source manuscript. The complete item-level definitions and validation results are reported in reference 21 of the main manuscript. Item-specific entropy weights were not available in the source document and were not inferred. SPO, structure-process-outcome; TOPSIS, technique for order preference by similarity to ideal solution.</w:t>
      </w:r>
    </w:p>
    <w:p>
      <w:r>
        <w:rPr>
          <w:rFonts w:ascii="Times New Roman" w:hAnsi="Times New Roman" w:eastAsia="Times New Roman" w:cs="Times New Roman"/>
          <w:color w:val="000000"/>
          <w:sz w:val="24"/>
        </w:rPr>
        <w:br w:type="page"/>
      </w:r>
    </w:p>
    <w:p>
      <w:pPr>
        <w:keepNext/>
        <w:spacing w:before="120" w:after="60" w:line="240" w:lineRule="auto"/>
      </w:pPr>
      <w:r>
        <w:rPr>
          <w:rFonts w:ascii="Times New Roman" w:hAnsi="Times New Roman" w:eastAsia="Times New Roman" w:cs="Times New Roman"/>
          <w:b/>
          <w:color w:val="000000"/>
          <w:sz w:val="20"/>
        </w:rPr>
        <w:t xml:space="preserve">Table S2 </w:t>
      </w:r>
      <w:r>
        <w:rPr>
          <w:rFonts w:ascii="Times New Roman" w:hAnsi="Times New Roman" w:eastAsia="Times New Roman" w:cs="Times New Roman"/>
          <w:color w:val="000000"/>
          <w:sz w:val="20"/>
        </w:rPr>
        <w:t>Reported LSD contrasts involving Fengxian District, 2020-2024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0"/>
        <w:gridCol w:w="2200"/>
        <w:gridCol w:w="2300"/>
        <w:gridCol w:w="3860"/>
      </w:tblGrid>
      <w:tr>
        <w:trPr>
          <w:cantSplit/>
          <w:tblHeader w:val="true"/>
        </w:trPr>
        <w:tc>
          <w:tcPr>
            <w:tcW w:type="dxa" w:w="10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</w:rPr>
              <w:t>Year</w:t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</w:rPr>
              <w:t>Comparator</w:t>
            </w:r>
          </w:p>
        </w:tc>
        <w:tc>
          <w:tcPr>
            <w:tcW w:type="dxa" w:w="23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</w:rPr>
              <w:t>Mean difference*</w:t>
            </w:r>
          </w:p>
        </w:tc>
        <w:tc>
          <w:tcPr>
            <w:tcW w:type="dxa" w:w="38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</w:rPr>
              <w:t>Reported result</w:t>
            </w:r>
          </w:p>
        </w:tc>
      </w:tr>
      <w:tr>
        <w:trPr>
          <w:cantSplit/>
        </w:trPr>
        <w:tc>
          <w:tcPr>
            <w:tcW w:type="dxa" w:w="10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2020</w:t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Jing'an</w:t>
            </w:r>
          </w:p>
        </w:tc>
        <w:tc>
          <w:tcPr>
            <w:tcW w:type="dxa" w:w="23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-0.11</w:t>
            </w:r>
          </w:p>
        </w:tc>
        <w:tc>
          <w:tcPr>
            <w:tcW w:type="dxa" w:w="38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Fengxian lower (P &lt; 0.05)</w:t>
            </w:r>
          </w:p>
        </w:tc>
      </w:tr>
      <w:tr>
        <w:trPr>
          <w:cantSplit/>
        </w:trPr>
        <w:tc>
          <w:tcPr>
            <w:tcW w:type="dxa" w:w="10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Minhang</w:t>
            </w:r>
          </w:p>
        </w:tc>
        <w:tc>
          <w:tcPr>
            <w:tcW w:type="dxa" w:w="23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-0.06</w:t>
            </w:r>
          </w:p>
        </w:tc>
        <w:tc>
          <w:tcPr>
            <w:tcW w:type="dxa" w:w="38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Fengxian lower (P &lt; 0.05)</w:t>
            </w:r>
          </w:p>
        </w:tc>
      </w:tr>
      <w:tr>
        <w:trPr>
          <w:cantSplit/>
        </w:trPr>
        <w:tc>
          <w:tcPr>
            <w:tcW w:type="dxa" w:w="10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Putuo</w:t>
            </w:r>
          </w:p>
        </w:tc>
        <w:tc>
          <w:tcPr>
            <w:tcW w:type="dxa" w:w="23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-0.14</w:t>
            </w:r>
          </w:p>
        </w:tc>
        <w:tc>
          <w:tcPr>
            <w:tcW w:type="dxa" w:w="38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Fengxian lower (P &lt; 0.05)</w:t>
            </w:r>
          </w:p>
        </w:tc>
      </w:tr>
      <w:tr>
        <w:trPr>
          <w:cantSplit/>
        </w:trPr>
        <w:tc>
          <w:tcPr>
            <w:tcW w:type="dxa" w:w="10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Xuhui</w:t>
            </w:r>
          </w:p>
        </w:tc>
        <w:tc>
          <w:tcPr>
            <w:tcW w:type="dxa" w:w="23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-0.09</w:t>
            </w:r>
          </w:p>
        </w:tc>
        <w:tc>
          <w:tcPr>
            <w:tcW w:type="dxa" w:w="38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Fengxian lower (P &lt; 0.05)</w:t>
            </w:r>
          </w:p>
        </w:tc>
      </w:tr>
      <w:tr>
        <w:trPr>
          <w:cantSplit/>
        </w:trPr>
        <w:tc>
          <w:tcPr>
            <w:tcW w:type="dxa" w:w="10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2021</w:t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Jing'an</w:t>
            </w:r>
          </w:p>
        </w:tc>
        <w:tc>
          <w:tcPr>
            <w:tcW w:type="dxa" w:w="23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-0.11</w:t>
            </w:r>
          </w:p>
        </w:tc>
        <w:tc>
          <w:tcPr>
            <w:tcW w:type="dxa" w:w="38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Fengxian lower (P &lt; 0.05)</w:t>
            </w:r>
          </w:p>
        </w:tc>
      </w:tr>
      <w:tr>
        <w:trPr>
          <w:cantSplit/>
        </w:trPr>
        <w:tc>
          <w:tcPr>
            <w:tcW w:type="dxa" w:w="10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Minhang</w:t>
            </w:r>
          </w:p>
        </w:tc>
        <w:tc>
          <w:tcPr>
            <w:tcW w:type="dxa" w:w="23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-0.09</w:t>
            </w:r>
          </w:p>
        </w:tc>
        <w:tc>
          <w:tcPr>
            <w:tcW w:type="dxa" w:w="38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Fengxian lower (P &lt; 0.05)</w:t>
            </w:r>
          </w:p>
        </w:tc>
      </w:tr>
      <w:tr>
        <w:trPr>
          <w:cantSplit/>
        </w:trPr>
        <w:tc>
          <w:tcPr>
            <w:tcW w:type="dxa" w:w="10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Putuo</w:t>
            </w:r>
          </w:p>
        </w:tc>
        <w:tc>
          <w:tcPr>
            <w:tcW w:type="dxa" w:w="23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-0.15</w:t>
            </w:r>
          </w:p>
        </w:tc>
        <w:tc>
          <w:tcPr>
            <w:tcW w:type="dxa" w:w="38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Fengxian lower (P &lt; 0.05)</w:t>
            </w:r>
          </w:p>
        </w:tc>
      </w:tr>
      <w:tr>
        <w:trPr>
          <w:cantSplit/>
        </w:trPr>
        <w:tc>
          <w:tcPr>
            <w:tcW w:type="dxa" w:w="10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Xuhui</w:t>
            </w:r>
          </w:p>
        </w:tc>
        <w:tc>
          <w:tcPr>
            <w:tcW w:type="dxa" w:w="23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-0.08</w:t>
            </w:r>
          </w:p>
        </w:tc>
        <w:tc>
          <w:tcPr>
            <w:tcW w:type="dxa" w:w="38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Fengxian lower (P &lt; 0.05)</w:t>
            </w:r>
          </w:p>
        </w:tc>
      </w:tr>
      <w:tr>
        <w:trPr>
          <w:cantSplit/>
        </w:trPr>
        <w:tc>
          <w:tcPr>
            <w:tcW w:type="dxa" w:w="10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2022</w:t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Jing'an</w:t>
            </w:r>
          </w:p>
        </w:tc>
        <w:tc>
          <w:tcPr>
            <w:tcW w:type="dxa" w:w="23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-0.14</w:t>
            </w:r>
          </w:p>
        </w:tc>
        <w:tc>
          <w:tcPr>
            <w:tcW w:type="dxa" w:w="38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Fengxian lower (P &lt; 0.05)</w:t>
            </w:r>
          </w:p>
        </w:tc>
      </w:tr>
      <w:tr>
        <w:trPr>
          <w:cantSplit/>
        </w:trPr>
        <w:tc>
          <w:tcPr>
            <w:tcW w:type="dxa" w:w="10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Minhang</w:t>
            </w:r>
          </w:p>
        </w:tc>
        <w:tc>
          <w:tcPr>
            <w:tcW w:type="dxa" w:w="23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-0.10</w:t>
            </w:r>
          </w:p>
        </w:tc>
        <w:tc>
          <w:tcPr>
            <w:tcW w:type="dxa" w:w="38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Fengxian lower (P &lt; 0.05)</w:t>
            </w:r>
          </w:p>
        </w:tc>
      </w:tr>
      <w:tr>
        <w:trPr>
          <w:cantSplit/>
        </w:trPr>
        <w:tc>
          <w:tcPr>
            <w:tcW w:type="dxa" w:w="10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Putuo</w:t>
            </w:r>
          </w:p>
        </w:tc>
        <w:tc>
          <w:tcPr>
            <w:tcW w:type="dxa" w:w="23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-0.15</w:t>
            </w:r>
          </w:p>
        </w:tc>
        <w:tc>
          <w:tcPr>
            <w:tcW w:type="dxa" w:w="38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Fengxian lower (P &lt; 0.05)</w:t>
            </w:r>
          </w:p>
        </w:tc>
      </w:tr>
      <w:tr>
        <w:trPr>
          <w:cantSplit/>
        </w:trPr>
        <w:tc>
          <w:tcPr>
            <w:tcW w:type="dxa" w:w="10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Xuhui</w:t>
            </w:r>
          </w:p>
        </w:tc>
        <w:tc>
          <w:tcPr>
            <w:tcW w:type="dxa" w:w="23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-0.08</w:t>
            </w:r>
          </w:p>
        </w:tc>
        <w:tc>
          <w:tcPr>
            <w:tcW w:type="dxa" w:w="38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Fengxian lower (P &lt; 0.05)</w:t>
            </w:r>
          </w:p>
        </w:tc>
      </w:tr>
      <w:tr>
        <w:trPr>
          <w:cantSplit/>
        </w:trPr>
        <w:tc>
          <w:tcPr>
            <w:tcW w:type="dxa" w:w="10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2023</w:t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Jing'an</w:t>
            </w:r>
          </w:p>
        </w:tc>
        <w:tc>
          <w:tcPr>
            <w:tcW w:type="dxa" w:w="23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-0.14</w:t>
            </w:r>
          </w:p>
        </w:tc>
        <w:tc>
          <w:tcPr>
            <w:tcW w:type="dxa" w:w="38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Fengxian lower (P &lt; 0.05)</w:t>
            </w:r>
          </w:p>
        </w:tc>
      </w:tr>
      <w:tr>
        <w:trPr>
          <w:cantSplit/>
        </w:trPr>
        <w:tc>
          <w:tcPr>
            <w:tcW w:type="dxa" w:w="10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Minhang</w:t>
            </w:r>
          </w:p>
        </w:tc>
        <w:tc>
          <w:tcPr>
            <w:tcW w:type="dxa" w:w="23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-0.10</w:t>
            </w:r>
          </w:p>
        </w:tc>
        <w:tc>
          <w:tcPr>
            <w:tcW w:type="dxa" w:w="38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Fengxian lower (P &lt; 0.05)</w:t>
            </w:r>
          </w:p>
        </w:tc>
      </w:tr>
      <w:tr>
        <w:trPr>
          <w:cantSplit/>
        </w:trPr>
        <w:tc>
          <w:tcPr>
            <w:tcW w:type="dxa" w:w="10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Putuo</w:t>
            </w:r>
          </w:p>
        </w:tc>
        <w:tc>
          <w:tcPr>
            <w:tcW w:type="dxa" w:w="23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-0.13</w:t>
            </w:r>
          </w:p>
        </w:tc>
        <w:tc>
          <w:tcPr>
            <w:tcW w:type="dxa" w:w="38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Fengxian lower (P &lt; 0.05)</w:t>
            </w:r>
          </w:p>
        </w:tc>
      </w:tr>
      <w:tr>
        <w:trPr>
          <w:cantSplit/>
        </w:trPr>
        <w:tc>
          <w:tcPr>
            <w:tcW w:type="dxa" w:w="10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Xuhui</w:t>
            </w:r>
          </w:p>
        </w:tc>
        <w:tc>
          <w:tcPr>
            <w:tcW w:type="dxa" w:w="23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-0.09</w:t>
            </w:r>
          </w:p>
        </w:tc>
        <w:tc>
          <w:tcPr>
            <w:tcW w:type="dxa" w:w="38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Fengxian lower (P &lt; 0.05)</w:t>
            </w:r>
          </w:p>
        </w:tc>
      </w:tr>
      <w:tr>
        <w:trPr>
          <w:cantSplit/>
        </w:trPr>
        <w:tc>
          <w:tcPr>
            <w:tcW w:type="dxa" w:w="10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2024</w:t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Jing'an</w:t>
            </w:r>
          </w:p>
        </w:tc>
        <w:tc>
          <w:tcPr>
            <w:tcW w:type="dxa" w:w="23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-0.12</w:t>
            </w:r>
          </w:p>
        </w:tc>
        <w:tc>
          <w:tcPr>
            <w:tcW w:type="dxa" w:w="38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Fengxian lower (P &lt; 0.05)</w:t>
            </w:r>
          </w:p>
        </w:tc>
      </w:tr>
      <w:tr>
        <w:trPr>
          <w:cantSplit/>
        </w:trPr>
        <w:tc>
          <w:tcPr>
            <w:tcW w:type="dxa" w:w="10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Minhang</w:t>
            </w:r>
          </w:p>
        </w:tc>
        <w:tc>
          <w:tcPr>
            <w:tcW w:type="dxa" w:w="23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-0.07</w:t>
            </w:r>
          </w:p>
        </w:tc>
        <w:tc>
          <w:tcPr>
            <w:tcW w:type="dxa" w:w="38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Fengxian lower (P &lt; 0.05)</w:t>
            </w:r>
          </w:p>
        </w:tc>
      </w:tr>
      <w:tr>
        <w:trPr>
          <w:cantSplit/>
        </w:trPr>
        <w:tc>
          <w:tcPr>
            <w:tcW w:type="dxa" w:w="10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Putuo</w:t>
            </w:r>
          </w:p>
        </w:tc>
        <w:tc>
          <w:tcPr>
            <w:tcW w:type="dxa" w:w="23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-0.10</w:t>
            </w:r>
          </w:p>
        </w:tc>
        <w:tc>
          <w:tcPr>
            <w:tcW w:type="dxa" w:w="38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Fengxian lower (P &lt; 0.05)</w:t>
            </w:r>
          </w:p>
        </w:tc>
      </w:tr>
      <w:tr>
        <w:trPr>
          <w:cantSplit/>
        </w:trPr>
        <w:tc>
          <w:tcPr>
            <w:tcW w:type="dxa" w:w="10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bottom w:val="single" w:sz="6" w:space="0" w:color="000000"/>
              <w:right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</w:r>
          </w:p>
        </w:tc>
        <w:tc>
          <w:tcPr>
            <w:tcW w:type="dxa" w:w="22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bottom w:val="single" w:sz="6" w:space="0" w:color="000000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Xuhui</w:t>
            </w:r>
          </w:p>
        </w:tc>
        <w:tc>
          <w:tcPr>
            <w:tcW w:type="dxa" w:w="23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bottom w:val="single" w:sz="6" w:space="0" w:color="000000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-0.06</w:t>
            </w:r>
          </w:p>
        </w:tc>
        <w:tc>
          <w:tcPr>
            <w:tcW w:type="dxa" w:w="38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left w:val="nil"/>
              <w:bottom w:val="single" w:sz="6" w:space="0" w:color="000000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8"/>
              </w:rPr>
              <w:t>Fengxian lower (P &lt; 0.05)</w:t>
            </w:r>
          </w:p>
        </w:tc>
      </w:tr>
    </w:tbl>
    <w:p>
      <w:pPr>
        <w:spacing w:before="60" w:after="120" w:line="240" w:lineRule="auto"/>
      </w:pPr>
      <w:r>
        <w:rPr>
          <w:rFonts w:ascii="Times New Roman" w:hAnsi="Times New Roman" w:eastAsia="Times New Roman" w:cs="Times New Roman"/>
          <w:i/>
          <w:color w:val="000000"/>
          <w:sz w:val="18"/>
        </w:rPr>
        <w:t xml:space="preserve">Note: </w:t>
      </w:r>
      <w:r>
        <w:rPr>
          <w:rFonts w:ascii="Times New Roman" w:hAnsi="Times New Roman" w:eastAsia="Times New Roman" w:cs="Times New Roman"/>
          <w:color w:val="000000"/>
          <w:sz w:val="18"/>
        </w:rPr>
        <w:t>*Mean difference is the rounded district mean for Fengxian minus the rounded mean for the comparator, using values in Table 2 of the main manuscript. The source manuscript reported that Fengxian was significantly below Jing'an, Minhang, Putuo and Xuhui in the LSD analysis (P &lt; 0.05), but it did not provide exact pairwise P values or confidence intervals. No unreported inferential statistics were reconstructed from the rounded summary data. LSD, least significant difference.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Times New Roman" w:hAnsi="Times New Roman" w:eastAsia="Times New Roman" w:cs="Times New Roman"/>
        <w:color w:val="000000"/>
        <w:sz w:val="20"/>
      </w:rPr>
      <w:fldChar w:fldCharType="begin"/>
      <w:instrText xml:space="preserve">PAGE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0" w:line="480" w:lineRule="auto"/>
      <w:jc w:val="left"/>
    </w:pPr>
    <w:rPr>
      <w:rFonts w:ascii="Times New Roman" w:hAnsi="Times New Roman" w:eastAsia="Times New Roman" w:cs="Times New Roman"/>
      <w:b w:val="0"/>
      <w:i w:val="0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 w:ascii="Times New Roman" w:hAnsi="Times New Roman" w:eastAsia="Times New Roman" w:cs="Times New Roman"/>
      <w:b/>
      <w:bCs/>
      <w:i w:val="0"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60" w:line="240" w:lineRule="auto"/>
      <w:outlineLvl w:val="1"/>
    </w:pPr>
    <w:rPr>
      <w:rFonts w:asciiTheme="majorHAnsi" w:eastAsiaTheme="majorEastAsia" w:hAnsiTheme="majorHAnsi" w:cstheme="majorBidi" w:ascii="Times New Roman" w:hAnsi="Times New Roman" w:eastAsia="Times New Roman" w:cs="Times New Roman"/>
      <w:b/>
      <w:bCs/>
      <w:i w:val="0"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 w:line="240" w:lineRule="auto"/>
      <w:outlineLvl w:val="2"/>
    </w:pPr>
    <w:rPr>
      <w:rFonts w:asciiTheme="majorHAnsi" w:eastAsiaTheme="majorEastAsia" w:hAnsiTheme="majorHAnsi" w:cstheme="majorBidi" w:ascii="Times New Roman" w:hAnsi="Times New Roman" w:eastAsia="Times New Roman" w:cs="Times New Roman"/>
      <w:b/>
      <w:bCs/>
      <w:i w:val="0"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material: geographic equity in community rehabilitation service capacity in Shanghai</dc:title>
  <dc:subject>Additional file 1 for International Journal for Equity in Health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