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7AD" w:rsidRPr="00F70454" w:rsidRDefault="00000000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/>
          <w:b/>
          <w:sz w:val="28"/>
        </w:rPr>
        <w:t>Online Resource 1: Supplementary methods, tables and figures</w:t>
      </w:r>
    </w:p>
    <w:p w:rsidR="003D07AD" w:rsidRPr="00F70454" w:rsidRDefault="00000000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/>
          <w:b w:val="0"/>
          <w:sz w:val="19"/>
        </w:rPr>
        <w:t>Article: Compact DNA methylation panels for forensic age estimation: cross-cohort evaluation and calibration using public whole-blood data</w:t>
        <w:br/>
        <w:t>Journal: International Journal of Legal Medicine</w:t>
        <w:br/>
        <w:t>Authors: Baihereye Abudouwaier; Shengjie Gao; Halimureti Simayijiang</w:t>
        <w:br/>
        <w:t>Corresponding author: Halimureti Simayijiang, halimureti@qq.com</w:t>
      </w: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Supplementary Methods</w:t>
      </w:r>
    </w:p>
    <w:p w:rsidR="003D07AD" w:rsidRPr="00F70454" w:rsidRDefault="00000000">
      <w:pPr>
        <w:spacing w:after="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/>
          <w:b w:val="0"/>
          <w:sz w:val="18"/>
        </w:rPr>
        <w:t>The supplied health-filtered GSE207605 feature table contained 9,831 records. Five records with missing values in at least one of the nine candidate CpGs were removed, leaving 9,826 complete cases. GSE40279 (n=656) and GSE69270 (n=184) were held out before model fitting; 8,986 samples from the remaining cohorts were used for nested group-aware cross-validation. Elastic Net hyperparameters were selected in inner group folds, and outer folds were used for unbiased internal prediction. Model A contained four prespecified CpGs, Model B contained eight CpGs as a controlled expansion, and Model C contained all nine available CpGs. GSE141682 beta values and metadata were independently extracted from the public EPIC series matrix. For calibration sensitivity analysis, each external cohort underwent 1,000 repeated rank-age-stratified 30%/70% calibration/test splits. Calibration parameters were estimated exclusively in the calibration subset.</w:t>
      </w: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S1. Cohort roles and sample accounting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1"/>
        <w:gridCol w:w="2851"/>
        <w:gridCol w:w="2851"/>
        <w:gridCol w:w="2851"/>
        <w:gridCol w:w="2851"/>
      </w:tblGrid>
      <w:tr w:rsidR="00F70454" w:rsidRPr="00F70454" w:rsidTr="00F70454">
        <w:trPr>
          <w:trHeight w:val="304"/>
          <w:tblHeader/>
          <w:jc w:val="center"/>
        </w:trPr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Dataset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N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Age range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Platform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Role</w:t>
            </w:r>
          </w:p>
        </w:tc>
      </w:tr>
      <w:tr w:rsidR="00F70454" w:rsidRPr="00F70454" w:rsidT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GSE207605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9,879 metadata; 9,831 feature-table records; 9,826 complete cases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0–101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 / integrated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Discovery, marker ranking, and group-aware internal validation</w:t>
            </w:r>
          </w:p>
        </w:tc>
      </w:tr>
      <w:tr w:rsidR="00F70454" w:rsidRPr="00F70454" w:rsidT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19–101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Held-out external validation</w:t>
            </w:r>
          </w:p>
        </w:tc>
      </w:tr>
      <w:tr w:rsidR="00F70454" w:rsidRPr="00F70454" w:rsidT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18–62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EPIC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Independent forensic-relevant external validation</w:t>
            </w:r>
          </w:p>
        </w:tc>
      </w:tr>
      <w:tr w:rsidR="00F70454" w:rsidRPr="00F70454" w:rsidT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40–49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</w:t>
            </w:r>
          </w:p>
        </w:tc>
        <w:tc>
          <w:tcPr>
            <w:tcW w:w="2851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Held-out narrow-age-range sensitivity validation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/>
          <w:b/>
        </w:rPr>
        <w:t>Table S2. Staged forensic model definitions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64"/>
        <w:gridCol w:w="3564"/>
        <w:gridCol w:w="3564"/>
        <w:gridCol w:w="3564"/>
      </w:tblGrid>
      <w:tr w:rsidR="00F70454" w:rsidRPr="00F70454" w:rsidTr="00F70454">
        <w:trPr>
          <w:trHeight w:val="368"/>
          <w:tblHeader/>
          <w:jc w:val="center"/>
        </w:trPr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Role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Marker count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CpG composition</w:t>
            </w:r>
          </w:p>
        </w:tc>
      </w:tr>
      <w:tr w:rsidR="00F70454" w:rsidRPr="00F70454" w:rsidT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Compact forensic core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cg16867657, cg06639320, cg17861230, cg09809672</w:t>
            </w:r>
          </w:p>
        </w:tc>
      </w:tr>
      <w:tr w:rsidR="00F70454" w:rsidRPr="00F70454" w:rsidT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Controlled 8-CpG expansion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cg16867657, cg06639320, cg17861230, cg09809672, cg24724428, cg22454769, cg07553761, cg07547549</w:t>
            </w:r>
          </w:p>
        </w:tc>
      </w:tr>
      <w:tr w:rsidR="00F70454" w:rsidRPr="00F70454" w:rsidT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Extended 9-CpG panel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</w:t>
            </w:r>
          </w:p>
        </w:tc>
        <w:tc>
          <w:tcPr>
            <w:tcW w:w="3564" w:type="dxa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cg16867657, cg06639320, cg17861230, cg09809672, cg24724428, cg22454769, cg07553761, cg07547549, cg17110586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S2A. Marker-coverage and annotation audit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  <w:gridCol w:w="2376"/>
        <w:gridCol w:w="2376"/>
      </w:tblGrid>
      <w:tr w:rsidR="00F70454" w:rsidRPr="00F70454" w:rsidTr="00F70454">
        <w:trPr>
          <w:trHeight w:val="334"/>
          <w:tblHeader/>
          <w:jc w:val="center"/>
        </w:trPr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CpG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Gene / annotation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 A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 B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 C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 w:rsidP="00F70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Audit interpretation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ELOVL2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Confirmed model CpG; distinct from nearby ELOVL2 probes.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FHL2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Confirmed FHL2 age-associated CpG.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lastRenderedPageBreak/>
              <w:t>cg17861230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PDE4C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Confirmed core model locus.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EDARADD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Confirmed core model locus; negative age association in the analyzed cohorts.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ELOVL2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Second ELOVL2 age-associated CpG; not MIR29B2CHG/C1orf132.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FHL2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Second FHL2 age-associated CpG.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TRIM59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Confirmed TRIM59 model locus.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SLC12A5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Confirmed SLC12A5 age-associated CpG.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cg17110586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Intergenic / no assigned gene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Yes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C-only age-associated CpG; no gene assignment used here.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cg14361627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KLF14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Canonical literature-supported KLF14 forensic CpG; absent from supplied nine-feature table.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cg02228185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ASPA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Literature-supported ASPA forensic CpG; absent from supplied nine-feature table.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cg10501210</w:t>
            </w:r>
          </w:p>
        </w:tc>
        <w:tc>
          <w:tcPr>
            <w:tcW w:w="2376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MIR29B2CHG/C1orf132</w:t>
            </w:r>
          </w:p>
        </w:tc>
        <w:tc>
          <w:tcPr>
            <w:tcW w:w="2376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</w:t>
            </w:r>
          </w:p>
        </w:tc>
        <w:tc>
          <w:tcPr>
            <w:tcW w:w="2376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Canonical literature-supported C1orf132/MIR29B2CHG forensic CpG; absent from supplied nine-feature table.</w:t>
            </w:r>
          </w:p>
        </w:tc>
      </w:tr>
    </w:tbl>
    <w:p w:rsidR="003D07AD" w:rsidRPr="00F70454" w:rsidRDefault="00000000">
      <w:pPr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  <w:sz w:val="18"/>
        </w:rPr>
        <w:t>Model C is complete relative to the supplied nine-feature analysis table, but it is not identical to the broader literature-defined forensic backbone. Canonical KLF14 (cg14361627), ASPA (cg02228185), and MIR29B2CHG/C1orf132 (cg10501210) markers were not present in the supplied nine-feature table and are therefore described as literature-supported loci outside the empirical staged models.</w:t>
      </w: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S3. Cohort-wise model performance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 w:rsidR="00F70454" w:rsidRPr="00F70454" w:rsidTr="00F70454">
        <w:trPr>
          <w:trHeight w:val="322"/>
          <w:tblHeader/>
          <w:jc w:val="center"/>
        </w:trPr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Evaluation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N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MAE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RMSE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Pearson r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R²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Bias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8986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5.97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0.938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0.877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0.16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0.895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0.499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-7.41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3.90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4.62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0.627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-1.036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3.41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8986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5.86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7.23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0.946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0.890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0.86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8.83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10.57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0.890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0.485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-7.84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0.655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-1.418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4.00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8986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7.30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0.944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0.888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0.35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0.890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0.500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-7.64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4.47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-1.610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4.22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7.95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9.10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0.961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0.696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7.66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lastRenderedPageBreak/>
              <w:t>GSE141682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7.85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8.88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0.965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0.710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8.08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9.14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0.964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0.693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7.88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S3A. Bootstrap uncertainty for prediction error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  <w:gridCol w:w="2376"/>
        <w:gridCol w:w="2376"/>
      </w:tblGrid>
      <w:tr w:rsidR="00F70454" w:rsidRPr="00F70454" w:rsidTr="00F70454">
        <w:trPr>
          <w:trHeight w:val="398"/>
          <w:tblHeader/>
          <w:jc w:val="center"/>
        </w:trPr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Evaluation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N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MAE (95% CI)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RMSE (95% CI)</w:t>
            </w:r>
          </w:p>
        </w:tc>
        <w:tc>
          <w:tcPr>
            <w:tcW w:w="237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Bias (95% CI)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Internal group-aware CV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8986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5.97 (5.87–6.07)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7.65 (7.52–7.78)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0.16 (0.01–0.32)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Internal group-aware CV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8986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5.86 (5.78–5.95)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7.23 (7.12–7.33)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0.86 (0.70–1.00)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Internal group-aware CV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8986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5.84 (5.74–5.93)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7.30 (7.19–7.42)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0.35 (0.21–0.50)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8.62 (8.20–9.05)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10.42 (9.95–10.90)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-7.41 (-7.96–-6.88)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8.83 (8.39–9.29)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10.57 (10.08–11.08)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-7.84 (-8.40–-7.31)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8.68 (8.22–9.11)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10.42 (9.91–10.89)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-7.64 (-8.17–-7.09)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3.90 (3.54–4.27)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4.62 (4.25–5.01)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3.41 (2.96–3.87)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4.29 (3.90–4.66)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5.04 (4.64–5.40)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4.00 (3.55–4.43)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4.47 (4.08–4.87)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5.23 (4.83–5.63)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4.22 (3.78–4.66)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7.95 (6.62–9.31)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9.10 (7.84–10.30)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7.66 (6.13–9.13)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7.85 (6.60–9.16)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8.88 (7.73–9.96)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7.61 (6.18–9.07)</w:t>
            </w:r>
          </w:p>
        </w:tc>
      </w:tr>
      <w:tr w:rsidR="00F70454" w:rsidRPr="00F70454">
        <w:trPr>
          <w:jc w:val="center"/>
        </w:trPr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8.08 (6.81–9.31)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9.14 (8.00–10.14)</w:t>
            </w:r>
          </w:p>
        </w:tc>
        <w:tc>
          <w:tcPr>
            <w:tcW w:w="237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7.88 (6.50–9.20)</w:t>
            </w:r>
          </w:p>
        </w:tc>
      </w:tr>
    </w:tbl>
    <w:p w:rsidR="003D07AD" w:rsidRPr="00F70454" w:rsidRDefault="00000000">
      <w:pPr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i/>
          <w:color w:val="000000" w:themeColor="text1"/>
          <w:sz w:val="18"/>
        </w:rPr>
        <w:t>Percentile confidence intervals were estimated from 2,000 sample-level bootstrap resamples with a fixed random seed.</w:t>
      </w:r>
    </w:p>
    <w:p w:rsidR="003D07AD" w:rsidRPr="00F70454" w:rsidRDefault="00000000">
      <w:pPr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i/>
          <w:color w:val="000000" w:themeColor="text1"/>
          <w:sz w:val="18"/>
        </w:rPr>
        <w:t>Negative R² in GSE69270 reflects its restricted 40–49-year age range and should not be interpreted as absence of within-cohort correlation. Bias is predicted minus chronological age.</w:t>
      </w: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S4. Final model coefficients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4752"/>
        <w:gridCol w:w="4752"/>
      </w:tblGrid>
      <w:tr w:rsidR="00F70454" w:rsidRPr="00F70454" w:rsidTr="00F70454">
        <w:trPr>
          <w:trHeight w:val="346"/>
          <w:tblHeader/>
          <w:jc w:val="center"/>
        </w:trPr>
        <w:tc>
          <w:tcPr>
            <w:tcW w:w="475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475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Term</w:t>
            </w:r>
          </w:p>
        </w:tc>
        <w:tc>
          <w:tcPr>
            <w:tcW w:w="475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Coefficient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A (4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73.90716842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A (4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63.10248800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A (4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8.12774354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A (4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-23.02365078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A (4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-15.16687300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31.26827171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27.29171665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4.09788188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-23.79634509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30.84439973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27.04406794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21.21753379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22.37102324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B (8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-8.39048891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30.34732584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26.17076961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2.72495855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-24.07471608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29.90151945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26.23367372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21.74571626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19.70065626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lastRenderedPageBreak/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cg17110586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10.65362784</w:t>
            </w:r>
          </w:p>
        </w:tc>
      </w:tr>
      <w:tr w:rsidR="00F70454" w:rsidRPr="00F70454">
        <w:trPr>
          <w:jc w:val="center"/>
        </w:trPr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Model C (9 </w:t>
            </w: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CpGs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)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</w:t>
            </w:r>
          </w:p>
        </w:tc>
        <w:tc>
          <w:tcPr>
            <w:tcW w:w="475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-8.48715922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S5. Age-stratified internal and external performance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 w:rsidR="00F70454" w:rsidRPr="00F70454" w:rsidTr="00F70454">
        <w:trPr>
          <w:trHeight w:val="384"/>
          <w:tblHeader/>
          <w:jc w:val="center"/>
        </w:trPr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Evaluation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Age band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N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MAE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RMSE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</w:t>
            </w:r>
          </w:p>
        </w:tc>
        <w:tc>
          <w:tcPr>
            <w:tcW w:w="1782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Bias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0-17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12.38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14.32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0.747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-7.66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18-39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2840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7.35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0.797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5.62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3165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3.85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0.631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0.26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60-79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5.55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6.89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0.568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-3.64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80+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11.99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13.88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0.139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-11.69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18-39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5.21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5.83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0.838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4.97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212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4.91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0.646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-2.47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60-79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9.62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10.77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0.573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-9.32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80+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16.39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17.05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0.460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-16.33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A (4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3.90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4.62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0.627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3.41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0-17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9.97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11.50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0.702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-5.83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18-39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2840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6.26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7.15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0.789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5.25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3165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5.45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0.602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0.77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60-79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5.49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6.91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0.547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-1.75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80+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12.42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-8.70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18-39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3.83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0.829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3.34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212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4.69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5.67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0.640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-3.60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60-79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10.12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11.32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0.564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-9.63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80+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15.36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16.16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0.454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-15.22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B (8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0.655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4.00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0-17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10.88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12.53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0.687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-6.67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18-39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2840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6.16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7.06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0.780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5.04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3165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4.15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0.617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0.13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60-79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5.53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6.90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0.566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-2.33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Group-aware CV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80+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12.41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0.064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-8.94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18-39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4.05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4.77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0.828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3.61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212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4.58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0.636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-3.41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60-79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9.92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11.13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0.568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-9.43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80+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15.20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15.98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0.454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-15.01</w:t>
            </w:r>
          </w:p>
        </w:tc>
      </w:tr>
      <w:tr w:rsidR="00F70454" w:rsidRPr="00F70454">
        <w:trPr>
          <w:jc w:val="center"/>
        </w:trPr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 external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 (9 CpGs)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40-59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4.47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5.23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0.656</w:t>
            </w:r>
          </w:p>
        </w:tc>
        <w:tc>
          <w:tcPr>
            <w:tcW w:w="1782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4.22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S6. CpG–age correlations in external cohorts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64"/>
        <w:gridCol w:w="3564"/>
        <w:gridCol w:w="3564"/>
        <w:gridCol w:w="3564"/>
      </w:tblGrid>
      <w:tr w:rsidR="00F70454" w:rsidRPr="00F70454" w:rsidTr="00F70454">
        <w:trPr>
          <w:trHeight w:val="398"/>
          <w:tblHeader/>
          <w:jc w:val="center"/>
        </w:trPr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Cohort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CpG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N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Pearson r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0.956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0.839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0.690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-0.752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0.876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0.926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0.849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0.831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lastRenderedPageBreak/>
              <w:t>GSE141682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cg17110586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0.781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0.859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0.747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0.398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-0.598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0.745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0.744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0.700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0.631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cg17110586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656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0.598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0.580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0.450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0.187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-0.181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0.418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0.399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0.406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0.335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cg17110586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0.343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/>
          <w:b/>
        </w:rPr>
        <w:t>Table S7. Recent evidence relevant to forensic implementation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64"/>
        <w:gridCol w:w="3564"/>
        <w:gridCol w:w="3564"/>
        <w:gridCol w:w="3564"/>
      </w:tblGrid>
      <w:tr w:rsidR="00F70454" w:rsidRPr="00F70454" w:rsidTr="00F70454">
        <w:trPr>
          <w:trHeight w:val="432"/>
          <w:tblHeader/>
          <w:jc w:val="center"/>
        </w:trPr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Study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Year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Design / markers</w:t>
            </w:r>
          </w:p>
        </w:tc>
        <w:tc>
          <w:tcPr>
            <w:tcW w:w="3564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Relevance to this framework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Yamagishi et al.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2024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ELOVL2 interval prediction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Explicitly represents uncertainty rather than forcing a single point estimate.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Correia Dias &amp; Manco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2024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ddPCR; ELOVL2, PDE4C, FHL2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Supports targeted quantitative assay translation.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Filoglu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 et al.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2024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Population-specific blood model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Highlights ancestry/population calibration and external validation.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Kampmann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 et al.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2024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Five-locus targeted panel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Supports inter-laboratory feasibility under standardized procedures.</w:t>
            </w:r>
          </w:p>
        </w:tc>
      </w:tr>
      <w:tr w:rsidR="00F70454" w:rsidRPr="00F70454">
        <w:trPr>
          <w:jc w:val="center"/>
        </w:trPr>
        <w:tc>
          <w:tcPr>
            <w:tcW w:w="3564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Varshavsky</w:t>
            </w:r>
            <w:proofErr w:type="spellEnd"/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 xml:space="preserve"> et al.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2023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 CpGs; 11,910 methylomes</w:t>
            </w:r>
          </w:p>
        </w:tc>
        <w:tc>
          <w:tcPr>
            <w:tcW w:w="3564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Useful cross-cohort benchmark but operationally distinct from a compact forensic panel.</w:t>
            </w:r>
          </w:p>
        </w:tc>
      </w:tr>
    </w:tbl>
    <w:p w:rsidR="003D07AD" w:rsidRPr="00F70454" w:rsidRDefault="00000000">
      <w:pPr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  <w:sz w:val="18"/>
        </w:rPr>
        <w:br w:type="page"/>
      </w: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lastRenderedPageBreak/>
        <w:t>Table S3B. Full repeated-split calibration sensitivity results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 w:rsidR="00F70454" w:rsidRPr="00F70454">
        <w:trPr>
          <w:tblHeader/>
          <w:jc w:val="center"/>
        </w:trPr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Cohort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Method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Calibration N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Test N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Mean MAE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MAE 95% interval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Mean RMSE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Mean bias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Delta MAE</w:t>
            </w:r>
          </w:p>
        </w:tc>
        <w:tc>
          <w:tcPr>
            <w:tcW w:w="1296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Splits improved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8.43-8.80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-7.42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5.84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5.66-6.03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7.33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-2.78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4.98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4.80-5.16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6.61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-3.64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11.90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11.70-12.11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14.71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3.28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8.83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8.63-9.03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10.57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-7.85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5.56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5.36-5.75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7.09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-3.28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4.90-5.30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6.78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-3.74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11.90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11.70-12.11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14.71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3.07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8.69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8.48-8.89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10.42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-7.65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5.56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5.37-5.75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7.09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-3.13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4.90-5.30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6.78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11.90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11.70-12.11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14.71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3.21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3.89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3.66-4.12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4.61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3.41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2.54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2.36-2.71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3.14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-1.36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2.06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1.94-2.20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2.54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-1.83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2.88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2.81-2.94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3.24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4.04-4.51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3.99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2.46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2.28-2.65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3.09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1.84-2.10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2.46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-2.32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2.88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2.81-2.94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3.24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-1.40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4.46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4.22-4.70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5.22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2.47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2.30-2.67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3.11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-1.99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1.83-2.10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2.46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-2.51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2.88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2.81-2.94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3.24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-1.58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7.86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7.20-8.56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7.55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4.23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3.68-4.83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5.13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-0.39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-3.63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3.39-4.80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4.96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-3.86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14.25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13.42-15.53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16.72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-1.90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6.39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7.77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7.07-8.48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7.52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3.92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3.41-4.49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-0.32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-3.85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3.87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3.28-4.72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4.76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-3.89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14.25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13.42-15.53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16.72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-1.90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6.48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Uncalibrated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8.00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7.28-8.74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9.08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7.79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Intercept-only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4.02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3.50-4.60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4.87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-0.31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-3.98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lastRenderedPageBreak/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Linear intercept+slope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3.99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3.39-4.87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4.89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-0.12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-4.01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100.0%</w:t>
            </w:r>
          </w:p>
        </w:tc>
      </w:tr>
      <w:tr w:rsidR="00F70454" w:rsidRPr="00F70454">
        <w:trPr>
          <w:jc w:val="center"/>
        </w:trPr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Calibration-mean baseline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30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14.25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13.42-15.53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16.72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-1.90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6.25</w:t>
            </w:r>
          </w:p>
        </w:tc>
        <w:tc>
          <w:tcPr>
            <w:tcW w:w="1296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0.0%</w:t>
            </w:r>
          </w:p>
        </w:tc>
      </w:tr>
    </w:tbl>
    <w:p w:rsidR="003D07AD" w:rsidRPr="00F70454" w:rsidRDefault="00000000">
      <w:pPr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i/>
          <w:color w:val="000000" w:themeColor="text1"/>
          <w:sz w:val="18"/>
        </w:rPr>
        <w:t>Note: The intercept-only method is the primary sensitivity analysis. Linear calibration and the calibration-mean baseline are secondary comparators.</w:t>
      </w: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S3C. Calibration parameter distributions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51"/>
        <w:gridCol w:w="2851"/>
        <w:gridCol w:w="2851"/>
        <w:gridCol w:w="2851"/>
        <w:gridCol w:w="2851"/>
      </w:tblGrid>
      <w:tr w:rsidR="00F70454" w:rsidRPr="00F70454" w:rsidTr="00F70454">
        <w:trPr>
          <w:trHeight w:val="294"/>
          <w:tblHeader/>
          <w:jc w:val="center"/>
        </w:trPr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Cohort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Model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Intercept-only shift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Linear intercept</w:t>
            </w:r>
          </w:p>
        </w:tc>
        <w:tc>
          <w:tcPr>
            <w:tcW w:w="2851" w:type="dxa"/>
            <w:shd w:val="clear" w:color="auto" w:fill="1F4E79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</w:rPr>
              <w:t>Linear slope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-7.98 (-9.73--5.93)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-13.62 (-19.42--8.64)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1.121 (1.008-1.260)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-7.85 (-9.69--5.92)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-12.67 (-18.58--7.60)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1.103 (0.978-1.249)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GSE141682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-8.08 (-10.04--6.13)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-12.68 (-18.85--7.36)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1.098 (0.968-1.248)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7.38 (6.83-7.93)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-11.67 (-16.60--6.40)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1.337 (1.241-1.429)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7.82 (7.24-8.43)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-4.16 (-9.12-1.40)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1.214 (1.112-1.304)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GSE40279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7.62 (7.02-8.22)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-4.50 (-9.67-1.09)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1.216 (1.111-1.307)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-3.43 (-4.09--2.75)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19.04 (14.27-23.41)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0.529 (0.436-0.626)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B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-4.01 (-4.66--3.40)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18.31 (13.27-22.63)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0.539 (0.450-0.640)</w:t>
            </w:r>
          </w:p>
        </w:tc>
      </w:tr>
      <w:tr w:rsidR="00F70454" w:rsidRPr="00F70454">
        <w:trPr>
          <w:jc w:val="center"/>
        </w:trPr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GSE69270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-4.23 (-4.89--3.63)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18.45 (13.59-22.84)</w:t>
            </w:r>
          </w:p>
        </w:tc>
        <w:tc>
          <w:tcPr>
            <w:tcW w:w="2851" w:type="dxa"/>
            <w:vAlign w:val="center"/>
          </w:tcPr>
          <w:p w:rsidR="003D07AD" w:rsidRPr="00F70454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0.533 (0.442-0.633)</w:t>
            </w:r>
          </w:p>
        </w:tc>
      </w:tr>
    </w:tbl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Table S4A. Expanded forensic marker catalog and literature/model status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 w:rsidR="00F70454" w:rsidRPr="00F70454" w:rsidTr="00F70454">
        <w:trPr>
          <w:trHeight w:val="362"/>
          <w:tblHeader/>
          <w:jc w:val="center"/>
        </w:trPr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Marker</w:t>
            </w:r>
          </w:p>
        </w:tc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CpG identifier</w:t>
            </w:r>
          </w:p>
        </w:tc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Forensic support</w:t>
            </w:r>
          </w:p>
        </w:tc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Zone</w:t>
            </w:r>
          </w:p>
        </w:tc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Array coverage</w:t>
            </w:r>
          </w:p>
        </w:tc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Empirical inclusion</w:t>
            </w:r>
          </w:p>
        </w:tc>
        <w:tc>
          <w:tcPr>
            <w:tcW w:w="2037" w:type="dxa"/>
            <w:shd w:val="clear" w:color="auto" w:fill="1F4E79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F70454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</w:rPr>
              <w:t>Technical note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ELOVL2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cg16867657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A/B/C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Key chronological-age core marker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FHL2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cg06639320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A/B/C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Compact-panel core marker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PDE4C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cg17861230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I/II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A/B/C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Supports chronological-age backbone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EDARADD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cg09809672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I/II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A/B/C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Directional balance in compact prediction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ELOVL2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cg24724428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Second ELOVL2 site used for controlled expansion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FHL2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cg22454769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Second FHL2 site used for controlled expansion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TRIM59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cg07553761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Moderate-strong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Controlled panel expansion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SLC12A5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cg07547549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Moderate-strong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II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Models B/C</w:t>
            </w:r>
          </w:p>
        </w:tc>
        <w:tc>
          <w:tcPr>
            <w:tcW w:w="2037" w:type="dxa"/>
            <w:vAlign w:val="center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Controlled panel expansion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Intergenic / no assigned gene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cg17110586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Age-associated candidate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II/III (provisional)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Model C-only empirical extension; biological role not assigned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KLF14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cg14361627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I/II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Not in supplied 9-CpG table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Literature-supported forensic locus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ASPA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cg02228185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Moderate-strong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I/II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Not in supplied 9-CpG table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Literature-supported supporting locus</w:t>
            </w:r>
          </w:p>
        </w:tc>
      </w:tr>
      <w:tr w:rsidR="00F70454" w:rsidRPr="00F70454">
        <w:trPr>
          <w:jc w:val="center"/>
        </w:trPr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lastRenderedPageBreak/>
              <w:t>MIR29B2CHG/C1orf132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cg10501210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Strong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Zone I/II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450K/EPIC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Not in supplied 9-CpG table</w:t>
            </w:r>
          </w:p>
        </w:tc>
        <w:tc>
          <w:tcPr>
            <w:tcW w:w="2037" w:type="dxa"/>
          </w:tcPr>
          <w:p w:rsidR="003D07AD" w:rsidRPr="00F70454" w:rsidRDefault="0000000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0454">
              <w:rPr>
                <w:rFonts w:ascii="Times New Roman" w:eastAsia="Times New Roman" w:hAnsi="Times New Roman" w:cs="Times New Roman"/>
                <w:color w:val="000000" w:themeColor="text1"/>
                <w:sz w:val="16"/>
              </w:rPr>
              <w:t>Literature-supported forensic locus</w:t>
            </w:r>
          </w:p>
        </w:tc>
      </w:tr>
    </w:tbl>
    <w:p w:rsidR="00F70454" w:rsidRDefault="00F70454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</w:p>
    <w:p w:rsidR="003D07AD" w:rsidRPr="00F70454" w:rsidRDefault="00000000">
      <w:pPr>
        <w:pStyle w:val="Heading1"/>
        <w:spacing w:after="60"/>
        <w:rPr>
          <w:rFonts w:ascii="Times New Roman" w:hAnsi="Times New Roman" w:cs="Times New Roman"/>
          <w:color w:val="000000" w:themeColor="text1"/>
        </w:rPr>
      </w:pPr>
      <w:r w:rsidRPr="00F70454">
        <w:rPr>
          <w:rFonts w:ascii="Times New Roman" w:hAnsi="Times New Roman" w:cs="Times New Roman" w:eastAsia="Times New Roman"/>
          <w:color w:val="000000" w:themeColor="text1"/>
        </w:rPr>
        <w:t>Supplementary Figures</w:t>
      </w:r>
    </w:p>
    <w:p w:rsidR="003D07AD" w:rsidRPr="00F70454" w:rsidRDefault="003D07AD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</w:p>
    <w:p w:rsidR="003D07AD" w:rsidRDefault="00F70454" w:rsidP="00F70454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eastAsia="Times New Roman"/>
          <w:noProof/>
          <w:color w:val="000000" w:themeColor="text1"/>
          <w:sz w:val="18"/>
        </w:rPr>
        <w:drawing>
          <wp:inline distT="0" distB="0" distL="0" distR="0">
            <wp:extent cx="7169454" cy="4478394"/>
            <wp:effectExtent l="0" t="0" r="0" b="5080"/>
            <wp:docPr id="1800572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572796" name="Picture 18005727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3257" cy="449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454" w:rsidRPr="00F70454" w:rsidRDefault="00F70454" w:rsidP="00F70454">
      <w:pPr>
        <w:spacing w:after="6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eastAsia="Times New Roman"/>
          <w:noProof/>
          <w:color w:val="000000" w:themeColor="text1"/>
          <w:sz w:val="18"/>
        </w:rPr>
        <w:lastRenderedPageBreak/>
        <w:drawing>
          <wp:inline distT="0" distB="0" distL="0" distR="0">
            <wp:extent cx="9052560" cy="5654675"/>
            <wp:effectExtent l="0" t="0" r="2540" b="0"/>
            <wp:docPr id="15072335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33599" name="Picture 15072335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52560" cy="56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454" w:rsidRPr="00F70454" w:rsidSect="00034616">
      <w:footerReference w:type="default" r:id="rId10"/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0BC4" w:rsidRDefault="00810BC4">
      <w:pPr>
        <w:spacing w:after="0" w:line="240" w:lineRule="auto"/>
      </w:pPr>
      <w:r>
        <w:separator/>
      </w:r>
    </w:p>
  </w:endnote>
  <w:endnote w:type="continuationSeparator" w:id="0">
    <w:p w:rsidR="00810BC4" w:rsidRDefault="00810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07AD" w:rsidRDefault="00000000">
    <w:pPr>
      <w:pStyle w:val="Footer"/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F7045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0BC4" w:rsidRDefault="00810BC4">
      <w:pPr>
        <w:spacing w:after="0" w:line="240" w:lineRule="auto"/>
      </w:pPr>
      <w:r>
        <w:separator/>
      </w:r>
    </w:p>
  </w:footnote>
  <w:footnote w:type="continuationSeparator" w:id="0">
    <w:p w:rsidR="00810BC4" w:rsidRDefault="00810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42116">
    <w:abstractNumId w:val="8"/>
  </w:num>
  <w:num w:numId="2" w16cid:durableId="1356543445">
    <w:abstractNumId w:val="6"/>
  </w:num>
  <w:num w:numId="3" w16cid:durableId="1643459736">
    <w:abstractNumId w:val="5"/>
  </w:num>
  <w:num w:numId="4" w16cid:durableId="2008246693">
    <w:abstractNumId w:val="4"/>
  </w:num>
  <w:num w:numId="5" w16cid:durableId="1011640585">
    <w:abstractNumId w:val="7"/>
  </w:num>
  <w:num w:numId="6" w16cid:durableId="1257591567">
    <w:abstractNumId w:val="3"/>
  </w:num>
  <w:num w:numId="7" w16cid:durableId="669793631">
    <w:abstractNumId w:val="2"/>
  </w:num>
  <w:num w:numId="8" w16cid:durableId="596982566">
    <w:abstractNumId w:val="1"/>
  </w:num>
  <w:num w:numId="9" w16cid:durableId="171037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07AD"/>
    <w:rsid w:val="00810BC4"/>
    <w:rsid w:val="00AA1D8D"/>
    <w:rsid w:val="00B47730"/>
    <w:rsid w:val="00CB0664"/>
    <w:rsid w:val="00F704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A07D05"/>
  <w14:defaultImageDpi w14:val="300"/>
  <w15:docId w15:val="{57A63EBD-3119-6041-9346-9CA78AA5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Times New Roman" w:eastAsia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Times New Roman" w:hAnsi="Times New Roman" w:eastAsia="Times New Roma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Times New Roman" w:hAnsi="Times New Roman" w:eastAsia="Times New Roman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Times New Roman" w:hAnsi="Times New Roman" w:eastAsia="Times New Roman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hAnsi="Times New Roman" w:eastAsia="Times New Roman"/>
    </w:rPr>
  </w:style>
  <w:style w:type="table" w:default="1" w:styleId="TableNormal">
    <w:name w:val="Normal Table"/>
    <w:uiPriority w:val="99"/>
    <w:semiHidden/>
    <w:unhideWhenUsed/>
    <w:rPr>
      <w:rFonts w:ascii="Times New Roman" w:hAnsi="Times New Roman"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eastAsia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eastAsia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hAnsi="Times New Roman"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Times New Roman" w:hAnsi="Times New Roman" w:eastAsia="Times New Roman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hAnsi="Times New Roman"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hAnsi="Times New Roman" w:eastAsia="Times New Roman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Times New Roman" w:hAnsi="Times New Roman"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hAnsi="Times New Roman" w:eastAsia="Times New Roman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eastAsia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Times New Roman" w:hAnsi="Times New Roman" w:eastAsia="Times New Roman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Times New Roman" w:hAnsi="Times New Roman" w:eastAsia="Times New Roman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Times New Roman" w:hAnsi="Times New Roman" w:eastAsia="Times New Roman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 w:eastAsia="Times New Roman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imes New Roman" w:hAnsi="Times New Roman" w:eastAsia="Times New Roman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Times New Roman" w:hAnsi="Times New Roman" w:eastAsia="Times New Roman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 w:eastAsia="Times New Roman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Times New Roman" w:hAnsi="Times New Roman" w:eastAsia="Times New Roman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Times New Roman" w:hAnsi="Times New Roman" w:eastAsia="Times New Roman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Times New Roman" w:hAnsi="Times New Roman" w:eastAsia="Times New Roman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Times New Roman" w:hAnsi="Times New Roman" w:eastAsia="Times New Roman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Times New Roman" w:hAnsi="Times New Roman" w:eastAsia="Times New Roman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eastAsia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eastAsia="Times New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eastAsia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eastAsia="Times New Roman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eastAsia="Times New Roman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eastAsia="Times New Roman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eastAsia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eastAsia="Times New Roman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eastAsia="Times New Roman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eastAsia="Times New Roman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eastAsia="Times New Roman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eastAsia="Times New Roman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eastAsia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hAnsi="Times New Roman" w:eastAsia="Times New Roman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Times New Roman" w:hAnsi="Times New Roman"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Times New Roman" w:hAnsi="Times New Roman" w:eastAsia="Times New Roman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Times New Roman" w:hAnsi="Times New Roman" w:eastAsia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Times New Roman" w:hAnsi="Times New Roman" w:eastAsia="Times New Roman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Times New Roman" w:hAnsi="Times New Roman" w:eastAsia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Materials</dc:title>
  <dc:subject/>
  <dc:creator/>
  <cp:keywords/>
  <dc:description/>
  <cp:lastModifiedBy>HDDD</cp:lastModifiedBy>
  <cp:revision>2</cp:revision>
  <dcterms:created xsi:type="dcterms:W3CDTF">2013-12-23T23:15:00Z</dcterms:created>
  <dcterms:modified xsi:type="dcterms:W3CDTF">2026-08-10T11:27:00Z</dcterms:modified>
  <cp:category/>
</cp:coreProperties>
</file>