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rFonts w:ascii="Times New Roman" w:hAnsi="Times New Roman"/>
          <w:b/>
          <w:sz w:val="32"/>
        </w:rPr>
        <w:t>Supplementary Information</w:t>
      </w:r>
    </w:p>
    <w:p>
      <w:pPr>
        <w:spacing w:line="288" w:lineRule="auto" w:after="160"/>
        <w:jc w:val="center"/>
      </w:pPr>
      <w:r>
        <w:rPr>
          <w:rFonts w:ascii="Times New Roman" w:hAnsi="Times New Roman"/>
          <w:b/>
          <w:sz w:val="26"/>
        </w:rPr>
        <w:t>Recombinant Allergen-Based Quantum Dot Lateral Flow Immunoassays for</w:t>
        <w:br/>
        <w:t>Component-Specific IgE Detection in House Dust Mite Allergy</w:t>
      </w:r>
    </w:p>
    <w:p>
      <w:pPr>
        <w:spacing w:after="240"/>
        <w:jc w:val="center"/>
      </w:pPr>
      <w:r>
        <w:rPr>
          <w:rFonts w:ascii="Times New Roman" w:hAnsi="Times New Roman"/>
          <w:i/>
          <w:sz w:val="24"/>
        </w:rPr>
        <w:t>Applied Biochemistry and Biotechnology</w:t>
      </w:r>
    </w:p>
    <w:p>
      <w:pPr>
        <w:spacing w:line="276" w:lineRule="auto"/>
        <w:jc w:val="center"/>
      </w:pPr>
      <w:r>
        <w:rPr>
          <w:rFonts w:ascii="Times New Roman" w:hAnsi="Times New Roman"/>
          <w:sz w:val="24"/>
        </w:rPr>
        <w:t>Yun-Zhi Li</w:t>
      </w:r>
      <w:r>
        <w:rPr>
          <w:rFonts w:ascii="Times New Roman" w:hAnsi="Times New Roman"/>
          <w:sz w:val="18"/>
          <w:vertAlign w:val="superscript"/>
        </w:rPr>
        <w:t>a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Zi-Xin Wang</w:t>
      </w:r>
      <w:r>
        <w:rPr>
          <w:rFonts w:ascii="Times New Roman" w:hAnsi="Times New Roman"/>
          <w:sz w:val="18"/>
          <w:vertAlign w:val="superscript"/>
        </w:rPr>
        <w:t>a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Xiao-Ya Wang</w:t>
      </w:r>
      <w:r>
        <w:rPr>
          <w:rFonts w:ascii="Times New Roman" w:hAnsi="Times New Roman"/>
          <w:sz w:val="18"/>
          <w:vertAlign w:val="superscript"/>
        </w:rPr>
        <w:t>a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Yan-Yan Sun</w:t>
      </w:r>
      <w:r>
        <w:rPr>
          <w:rFonts w:ascii="Times New Roman" w:hAnsi="Times New Roman"/>
          <w:sz w:val="18"/>
          <w:vertAlign w:val="superscript"/>
        </w:rPr>
        <w:t>c*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Xin-lei Chu</w:t>
      </w:r>
      <w:r>
        <w:rPr>
          <w:rFonts w:ascii="Times New Roman" w:hAnsi="Times New Roman"/>
          <w:sz w:val="18"/>
          <w:vertAlign w:val="superscript"/>
        </w:rPr>
        <w:t>b*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Chun-Ming Dong</w:t>
      </w:r>
      <w:r>
        <w:rPr>
          <w:rFonts w:ascii="Times New Roman" w:hAnsi="Times New Roman"/>
          <w:sz w:val="18"/>
          <w:vertAlign w:val="superscript"/>
        </w:rPr>
        <w:t>a*</w:t>
      </w:r>
    </w:p>
    <w:p>
      <w:pPr>
        <w:spacing w:line="276" w:lineRule="auto" w:before="40"/>
      </w:pPr>
      <w:r>
        <w:rPr>
          <w:rFonts w:ascii="Times New Roman" w:hAnsi="Times New Roman"/>
          <w:sz w:val="18"/>
          <w:vertAlign w:val="superscript"/>
        </w:rPr>
        <w:t>a</w:t>
      </w:r>
      <w:r>
        <w:rPr>
          <w:rFonts w:ascii="Times New Roman" w:hAnsi="Times New Roman"/>
          <w:sz w:val="22"/>
        </w:rPr>
        <w:t xml:space="preserve"> College of Marine and Environmental Sciences, Tianjin University of Science and Technology, Tianjin 300457, China</w:t>
      </w:r>
    </w:p>
    <w:p>
      <w:pPr>
        <w:spacing w:line="276" w:lineRule="auto" w:before="40"/>
      </w:pPr>
      <w:r>
        <w:rPr>
          <w:rFonts w:ascii="Times New Roman" w:hAnsi="Times New Roman"/>
          <w:sz w:val="18"/>
          <w:vertAlign w:val="superscript"/>
        </w:rPr>
        <w:t>b</w:t>
      </w:r>
      <w:r>
        <w:rPr>
          <w:rFonts w:ascii="Times New Roman" w:hAnsi="Times New Roman"/>
          <w:sz w:val="22"/>
        </w:rPr>
        <w:t xml:space="preserve"> Department of Epidemiology and Biostatistics, Tianjin Medical University Cancer Institute and Hospital, Tianjin Medical University, Tianjin 300060, China</w:t>
      </w:r>
    </w:p>
    <w:p>
      <w:pPr>
        <w:spacing w:line="276" w:lineRule="auto" w:before="40"/>
      </w:pPr>
      <w:r>
        <w:rPr>
          <w:rFonts w:ascii="Times New Roman" w:hAnsi="Times New Roman"/>
          <w:sz w:val="18"/>
          <w:vertAlign w:val="superscript"/>
        </w:rPr>
        <w:t>c</w:t>
      </w:r>
      <w:r>
        <w:rPr>
          <w:rFonts w:ascii="Times New Roman" w:hAnsi="Times New Roman"/>
          <w:sz w:val="22"/>
        </w:rPr>
        <w:t xml:space="preserve"> Jinan Deheng Medical Technology Co., Ltd., Jinan 250031, Shandong Province, China</w:t>
      </w:r>
    </w:p>
    <w:p>
      <w:pPr>
        <w:spacing w:line="276" w:lineRule="auto" w:before="120" w:after="200"/>
      </w:pPr>
      <w:r>
        <w:rPr>
          <w:rFonts w:ascii="Times New Roman" w:hAnsi="Times New Roman"/>
          <w:b/>
          <w:sz w:val="22"/>
        </w:rPr>
        <w:t xml:space="preserve">*Corresponding authors: </w:t>
      </w:r>
      <w:r>
        <w:rPr>
          <w:rFonts w:ascii="Times New Roman" w:hAnsi="Times New Roman"/>
          <w:sz w:val="22"/>
        </w:rPr>
        <w:t>Chun-Ming Dong (mingchundongjy@tust.edu.cn), Xin-lei Chu (chuxinlei2014@163.com), and Yan-Yan Sun (sunyanyanggg@163.com)</w:t>
      </w:r>
    </w:p>
    <w:p>
      <w:pPr>
        <w:spacing w:line="276" w:lineRule="auto" w:before="160"/>
      </w:pPr>
      <w:r>
        <w:rPr>
          <w:rFonts w:ascii="Times New Roman" w:hAnsi="Times New Roman"/>
          <w:b/>
          <w:sz w:val="22"/>
        </w:rPr>
        <w:t>Supplementary Material 1</w:t>
      </w:r>
      <w:r>
        <w:rPr>
          <w:rFonts w:ascii="Times New Roman" w:hAnsi="Times New Roman"/>
          <w:sz w:val="22"/>
        </w:rPr>
        <w:t xml:space="preserve"> This file contains Supplementary Tables S1-S10 and Supplementary Figs. S1-S7 supporting the bioinformatics analyses, QD-LFIA accelerated storage assessment, MBP-control testing, and comparison with ImmunoCAP</w:t>
      </w:r>
    </w:p>
    <w:p>
      <w:r>
        <w:br w:type="page"/>
      </w:r>
    </w:p>
    <w:p>
      <w:pPr>
        <w:spacing w:before="0" w:after="120" w:line="276" w:lineRule="auto"/>
        <w:jc w:val="left"/>
        <w:keepLines/>
        <w:keepNext/>
      </w:pPr>
      <w:r>
        <w:rPr>
          <w:rFonts w:ascii="Times New Roman" w:hAnsi="Times New Roman"/>
          <w:b/>
          <w:sz w:val="22"/>
        </w:rPr>
        <w:t>Table S1</w:t>
      </w:r>
      <w:r>
        <w:rPr>
          <w:rFonts w:ascii="Times New Roman" w:hAnsi="Times New Roman"/>
          <w:sz w:val="22"/>
        </w:rPr>
        <w:t xml:space="preserve"> ProtParam-predicted physicochemical properties of Der p 1, Der p 2, Der p 10, and Der p 23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05"/>
        <w:gridCol w:w="1805"/>
        <w:gridCol w:w="1805"/>
        <w:gridCol w:w="1805"/>
        <w:gridCol w:w="1805"/>
      </w:tblGrid>
      <w:tr>
        <w:trPr>
          <w:tblHeader w:val="true"/>
          <w:cantSplit/>
        </w:trPr>
        <w:tc>
          <w:tcPr>
            <w:tcW w:type="dxa" w:w="792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Parameter</w:t>
            </w:r>
          </w:p>
        </w:tc>
        <w:tc>
          <w:tcPr>
            <w:tcW w:type="dxa" w:w="2088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Der p 1</w:t>
            </w:r>
          </w:p>
        </w:tc>
        <w:tc>
          <w:tcPr>
            <w:tcW w:type="dxa" w:w="2160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Der p 2</w:t>
            </w:r>
          </w:p>
        </w:tc>
        <w:tc>
          <w:tcPr>
            <w:tcW w:type="dxa" w:w="2160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Der p 10</w:t>
            </w:r>
          </w:p>
        </w:tc>
        <w:tc>
          <w:tcPr>
            <w:tcW w:type="dxa" w:w="1656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Der p 23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left"/>
            </w:pPr>
            <w:r>
              <w:rPr>
                <w:rFonts w:ascii="Times New Roman" w:hAnsi="Times New Roman"/>
                <w:sz w:val="20"/>
              </w:rPr>
              <w:t>Number of amino acids</w:t>
            </w:r>
          </w:p>
        </w:tc>
        <w:tc>
          <w:tcPr>
            <w:tcW w:type="dxa" w:w="2088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300</w:t>
            </w:r>
          </w:p>
        </w:tc>
        <w:tc>
          <w:tcPr>
            <w:tcW w:type="dxa" w:w="2160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130</w:t>
            </w:r>
          </w:p>
        </w:tc>
        <w:tc>
          <w:tcPr>
            <w:tcW w:type="dxa" w:w="2160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284</w:t>
            </w:r>
          </w:p>
        </w:tc>
        <w:tc>
          <w:tcPr>
            <w:tcW w:type="dxa" w:w="1656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70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left"/>
            </w:pPr>
            <w:r>
              <w:rPr>
                <w:rFonts w:ascii="Times New Roman" w:hAnsi="Times New Roman"/>
                <w:sz w:val="20"/>
              </w:rPr>
              <w:t>Molecular weight (Da)</w:t>
            </w:r>
          </w:p>
        </w:tc>
        <w:tc>
          <w:tcPr>
            <w:tcW w:type="dxa" w:w="2088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34,033.92</w:t>
            </w:r>
          </w:p>
        </w:tc>
        <w:tc>
          <w:tcPr>
            <w:tcW w:type="dxa" w:w="2160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14,252.52</w:t>
            </w:r>
          </w:p>
        </w:tc>
        <w:tc>
          <w:tcPr>
            <w:tcW w:type="dxa" w:w="2160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32,900.74</w:t>
            </w:r>
          </w:p>
        </w:tc>
        <w:tc>
          <w:tcPr>
            <w:tcW w:type="dxa" w:w="1656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8,112.66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left"/>
            </w:pPr>
            <w:r>
              <w:rPr>
                <w:rFonts w:ascii="Times New Roman" w:hAnsi="Times New Roman"/>
                <w:sz w:val="20"/>
              </w:rPr>
              <w:t>Theoretical pI</w:t>
            </w:r>
          </w:p>
        </w:tc>
        <w:tc>
          <w:tcPr>
            <w:tcW w:type="dxa" w:w="2088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5.40</w:t>
            </w:r>
          </w:p>
        </w:tc>
        <w:tc>
          <w:tcPr>
            <w:tcW w:type="dxa" w:w="2160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6.50</w:t>
            </w:r>
          </w:p>
        </w:tc>
        <w:tc>
          <w:tcPr>
            <w:tcW w:type="dxa" w:w="2160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4.78</w:t>
            </w:r>
          </w:p>
        </w:tc>
        <w:tc>
          <w:tcPr>
            <w:tcW w:type="dxa" w:w="1656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4.32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left"/>
            </w:pPr>
            <w:r>
              <w:rPr>
                <w:rFonts w:ascii="Times New Roman" w:hAnsi="Times New Roman"/>
                <w:sz w:val="20"/>
              </w:rPr>
              <w:t>Charged residues (negative/positive)</w:t>
            </w:r>
          </w:p>
        </w:tc>
        <w:tc>
          <w:tcPr>
            <w:tcW w:type="dxa" w:w="2088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36/27</w:t>
            </w:r>
          </w:p>
        </w:tc>
        <w:tc>
          <w:tcPr>
            <w:tcW w:type="dxa" w:w="2160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17/16</w:t>
            </w:r>
          </w:p>
        </w:tc>
        <w:tc>
          <w:tcPr>
            <w:tcW w:type="dxa" w:w="2160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74/50</w:t>
            </w:r>
          </w:p>
        </w:tc>
        <w:tc>
          <w:tcPr>
            <w:tcW w:type="dxa" w:w="1656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16/6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left"/>
            </w:pPr>
            <w:r>
              <w:rPr>
                <w:rFonts w:ascii="Times New Roman" w:hAnsi="Times New Roman"/>
                <w:sz w:val="20"/>
              </w:rPr>
              <w:t>Instability index</w:t>
            </w:r>
          </w:p>
        </w:tc>
        <w:tc>
          <w:tcPr>
            <w:tcW w:type="dxa" w:w="2088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36.94</w:t>
            </w:r>
          </w:p>
        </w:tc>
        <w:tc>
          <w:tcPr>
            <w:tcW w:type="dxa" w:w="2160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35.71</w:t>
            </w:r>
          </w:p>
        </w:tc>
        <w:tc>
          <w:tcPr>
            <w:tcW w:type="dxa" w:w="2160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46.78</w:t>
            </w:r>
          </w:p>
        </w:tc>
        <w:tc>
          <w:tcPr>
            <w:tcW w:type="dxa" w:w="1656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61.56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left"/>
            </w:pPr>
            <w:r>
              <w:rPr>
                <w:rFonts w:ascii="Times New Roman" w:hAnsi="Times New Roman"/>
                <w:sz w:val="20"/>
              </w:rPr>
              <w:t>Aliphatic index</w:t>
            </w:r>
          </w:p>
        </w:tc>
        <w:tc>
          <w:tcPr>
            <w:tcW w:type="dxa" w:w="2088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74.87</w:t>
            </w:r>
          </w:p>
        </w:tc>
        <w:tc>
          <w:tcPr>
            <w:tcW w:type="dxa" w:w="2160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89.92</w:t>
            </w:r>
          </w:p>
        </w:tc>
        <w:tc>
          <w:tcPr>
            <w:tcW w:type="dxa" w:w="2160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79.15</w:t>
            </w:r>
          </w:p>
        </w:tc>
        <w:tc>
          <w:tcPr>
            <w:tcW w:type="dxa" w:w="1656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18.14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left"/>
            </w:pPr>
            <w:r>
              <w:rPr>
                <w:rFonts w:ascii="Times New Roman" w:hAnsi="Times New Roman"/>
                <w:sz w:val="20"/>
              </w:rPr>
              <w:t>GRAVY</w:t>
            </w:r>
          </w:p>
        </w:tc>
        <w:tc>
          <w:tcPr>
            <w:tcW w:type="dxa" w:w="2088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−0.453</w:t>
            </w:r>
          </w:p>
        </w:tc>
        <w:tc>
          <w:tcPr>
            <w:tcW w:type="dxa" w:w="2160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−0.205</w:t>
            </w:r>
          </w:p>
        </w:tc>
        <w:tc>
          <w:tcPr>
            <w:tcW w:type="dxa" w:w="2160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−1.060</w:t>
            </w:r>
          </w:p>
        </w:tc>
        <w:tc>
          <w:tcPr>
            <w:tcW w:type="dxa" w:w="1656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−1.344</w:t>
            </w:r>
          </w:p>
        </w:tc>
      </w:tr>
    </w:tbl>
    <w:p>
      <w:pPr>
        <w:spacing w:line="240" w:lineRule="auto" w:before="80" w:after="0"/>
      </w:pPr>
      <w:r>
        <w:rPr>
          <w:rFonts w:ascii="Times New Roman" w:hAnsi="Times New Roman"/>
          <w:sz w:val="19"/>
        </w:rPr>
      </w:r>
      <w:r>
        <w:rPr>
          <w:rFonts w:ascii="Times New Roman" w:hAnsi="Times New Roman"/>
          <w:i/>
          <w:sz w:val="19"/>
        </w:rPr>
        <w:t>Note.</w:t>
      </w:r>
      <w:r>
        <w:rPr>
          <w:rFonts w:ascii="Times New Roman" w:hAnsi="Times New Roman"/>
          <w:sz w:val="19"/>
        </w:rPr>
        <w:t xml:space="preserve"> GRAVY, grand average of hydropathicity. Values were calculated using the ExPASy ProtParam tool.</w:t>
      </w:r>
    </w:p>
    <w:p>
      <w:r>
        <w:br w:type="page"/>
      </w:r>
    </w:p>
    <w:p>
      <w:pPr>
        <w:spacing w:before="0" w:after="120" w:line="276" w:lineRule="auto"/>
        <w:jc w:val="left"/>
        <w:keepLines/>
        <w:keepNext/>
      </w:pPr>
      <w:r>
        <w:rPr>
          <w:rFonts w:ascii="Times New Roman" w:hAnsi="Times New Roman"/>
          <w:b/>
          <w:sz w:val="22"/>
        </w:rPr>
        <w:t>Table S2</w:t>
      </w:r>
      <w:r>
        <w:rPr>
          <w:rFonts w:ascii="Times New Roman" w:hAnsi="Times New Roman"/>
          <w:sz w:val="22"/>
        </w:rPr>
        <w:t xml:space="preserve"> PSIPRED-predicted secondary-structure composition of Der p 1, Der p 2, Der p 10, and Der p 23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56"/>
        <w:gridCol w:w="2256"/>
        <w:gridCol w:w="2256"/>
        <w:gridCol w:w="2256"/>
      </w:tblGrid>
      <w:tr>
        <w:trPr>
          <w:tblHeader w:val="true"/>
          <w:cantSplit/>
        </w:trPr>
        <w:tc>
          <w:tcPr>
            <w:tcW w:type="dxa" w:w="1656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Allergen</w:t>
            </w:r>
          </w:p>
        </w:tc>
        <w:tc>
          <w:tcPr>
            <w:tcW w:type="dxa" w:w="2376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α-Helix</w:t>
            </w:r>
          </w:p>
        </w:tc>
        <w:tc>
          <w:tcPr>
            <w:tcW w:type="dxa" w:w="2376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β-Strand</w:t>
            </w:r>
          </w:p>
        </w:tc>
        <w:tc>
          <w:tcPr>
            <w:tcW w:type="dxa" w:w="2376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Random coil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left"/>
            </w:pPr>
            <w:r>
              <w:rPr>
                <w:rFonts w:ascii="Times New Roman" w:hAnsi="Times New Roman"/>
                <w:sz w:val="20"/>
              </w:rPr>
              <w:t>Der p 1</w:t>
            </w:r>
          </w:p>
        </w:tc>
        <w:tc>
          <w:tcPr>
            <w:tcW w:type="dxa" w:w="2376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98 (32.67%)</w:t>
            </w:r>
          </w:p>
        </w:tc>
        <w:tc>
          <w:tcPr>
            <w:tcW w:type="dxa" w:w="2376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43 (14.33%)</w:t>
            </w:r>
          </w:p>
        </w:tc>
        <w:tc>
          <w:tcPr>
            <w:tcW w:type="dxa" w:w="2376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159 (53.00%)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left"/>
            </w:pPr>
            <w:r>
              <w:rPr>
                <w:rFonts w:ascii="Times New Roman" w:hAnsi="Times New Roman"/>
                <w:sz w:val="20"/>
              </w:rPr>
              <w:t>Der p 2</w:t>
            </w:r>
          </w:p>
        </w:tc>
        <w:tc>
          <w:tcPr>
            <w:tcW w:type="dxa" w:w="2376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0 (0.00%)</w:t>
            </w:r>
          </w:p>
        </w:tc>
        <w:tc>
          <w:tcPr>
            <w:tcW w:type="dxa" w:w="2376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69 (53.08%)</w:t>
            </w:r>
          </w:p>
        </w:tc>
        <w:tc>
          <w:tcPr>
            <w:tcW w:type="dxa" w:w="2376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61 (46.92%)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left"/>
            </w:pPr>
            <w:r>
              <w:rPr>
                <w:rFonts w:ascii="Times New Roman" w:hAnsi="Times New Roman"/>
                <w:sz w:val="20"/>
              </w:rPr>
              <w:t>Der p 10</w:t>
            </w:r>
          </w:p>
        </w:tc>
        <w:tc>
          <w:tcPr>
            <w:tcW w:type="dxa" w:w="2376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281 (98.94%)</w:t>
            </w:r>
          </w:p>
        </w:tc>
        <w:tc>
          <w:tcPr>
            <w:tcW w:type="dxa" w:w="2376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0 (0.00%)</w:t>
            </w:r>
          </w:p>
        </w:tc>
        <w:tc>
          <w:tcPr>
            <w:tcW w:type="dxa" w:w="2376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3 (1.06%)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left"/>
            </w:pPr>
            <w:r>
              <w:rPr>
                <w:rFonts w:ascii="Times New Roman" w:hAnsi="Times New Roman"/>
                <w:sz w:val="20"/>
              </w:rPr>
              <w:t>Der p 23</w:t>
            </w:r>
          </w:p>
        </w:tc>
        <w:tc>
          <w:tcPr>
            <w:tcW w:type="dxa" w:w="2376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2 (2.86%)</w:t>
            </w:r>
          </w:p>
        </w:tc>
        <w:tc>
          <w:tcPr>
            <w:tcW w:type="dxa" w:w="2376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12 (17.14%)</w:t>
            </w:r>
          </w:p>
        </w:tc>
        <w:tc>
          <w:tcPr>
            <w:tcW w:type="dxa" w:w="2376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56 (80.00%)</w:t>
            </w:r>
          </w:p>
        </w:tc>
      </w:tr>
    </w:tbl>
    <w:p>
      <w:pPr>
        <w:spacing w:line="240" w:lineRule="auto" w:before="80" w:after="0"/>
      </w:pPr>
      <w:r>
        <w:rPr>
          <w:rFonts w:ascii="Times New Roman" w:hAnsi="Times New Roman"/>
          <w:sz w:val="19"/>
        </w:rPr>
      </w:r>
      <w:r>
        <w:rPr>
          <w:rFonts w:ascii="Times New Roman" w:hAnsi="Times New Roman"/>
          <w:i/>
          <w:sz w:val="19"/>
        </w:rPr>
        <w:t>Note.</w:t>
      </w:r>
      <w:r>
        <w:rPr>
          <w:rFonts w:ascii="Times New Roman" w:hAnsi="Times New Roman"/>
          <w:sz w:val="19"/>
        </w:rPr>
        <w:t xml:space="preserve"> Values are shown as the number of residues (percentage of the amino acid sequence).</w:t>
      </w:r>
    </w:p>
    <w:p>
      <w:r>
        <w:br w:type="page"/>
      </w:r>
    </w:p>
    <w:p>
      <w:pPr>
        <w:spacing w:before="0" w:after="120" w:line="276" w:lineRule="auto"/>
        <w:jc w:val="left"/>
        <w:keepLines/>
        <w:keepNext/>
      </w:pPr>
      <w:r>
        <w:rPr>
          <w:rFonts w:ascii="Times New Roman" w:hAnsi="Times New Roman"/>
          <w:b/>
          <w:sz w:val="22"/>
        </w:rPr>
        <w:t>Table S3</w:t>
      </w:r>
      <w:r>
        <w:rPr>
          <w:rFonts w:ascii="Times New Roman" w:hAnsi="Times New Roman"/>
          <w:sz w:val="22"/>
        </w:rPr>
        <w:t xml:space="preserve"> Linear B-cell epitope regions predicted using the IEDB Analysis Resource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13"/>
        <w:gridCol w:w="4513"/>
      </w:tblGrid>
      <w:tr>
        <w:trPr>
          <w:tblHeader w:val="true"/>
          <w:cantSplit/>
        </w:trPr>
        <w:tc>
          <w:tcPr>
            <w:tcW w:type="dxa" w:w="1512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b/>
                <w:sz w:val="19"/>
              </w:rPr>
              <w:t>Allergen</w:t>
            </w:r>
          </w:p>
        </w:tc>
        <w:tc>
          <w:tcPr>
            <w:tcW w:type="dxa" w:w="7200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b/>
                <w:sz w:val="19"/>
              </w:rPr>
              <w:t>Predicted region(s)</w:t>
            </w:r>
          </w:p>
        </w:tc>
      </w:tr>
      <w:tr>
        <w:trPr>
          <w:cantSplit/>
        </w:trPr>
        <w:tc>
          <w:tcPr>
            <w:tcW w:type="dxa" w:w="1512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left"/>
            </w:pPr>
            <w:r>
              <w:rPr>
                <w:rFonts w:ascii="Times New Roman" w:hAnsi="Times New Roman"/>
                <w:sz w:val="19"/>
              </w:rPr>
              <w:t>Der p 1</w:t>
            </w:r>
          </w:p>
        </w:tc>
        <w:tc>
          <w:tcPr>
            <w:tcW w:type="dxa" w:w="7200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left"/>
            </w:pPr>
            <w:r>
              <w:rPr>
                <w:rFonts w:ascii="Times New Roman" w:hAnsi="Times New Roman"/>
                <w:sz w:val="19"/>
              </w:rPr>
              <w:t>6–25: FEEYKKAFNK SYATFEDEEA</w:t>
              <w:br/>
              <w:t>35–36: KY</w:t>
              <w:br/>
              <w:t>38–102: QSNGGAINHL SDLSLDEFKN RFLMSAEAFE HLKTQFDLNA ETNACSINGN APAEIDLRQM RTVTP</w:t>
              <w:br/>
              <w:t>104: R</w:t>
              <w:br/>
              <w:t>128–135: YRNQSLDL</w:t>
              <w:br/>
              <w:t>147–148: HG</w:t>
              <w:br/>
              <w:t>161–176: IQHNGVVQES YYRYVA</w:t>
              <w:br/>
              <w:t>178–179: EQ</w:t>
              <w:br/>
              <w:t>181–194: CRRPNAQRFG ISNY</w:t>
              <w:br/>
              <w:t>227: A</w:t>
              <w:br/>
              <w:t>229–245: RHYDGRTIIQ RDNGYQP</w:t>
              <w:br/>
              <w:t>256–263: SNAQGVDY</w:t>
              <w:br/>
              <w:t>272–276: TNWGD</w:t>
              <w:br/>
              <w:t>278: G</w:t>
            </w:r>
          </w:p>
        </w:tc>
      </w:tr>
      <w:tr>
        <w:trPr>
          <w:cantSplit/>
        </w:trPr>
        <w:tc>
          <w:tcPr>
            <w:tcW w:type="dxa" w:w="1512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left"/>
            </w:pPr>
            <w:r>
              <w:rPr>
                <w:rFonts w:ascii="Times New Roman" w:hAnsi="Times New Roman"/>
                <w:sz w:val="19"/>
              </w:rPr>
              <w:t>Der p 2</w:t>
            </w:r>
          </w:p>
        </w:tc>
        <w:tc>
          <w:tcPr>
            <w:tcW w:type="dxa" w:w="7200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left"/>
            </w:pPr>
            <w:r>
              <w:rPr>
                <w:rFonts w:ascii="Times New Roman" w:hAnsi="Times New Roman"/>
                <w:sz w:val="19"/>
              </w:rPr>
              <w:t>5–17: DVKDCANHEI KKV</w:t>
              <w:br/>
              <w:t>22–25: CHGS</w:t>
              <w:br/>
              <w:t>64–76: VDVPGIDPNA CHY</w:t>
              <w:br/>
              <w:t>78–90: KCPLVKGQQY DIK</w:t>
              <w:br/>
              <w:t>93–101: WNVPKIAPK</w:t>
            </w:r>
          </w:p>
        </w:tc>
      </w:tr>
      <w:tr>
        <w:trPr>
          <w:cantSplit/>
        </w:trPr>
        <w:tc>
          <w:tcPr>
            <w:tcW w:type="dxa" w:w="1512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left"/>
            </w:pPr>
            <w:r>
              <w:rPr>
                <w:rFonts w:ascii="Times New Roman" w:hAnsi="Times New Roman"/>
                <w:sz w:val="19"/>
              </w:rPr>
              <w:t>Der p 10</w:t>
            </w:r>
          </w:p>
        </w:tc>
        <w:tc>
          <w:tcPr>
            <w:tcW w:type="dxa" w:w="7200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left"/>
            </w:pPr>
            <w:r>
              <w:rPr>
                <w:rFonts w:ascii="Times New Roman" w:hAnsi="Times New Roman"/>
                <w:sz w:val="19"/>
              </w:rPr>
              <w:t>5–171: KNKMQAMKLE KDNAIDRAEI AEQKARDANL RAEKSEEEVR ALQKKIQQIE NELDQVQEQL SAANTKLEEK EKALQTAEGD VAALNRRIQL IEEDLERSEE RLKIATAKLE EASQSADESE RMRKMLEHRS ITDEERMEGL ENQLKEARMM AEDADRKYDE VARKLAM</w:t>
              <w:br/>
              <w:t>174–279: ADLERAEERA ETGESKIVEL EEELRVGNNL KSLEVSEEKA QQREEAHEQQ IRIMTTKLKE AEARAEFAER SVQLQKEVGR LEDELVHEKE KYKSISDELD QTFA</w:t>
            </w:r>
          </w:p>
        </w:tc>
      </w:tr>
      <w:tr>
        <w:trPr>
          <w:cantSplit/>
        </w:trPr>
        <w:tc>
          <w:tcPr>
            <w:tcW w:type="dxa" w:w="1512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left"/>
            </w:pPr>
            <w:r>
              <w:rPr>
                <w:rFonts w:ascii="Times New Roman" w:hAnsi="Times New Roman"/>
                <w:sz w:val="19"/>
              </w:rPr>
              <w:t>Der p 23</w:t>
            </w:r>
          </w:p>
        </w:tc>
        <w:tc>
          <w:tcPr>
            <w:tcW w:type="dxa" w:w="7200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left"/>
            </w:pPr>
            <w:r>
              <w:rPr>
                <w:rFonts w:ascii="Times New Roman" w:hAnsi="Times New Roman"/>
                <w:sz w:val="19"/>
              </w:rPr>
              <w:t>5–30: NDDDPTTTVH PTTTEQPDDK FECPSR</w:t>
              <w:br/>
              <w:t>34–39: FADPKD</w:t>
              <w:br/>
              <w:t>50–67: EAVHKDCPGN TRWNEDEE</w:t>
            </w:r>
          </w:p>
        </w:tc>
      </w:tr>
    </w:tbl>
    <w:p>
      <w:pPr>
        <w:spacing w:line="240" w:lineRule="auto" w:before="80" w:after="0"/>
      </w:pPr>
      <w:r>
        <w:rPr>
          <w:rFonts w:ascii="Times New Roman" w:hAnsi="Times New Roman"/>
          <w:sz w:val="19"/>
        </w:rPr>
      </w:r>
      <w:r>
        <w:rPr>
          <w:rFonts w:ascii="Times New Roman" w:hAnsi="Times New Roman"/>
          <w:i/>
          <w:sz w:val="19"/>
        </w:rPr>
        <w:t>Note.</w:t>
      </w:r>
      <w:r>
        <w:rPr>
          <w:rFonts w:ascii="Times New Roman" w:hAnsi="Times New Roman"/>
          <w:sz w:val="19"/>
        </w:rPr>
        <w:t xml:space="preserve"> Residue positions are one-based. Spaces within amino acid sequences are included only to improve readability.</w:t>
      </w:r>
    </w:p>
    <w:p>
      <w:r>
        <w:br w:type="page"/>
      </w:r>
    </w:p>
    <w:p>
      <w:pPr>
        <w:spacing w:before="0" w:after="120" w:line="276" w:lineRule="auto"/>
        <w:jc w:val="left"/>
        <w:keepLines/>
        <w:keepNext/>
      </w:pPr>
      <w:r>
        <w:rPr>
          <w:rFonts w:ascii="Times New Roman" w:hAnsi="Times New Roman"/>
          <w:b/>
          <w:sz w:val="22"/>
        </w:rPr>
        <w:t>Table S4</w:t>
      </w:r>
      <w:r>
        <w:rPr>
          <w:rFonts w:ascii="Times New Roman" w:hAnsi="Times New Roman"/>
          <w:sz w:val="22"/>
        </w:rPr>
        <w:t xml:space="preserve"> Linear B-cell epitope regions predicted using BepiPred 2.0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13"/>
        <w:gridCol w:w="4513"/>
      </w:tblGrid>
      <w:tr>
        <w:trPr>
          <w:tblHeader w:val="true"/>
          <w:cantSplit/>
        </w:trPr>
        <w:tc>
          <w:tcPr>
            <w:tcW w:type="dxa" w:w="1512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b/>
                <w:sz w:val="19"/>
              </w:rPr>
              <w:t>Allergen</w:t>
            </w:r>
          </w:p>
        </w:tc>
        <w:tc>
          <w:tcPr>
            <w:tcW w:type="dxa" w:w="7200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b/>
                <w:sz w:val="19"/>
              </w:rPr>
              <w:t>Predicted region(s)</w:t>
            </w:r>
          </w:p>
        </w:tc>
      </w:tr>
      <w:tr>
        <w:trPr>
          <w:cantSplit/>
        </w:trPr>
        <w:tc>
          <w:tcPr>
            <w:tcW w:type="dxa" w:w="1512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left"/>
            </w:pPr>
            <w:r>
              <w:rPr>
                <w:rFonts w:ascii="Times New Roman" w:hAnsi="Times New Roman"/>
                <w:sz w:val="19"/>
              </w:rPr>
              <w:t>Der p 1</w:t>
            </w:r>
          </w:p>
        </w:tc>
        <w:tc>
          <w:tcPr>
            <w:tcW w:type="dxa" w:w="7200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left"/>
            </w:pPr>
            <w:r>
              <w:rPr>
                <w:rFonts w:ascii="Times New Roman" w:hAnsi="Times New Roman"/>
                <w:sz w:val="19"/>
              </w:rPr>
              <w:t>7–20: EEYKKAFNKS YATF</w:t>
              <w:br/>
              <w:t>33–53: SVKYVQSNGG AINHLSDLSL D</w:t>
              <w:br/>
              <w:t>55: F</w:t>
              <w:br/>
              <w:t>57–151: NRFLMSAEAF EHLKTQFDLN AETNACSING NAPAEIDLRQ MRTVTPIRMQ GGCGSAWAFS GVAATESAYL AYRNQSLDLA EQELVDCASQ HGCHG</w:t>
              <w:br/>
              <w:t>178–192: EQSCRRPNAQ RFGIS</w:t>
              <w:br/>
              <w:t>207–217: EALAQTHSAI A</w:t>
              <w:br/>
              <w:t>236–244: IIQRDNGYQ</w:t>
              <w:br/>
              <w:t>253–281: VGYSNAQGVD YWIVRNSWDT NWGDNGYGY</w:t>
              <w:br/>
              <w:t>283: A</w:t>
              <w:br/>
              <w:t>285: N</w:t>
              <w:br/>
              <w:t>295–296: PY</w:t>
            </w:r>
          </w:p>
        </w:tc>
      </w:tr>
      <w:tr>
        <w:trPr>
          <w:cantSplit/>
        </w:trPr>
        <w:tc>
          <w:tcPr>
            <w:tcW w:type="dxa" w:w="1512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left"/>
            </w:pPr>
            <w:r>
              <w:rPr>
                <w:rFonts w:ascii="Times New Roman" w:hAnsi="Times New Roman"/>
                <w:sz w:val="19"/>
              </w:rPr>
              <w:t>Der p 2</w:t>
            </w:r>
          </w:p>
        </w:tc>
        <w:tc>
          <w:tcPr>
            <w:tcW w:type="dxa" w:w="7200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left"/>
            </w:pPr>
            <w:r>
              <w:rPr>
                <w:rFonts w:ascii="Times New Roman" w:hAnsi="Times New Roman"/>
                <w:sz w:val="19"/>
              </w:rPr>
              <w:t>5–14: DVKDCANHEI</w:t>
              <w:br/>
              <w:t>24–31: GSEPCIIH</w:t>
              <w:br/>
              <w:t>35: P</w:t>
              <w:br/>
              <w:t>39–64: EAVFEANQNT KTAKIEIKAS IDGLEV</w:t>
              <w:br/>
              <w:t>74–76: CHY</w:t>
              <w:br/>
              <w:t>78–79: KC</w:t>
              <w:br/>
              <w:t>81–93: LVKGQQYDIK YTW</w:t>
              <w:br/>
              <w:t>98–127: IAPKSENVVV TVKVMGDDGV LACAIATHAK</w:t>
            </w:r>
          </w:p>
        </w:tc>
      </w:tr>
      <w:tr>
        <w:trPr>
          <w:cantSplit/>
        </w:trPr>
        <w:tc>
          <w:tcPr>
            <w:tcW w:type="dxa" w:w="1512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left"/>
            </w:pPr>
            <w:r>
              <w:rPr>
                <w:rFonts w:ascii="Times New Roman" w:hAnsi="Times New Roman"/>
                <w:sz w:val="19"/>
              </w:rPr>
              <w:t>Der p 10</w:t>
            </w:r>
          </w:p>
        </w:tc>
        <w:tc>
          <w:tcPr>
            <w:tcW w:type="dxa" w:w="7200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left"/>
            </w:pPr>
            <w:r>
              <w:rPr>
                <w:rFonts w:ascii="Times New Roman" w:hAnsi="Times New Roman"/>
                <w:sz w:val="19"/>
              </w:rPr>
              <w:t>5–42: KNKMQAMKLE KDNAIDRAEI AEQKARDANL RAEKSEEE</w:t>
              <w:br/>
              <w:t>48–91: KKIQQIENEL DQVQEQLSAA NTKLEEKEKA LQTAEGDVAA LNRR</w:t>
              <w:br/>
              <w:t>93–144: QLIEEDLERS EERLKIATAK LEEASQSADE SERMRKMLEH RSITDEERME GL</w:t>
              <w:br/>
              <w:t>146–280: NQLKEARMMA EDADRKYDEV ARKLAMVEAD LERAEERAET GESKIVELEE ELRVVGNNLK SLEVSEEKAQ QREEAHEQQI RIMTTKLKEA EARAEFAERS VQKLQKEVGR LEDELVHEKE KYKSISDELD QTFAE</w:t>
            </w:r>
          </w:p>
        </w:tc>
      </w:tr>
      <w:tr>
        <w:trPr>
          <w:cantSplit/>
        </w:trPr>
        <w:tc>
          <w:tcPr>
            <w:tcW w:type="dxa" w:w="1512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left"/>
            </w:pPr>
            <w:r>
              <w:rPr>
                <w:rFonts w:ascii="Times New Roman" w:hAnsi="Times New Roman"/>
                <w:sz w:val="19"/>
              </w:rPr>
              <w:t>Der p 23</w:t>
            </w:r>
          </w:p>
        </w:tc>
        <w:tc>
          <w:tcPr>
            <w:tcW w:type="dxa" w:w="7200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left"/>
            </w:pPr>
            <w:r>
              <w:rPr>
                <w:rFonts w:ascii="Times New Roman" w:hAnsi="Times New Roman"/>
                <w:sz w:val="19"/>
              </w:rPr>
              <w:t>6: D</w:t>
              <w:br/>
              <w:t>62–66: WNEDE</w:t>
            </w:r>
          </w:p>
        </w:tc>
      </w:tr>
    </w:tbl>
    <w:p>
      <w:pPr>
        <w:spacing w:line="240" w:lineRule="auto" w:before="80" w:after="0"/>
      </w:pPr>
      <w:r>
        <w:rPr>
          <w:rFonts w:ascii="Times New Roman" w:hAnsi="Times New Roman"/>
          <w:sz w:val="19"/>
        </w:rPr>
      </w:r>
      <w:r>
        <w:rPr>
          <w:rFonts w:ascii="Times New Roman" w:hAnsi="Times New Roman"/>
          <w:i/>
          <w:sz w:val="19"/>
        </w:rPr>
        <w:t>Note.</w:t>
      </w:r>
      <w:r>
        <w:rPr>
          <w:rFonts w:ascii="Times New Roman" w:hAnsi="Times New Roman"/>
          <w:sz w:val="19"/>
        </w:rPr>
        <w:t xml:space="preserve"> Residue positions are one-based. Spaces within amino acid sequences are included only to improve readability.</w:t>
      </w:r>
    </w:p>
    <w:p>
      <w:r>
        <w:br w:type="page"/>
      </w:r>
    </w:p>
    <w:p>
      <w:pPr>
        <w:spacing w:before="0" w:after="120" w:line="276" w:lineRule="auto"/>
        <w:jc w:val="left"/>
        <w:keepLines/>
        <w:keepNext/>
      </w:pPr>
      <w:r>
        <w:rPr>
          <w:rFonts w:ascii="Times New Roman" w:hAnsi="Times New Roman"/>
          <w:b/>
          <w:sz w:val="22"/>
        </w:rPr>
        <w:t>Table S5</w:t>
      </w:r>
      <w:r>
        <w:rPr>
          <w:rFonts w:ascii="Times New Roman" w:hAnsi="Times New Roman"/>
          <w:sz w:val="22"/>
        </w:rPr>
        <w:t xml:space="preserve"> Potential linear B-cell epitope regions identified from DNAStar Protean profiles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13"/>
        <w:gridCol w:w="4513"/>
      </w:tblGrid>
      <w:tr>
        <w:trPr>
          <w:tblHeader w:val="true"/>
          <w:cantSplit/>
        </w:trPr>
        <w:tc>
          <w:tcPr>
            <w:tcW w:type="dxa" w:w="1512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b/>
                <w:sz w:val="19"/>
              </w:rPr>
              <w:t>Allergen</w:t>
            </w:r>
          </w:p>
        </w:tc>
        <w:tc>
          <w:tcPr>
            <w:tcW w:type="dxa" w:w="7200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b/>
                <w:sz w:val="19"/>
              </w:rPr>
              <w:t>Predicted region(s)</w:t>
            </w:r>
          </w:p>
        </w:tc>
      </w:tr>
      <w:tr>
        <w:trPr>
          <w:cantSplit/>
        </w:trPr>
        <w:tc>
          <w:tcPr>
            <w:tcW w:type="dxa" w:w="1512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left"/>
            </w:pPr>
            <w:r>
              <w:rPr>
                <w:rFonts w:ascii="Times New Roman" w:hAnsi="Times New Roman"/>
                <w:sz w:val="19"/>
              </w:rPr>
              <w:t>Der p 1</w:t>
            </w:r>
          </w:p>
        </w:tc>
        <w:tc>
          <w:tcPr>
            <w:tcW w:type="dxa" w:w="7200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left"/>
            </w:pPr>
            <w:r>
              <w:rPr>
                <w:rFonts w:ascii="Times New Roman" w:hAnsi="Times New Roman"/>
                <w:sz w:val="19"/>
              </w:rPr>
              <w:t>14: N</w:t>
              <w:br/>
              <w:t>27–28: RK</w:t>
              <w:br/>
              <w:t>55–56: FK</w:t>
              <w:br/>
              <w:t>131: Q</w:t>
              <w:br/>
              <w:t>153–154: TI</w:t>
              <w:br/>
              <w:t>157: G</w:t>
              <w:br/>
              <w:t>170: S</w:t>
              <w:br/>
              <w:t>179–187: QSCRRPNAQ</w:t>
              <w:br/>
              <w:t>201: N</w:t>
              <w:br/>
              <w:t>203–205: NKI</w:t>
              <w:br/>
              <w:t>232–233: DG</w:t>
              <w:br/>
              <w:t>239–244: RDNGYQ</w:t>
              <w:br/>
              <w:t>268–271: NSWD</w:t>
              <w:br/>
              <w:t>274: W</w:t>
            </w:r>
          </w:p>
        </w:tc>
      </w:tr>
      <w:tr>
        <w:trPr>
          <w:cantSplit/>
        </w:trPr>
        <w:tc>
          <w:tcPr>
            <w:tcW w:type="dxa" w:w="1512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left"/>
            </w:pPr>
            <w:r>
              <w:rPr>
                <w:rFonts w:ascii="Times New Roman" w:hAnsi="Times New Roman"/>
                <w:sz w:val="19"/>
              </w:rPr>
              <w:t>Der p 2</w:t>
            </w:r>
          </w:p>
        </w:tc>
        <w:tc>
          <w:tcPr>
            <w:tcW w:type="dxa" w:w="7200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left"/>
            </w:pPr>
            <w:r>
              <w:rPr>
                <w:rFonts w:ascii="Times New Roman" w:hAnsi="Times New Roman"/>
                <w:sz w:val="19"/>
              </w:rPr>
              <w:t>32–34: RGK</w:t>
              <w:br/>
              <w:t>45–48: NQNT</w:t>
              <w:br/>
              <w:t>85: Q</w:t>
              <w:br/>
              <w:t>98–102: IAPKS</w:t>
            </w:r>
          </w:p>
        </w:tc>
      </w:tr>
      <w:tr>
        <w:trPr>
          <w:cantSplit/>
        </w:trPr>
        <w:tc>
          <w:tcPr>
            <w:tcW w:type="dxa" w:w="1512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left"/>
            </w:pPr>
            <w:r>
              <w:rPr>
                <w:rFonts w:ascii="Times New Roman" w:hAnsi="Times New Roman"/>
                <w:sz w:val="19"/>
              </w:rPr>
              <w:t>Der p 10</w:t>
            </w:r>
          </w:p>
        </w:tc>
        <w:tc>
          <w:tcPr>
            <w:tcW w:type="dxa" w:w="7200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left"/>
            </w:pPr>
            <w:r>
              <w:rPr>
                <w:rFonts w:ascii="Times New Roman" w:hAnsi="Times New Roman"/>
                <w:sz w:val="19"/>
              </w:rPr>
              <w:t>14–17: EKDN</w:t>
              <w:br/>
              <w:t>69–71: TKL</w:t>
              <w:br/>
              <w:t>117–120: SQSA</w:t>
              <w:br/>
              <w:t>157–160: DADR</w:t>
              <w:br/>
              <w:t>203–204: NL</w:t>
            </w:r>
          </w:p>
        </w:tc>
      </w:tr>
      <w:tr>
        <w:trPr>
          <w:cantSplit/>
        </w:trPr>
        <w:tc>
          <w:tcPr>
            <w:tcW w:type="dxa" w:w="1512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left"/>
            </w:pPr>
            <w:r>
              <w:rPr>
                <w:rFonts w:ascii="Times New Roman" w:hAnsi="Times New Roman"/>
                <w:sz w:val="19"/>
              </w:rPr>
              <w:t>Der p 23</w:t>
            </w:r>
          </w:p>
        </w:tc>
        <w:tc>
          <w:tcPr>
            <w:tcW w:type="dxa" w:w="7200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left"/>
            </w:pPr>
            <w:r>
              <w:rPr>
                <w:rFonts w:ascii="Times New Roman" w:hAnsi="Times New Roman"/>
                <w:sz w:val="19"/>
              </w:rPr>
              <w:t>5–10: NDDDPT</w:t>
              <w:br/>
              <w:t>17–24: TTEQPDDK</w:t>
              <w:br/>
              <w:t>30: R</w:t>
              <w:br/>
              <w:t>36–41: DPKDPH</w:t>
              <w:br/>
              <w:t>59–67: NTRWNEDEE</w:t>
            </w:r>
          </w:p>
        </w:tc>
      </w:tr>
    </w:tbl>
    <w:p>
      <w:pPr>
        <w:spacing w:line="240" w:lineRule="auto" w:before="80" w:after="0"/>
      </w:pPr>
      <w:r>
        <w:rPr>
          <w:rFonts w:ascii="Times New Roman" w:hAnsi="Times New Roman"/>
          <w:sz w:val="19"/>
        </w:rPr>
      </w:r>
      <w:r>
        <w:rPr>
          <w:rFonts w:ascii="Times New Roman" w:hAnsi="Times New Roman"/>
          <w:i/>
          <w:sz w:val="19"/>
        </w:rPr>
        <w:t>Note.</w:t>
      </w:r>
      <w:r>
        <w:rPr>
          <w:rFonts w:ascii="Times New Roman" w:hAnsi="Times New Roman"/>
          <w:sz w:val="19"/>
        </w:rPr>
        <w:t xml:space="preserve"> Residue positions are one-based. Spaces within amino acid sequences are included only to improve readability.</w:t>
      </w:r>
    </w:p>
    <w:p>
      <w:r>
        <w:br w:type="page"/>
      </w:r>
    </w:p>
    <w:p>
      <w:pPr>
        <w:spacing w:before="0" w:after="120" w:line="276" w:lineRule="auto"/>
        <w:jc w:val="left"/>
        <w:keepLines/>
        <w:keepNext/>
      </w:pPr>
      <w:r>
        <w:rPr>
          <w:rFonts w:ascii="Times New Roman" w:hAnsi="Times New Roman"/>
          <w:b/>
          <w:sz w:val="22"/>
        </w:rPr>
        <w:t>Table S6</w:t>
      </w:r>
      <w:r>
        <w:rPr>
          <w:rFonts w:ascii="Times New Roman" w:hAnsi="Times New Roman"/>
          <w:sz w:val="22"/>
        </w:rPr>
        <w:t xml:space="preserve"> Sixteen-residue linear B-cell epitope windows predicted using ABCpred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13"/>
        <w:gridCol w:w="4513"/>
      </w:tblGrid>
      <w:tr>
        <w:trPr>
          <w:tblHeader w:val="true"/>
          <w:cantSplit/>
        </w:trPr>
        <w:tc>
          <w:tcPr>
            <w:tcW w:type="dxa" w:w="1512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b/>
                <w:sz w:val="19"/>
              </w:rPr>
              <w:t>Allergen</w:t>
            </w:r>
          </w:p>
        </w:tc>
        <w:tc>
          <w:tcPr>
            <w:tcW w:type="dxa" w:w="7200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b/>
                <w:sz w:val="19"/>
              </w:rPr>
              <w:t>Predicted region(s)</w:t>
            </w:r>
          </w:p>
        </w:tc>
      </w:tr>
      <w:tr>
        <w:trPr>
          <w:cantSplit/>
        </w:trPr>
        <w:tc>
          <w:tcPr>
            <w:tcW w:type="dxa" w:w="1512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left"/>
            </w:pPr>
            <w:r>
              <w:rPr>
                <w:rFonts w:ascii="Times New Roman" w:hAnsi="Times New Roman"/>
                <w:sz w:val="19"/>
              </w:rPr>
              <w:t>Der p 1</w:t>
            </w:r>
          </w:p>
        </w:tc>
        <w:tc>
          <w:tcPr>
            <w:tcW w:type="dxa" w:w="7200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left"/>
            </w:pPr>
            <w:r>
              <w:rPr>
                <w:rFonts w:ascii="Times New Roman" w:hAnsi="Times New Roman"/>
                <w:sz w:val="19"/>
              </w:rPr>
              <w:t>4–19; 15–30; 24–39; 34–49; 46–61; 62–77</w:t>
              <w:br/>
              <w:t>69–84; 87–102; 96–111; 107–122; 116–131; 127–142</w:t>
              <w:br/>
              <w:t>138–153; 148–163; 155–170; 165–180; 178–193; 189–204</w:t>
              <w:br/>
              <w:t>204–219; 219–234; 230–245; 236–251; 242–257; 258–273</w:t>
              <w:br/>
              <w:t>266–281; 273–288; 284–299</w:t>
            </w:r>
          </w:p>
        </w:tc>
      </w:tr>
      <w:tr>
        <w:trPr>
          <w:cantSplit/>
        </w:trPr>
        <w:tc>
          <w:tcPr>
            <w:tcW w:type="dxa" w:w="1512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left"/>
            </w:pPr>
            <w:r>
              <w:rPr>
                <w:rFonts w:ascii="Times New Roman" w:hAnsi="Times New Roman"/>
                <w:sz w:val="19"/>
              </w:rPr>
              <w:t>Der p 2</w:t>
            </w:r>
          </w:p>
        </w:tc>
        <w:tc>
          <w:tcPr>
            <w:tcW w:type="dxa" w:w="7200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left"/>
            </w:pPr>
            <w:r>
              <w:rPr>
                <w:rFonts w:ascii="Times New Roman" w:hAnsi="Times New Roman"/>
                <w:sz w:val="19"/>
              </w:rPr>
              <w:t>5–20; 11–26; 21–36; 31–46; 38–53; 56–71</w:t>
              <w:br/>
              <w:t>65–80; 73–88; 82–97; 88–103; 94–109; 110–125</w:t>
            </w:r>
          </w:p>
        </w:tc>
      </w:tr>
      <w:tr>
        <w:trPr>
          <w:cantSplit/>
        </w:trPr>
        <w:tc>
          <w:tcPr>
            <w:tcW w:type="dxa" w:w="1512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left"/>
            </w:pPr>
            <w:r>
              <w:rPr>
                <w:rFonts w:ascii="Times New Roman" w:hAnsi="Times New Roman"/>
                <w:sz w:val="19"/>
              </w:rPr>
              <w:t>Der p 10</w:t>
            </w:r>
          </w:p>
        </w:tc>
        <w:tc>
          <w:tcPr>
            <w:tcW w:type="dxa" w:w="7200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left"/>
            </w:pPr>
            <w:r>
              <w:rPr>
                <w:rFonts w:ascii="Times New Roman" w:hAnsi="Times New Roman"/>
                <w:sz w:val="19"/>
              </w:rPr>
              <w:t>1–16; 12–27; 21–36; 32–47; 38–53; 48–63</w:t>
              <w:br/>
              <w:t>64–79; 75–90; 82–97; 92–107; 99–114; 106–121</w:t>
              <w:br/>
              <w:t>117–132; 123–138; 132–147; 142–157; 149–164; 155–170</w:t>
              <w:br/>
              <w:t>162–177; 169–184; 179–194; 191–206; 215–230; 224–239</w:t>
              <w:br/>
              <w:t>232–247; 243–258; 254–269; 262–277; 268–283</w:t>
            </w:r>
          </w:p>
        </w:tc>
      </w:tr>
      <w:tr>
        <w:trPr>
          <w:cantSplit/>
        </w:trPr>
        <w:tc>
          <w:tcPr>
            <w:tcW w:type="dxa" w:w="1512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left"/>
            </w:pPr>
            <w:r>
              <w:rPr>
                <w:rFonts w:ascii="Times New Roman" w:hAnsi="Times New Roman"/>
                <w:sz w:val="19"/>
              </w:rPr>
              <w:t>Der p 23</w:t>
            </w:r>
          </w:p>
        </w:tc>
        <w:tc>
          <w:tcPr>
            <w:tcW w:type="dxa" w:w="7200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left"/>
            </w:pPr>
            <w:r>
              <w:rPr>
                <w:rFonts w:ascii="Times New Roman" w:hAnsi="Times New Roman"/>
                <w:sz w:val="19"/>
              </w:rPr>
              <w:t>6–21; 12–27; 22–37; 32–47; 42–57; 48–63</w:t>
              <w:br/>
              <w:t>55–70</w:t>
            </w:r>
          </w:p>
        </w:tc>
      </w:tr>
    </w:tbl>
    <w:p>
      <w:pPr>
        <w:spacing w:line="240" w:lineRule="auto" w:before="80" w:after="0"/>
      </w:pPr>
      <w:r>
        <w:rPr>
          <w:rFonts w:ascii="Times New Roman" w:hAnsi="Times New Roman"/>
          <w:sz w:val="19"/>
        </w:rPr>
      </w:r>
      <w:r>
        <w:rPr>
          <w:rFonts w:ascii="Times New Roman" w:hAnsi="Times New Roman"/>
          <w:i/>
          <w:sz w:val="19"/>
        </w:rPr>
        <w:t>Note.</w:t>
      </w:r>
      <w:r>
        <w:rPr>
          <w:rFonts w:ascii="Times New Roman" w:hAnsi="Times New Roman"/>
          <w:sz w:val="19"/>
        </w:rPr>
        <w:t xml:space="preserve"> Each predicted window contains 16 residues; residue positions are one-based.</w:t>
      </w:r>
    </w:p>
    <w:p>
      <w:r>
        <w:br w:type="page"/>
      </w:r>
    </w:p>
    <w:p>
      <w:pPr>
        <w:spacing w:before="0" w:after="120" w:line="276" w:lineRule="auto"/>
        <w:jc w:val="left"/>
        <w:keepLines/>
        <w:keepNext/>
      </w:pPr>
      <w:r>
        <w:rPr>
          <w:rFonts w:ascii="Times New Roman" w:hAnsi="Times New Roman"/>
          <w:b/>
          <w:sz w:val="22"/>
        </w:rPr>
        <w:t>Table S7</w:t>
      </w:r>
      <w:r>
        <w:rPr>
          <w:rFonts w:ascii="Times New Roman" w:hAnsi="Times New Roman"/>
          <w:sz w:val="22"/>
        </w:rPr>
        <w:t xml:space="preserve"> Results of the 10-day accelerated storage comparison for the Der p 1 QD-LFIA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05"/>
        <w:gridCol w:w="1805"/>
        <w:gridCol w:w="1805"/>
        <w:gridCol w:w="1805"/>
        <w:gridCol w:w="1805"/>
      </w:tblGrid>
      <w:tr>
        <w:trPr>
          <w:tblHeader w:val="true"/>
          <w:cantSplit/>
        </w:trPr>
        <w:tc>
          <w:tcPr>
            <w:tcW w:type="dxa" w:w="792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Sample</w:t>
            </w:r>
          </w:p>
        </w:tc>
        <w:tc>
          <w:tcPr>
            <w:tcW w:type="dxa" w:w="2088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ImmunoCAP-assigned concentration (IU/mL)</w:t>
            </w:r>
          </w:p>
        </w:tc>
        <w:tc>
          <w:tcPr>
            <w:tcW w:type="dxa" w:w="2160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QD-LFIA result after 10 days at 4 °C (IU/mL)</w:t>
            </w:r>
          </w:p>
        </w:tc>
        <w:tc>
          <w:tcPr>
            <w:tcW w:type="dxa" w:w="2160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QD-LFIA result after 10 days at 37 °C (IU/mL)</w:t>
            </w:r>
          </w:p>
        </w:tc>
        <w:tc>
          <w:tcPr>
            <w:tcW w:type="dxa" w:w="1656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Relative deviation (%)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left"/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2088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94.92</w:t>
            </w:r>
          </w:p>
        </w:tc>
        <w:tc>
          <w:tcPr>
            <w:tcW w:type="dxa" w:w="2160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98.72</w:t>
            </w:r>
          </w:p>
        </w:tc>
        <w:tc>
          <w:tcPr>
            <w:tcW w:type="dxa" w:w="2160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94.27</w:t>
            </w:r>
          </w:p>
        </w:tc>
        <w:tc>
          <w:tcPr>
            <w:tcW w:type="dxa" w:w="1656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−4.50%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left"/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2088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61.97</w:t>
            </w:r>
          </w:p>
        </w:tc>
        <w:tc>
          <w:tcPr>
            <w:tcW w:type="dxa" w:w="2160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62.59</w:t>
            </w:r>
          </w:p>
        </w:tc>
        <w:tc>
          <w:tcPr>
            <w:tcW w:type="dxa" w:w="2160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58.92</w:t>
            </w:r>
          </w:p>
        </w:tc>
        <w:tc>
          <w:tcPr>
            <w:tcW w:type="dxa" w:w="1656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−5.87%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left"/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2088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29.52</w:t>
            </w:r>
          </w:p>
        </w:tc>
        <w:tc>
          <w:tcPr>
            <w:tcW w:type="dxa" w:w="2160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30.11</w:t>
            </w:r>
          </w:p>
        </w:tc>
        <w:tc>
          <w:tcPr>
            <w:tcW w:type="dxa" w:w="2160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31.32</w:t>
            </w:r>
          </w:p>
        </w:tc>
        <w:tc>
          <w:tcPr>
            <w:tcW w:type="dxa" w:w="1656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4.01%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left"/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2088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79.87</w:t>
            </w:r>
          </w:p>
        </w:tc>
        <w:tc>
          <w:tcPr>
            <w:tcW w:type="dxa" w:w="2160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83.06</w:t>
            </w:r>
          </w:p>
        </w:tc>
        <w:tc>
          <w:tcPr>
            <w:tcW w:type="dxa" w:w="2160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76.22</w:t>
            </w:r>
          </w:p>
        </w:tc>
        <w:tc>
          <w:tcPr>
            <w:tcW w:type="dxa" w:w="1656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−8.24%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left"/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2088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7.05</w:t>
            </w:r>
          </w:p>
        </w:tc>
        <w:tc>
          <w:tcPr>
            <w:tcW w:type="dxa" w:w="2160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6.77</w:t>
            </w:r>
          </w:p>
        </w:tc>
        <w:tc>
          <w:tcPr>
            <w:tcW w:type="dxa" w:w="2160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6.89</w:t>
            </w:r>
          </w:p>
        </w:tc>
        <w:tc>
          <w:tcPr>
            <w:tcW w:type="dxa" w:w="1656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1.86%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left"/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2088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3.83</w:t>
            </w:r>
          </w:p>
        </w:tc>
        <w:tc>
          <w:tcPr>
            <w:tcW w:type="dxa" w:w="2160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3.91</w:t>
            </w:r>
          </w:p>
        </w:tc>
        <w:tc>
          <w:tcPr>
            <w:tcW w:type="dxa" w:w="2160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4.00</w:t>
            </w:r>
          </w:p>
        </w:tc>
        <w:tc>
          <w:tcPr>
            <w:tcW w:type="dxa" w:w="1656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2.28%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left"/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2088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0.98</w:t>
            </w:r>
          </w:p>
        </w:tc>
        <w:tc>
          <w:tcPr>
            <w:tcW w:type="dxa" w:w="2160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0.96</w:t>
            </w:r>
          </w:p>
        </w:tc>
        <w:tc>
          <w:tcPr>
            <w:tcW w:type="dxa" w:w="2160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0.93</w:t>
            </w:r>
          </w:p>
        </w:tc>
        <w:tc>
          <w:tcPr>
            <w:tcW w:type="dxa" w:w="1656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−3.48%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left"/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type="dxa" w:w="2088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0.47</w:t>
            </w:r>
          </w:p>
        </w:tc>
        <w:tc>
          <w:tcPr>
            <w:tcW w:type="dxa" w:w="2160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0.46</w:t>
            </w:r>
          </w:p>
        </w:tc>
        <w:tc>
          <w:tcPr>
            <w:tcW w:type="dxa" w:w="2160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0.48</w:t>
            </w:r>
          </w:p>
        </w:tc>
        <w:tc>
          <w:tcPr>
            <w:tcW w:type="dxa" w:w="1656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4.25%</w:t>
            </w:r>
          </w:p>
        </w:tc>
      </w:tr>
    </w:tbl>
    <w:p>
      <w:pPr>
        <w:spacing w:line="240" w:lineRule="auto" w:before="80" w:after="0"/>
      </w:pPr>
      <w:r>
        <w:rPr>
          <w:rFonts w:ascii="Times New Roman" w:hAnsi="Times New Roman"/>
          <w:i/>
          <w:sz w:val="19"/>
        </w:rPr>
        <w:t>Note.</w:t>
      </w:r>
      <w:r>
        <w:rPr>
          <w:rFonts w:ascii="Times New Roman" w:hAnsi="Times New Roman"/>
          <w:sz w:val="19"/>
        </w:rPr>
        <w:t xml:space="preserve"> Relative deviation (%) = [(</w:t>
      </w:r>
      <w:r>
        <w:rPr>
          <w:rFonts w:ascii="Times New Roman" w:hAnsi="Times New Roman"/>
          <w:i/>
          <w:sz w:val="19"/>
        </w:rPr>
        <w:t>C</w:t>
      </w:r>
      <w:r>
        <w:rPr>
          <w:rFonts w:ascii="Times New Roman" w:hAnsi="Times New Roman"/>
          <w:sz w:val="16"/>
          <w:vertAlign w:val="subscript"/>
        </w:rPr>
        <w:t>37 °C</w:t>
      </w:r>
      <w:r>
        <w:rPr>
          <w:rFonts w:ascii="Times New Roman" w:hAnsi="Times New Roman"/>
          <w:sz w:val="19"/>
        </w:rPr>
        <w:t>/</w:t>
      </w:r>
      <w:r>
        <w:rPr>
          <w:rFonts w:ascii="Times New Roman" w:hAnsi="Times New Roman"/>
          <w:i/>
          <w:sz w:val="19"/>
        </w:rPr>
        <w:t>C</w:t>
      </w:r>
      <w:r>
        <w:rPr>
          <w:rFonts w:ascii="Times New Roman" w:hAnsi="Times New Roman"/>
          <w:sz w:val="16"/>
          <w:vertAlign w:val="subscript"/>
        </w:rPr>
        <w:t>4 °C</w:t>
      </w:r>
      <w:r>
        <w:rPr>
          <w:rFonts w:ascii="Times New Roman" w:hAnsi="Times New Roman"/>
          <w:sz w:val="19"/>
        </w:rPr>
        <w:t>) − 1] × 100. Deviations were calculated using the unrounded mean assay values.</w:t>
      </w:r>
    </w:p>
    <w:p>
      <w:r>
        <w:br w:type="page"/>
      </w:r>
    </w:p>
    <w:p>
      <w:pPr>
        <w:spacing w:before="0" w:after="120" w:line="276" w:lineRule="auto"/>
        <w:jc w:val="left"/>
        <w:keepLines/>
        <w:keepNext/>
      </w:pPr>
      <w:r>
        <w:rPr>
          <w:rFonts w:ascii="Times New Roman" w:hAnsi="Times New Roman"/>
          <w:b/>
          <w:sz w:val="22"/>
        </w:rPr>
        <w:t>Table S8</w:t>
      </w:r>
      <w:r>
        <w:rPr>
          <w:rFonts w:ascii="Times New Roman" w:hAnsi="Times New Roman"/>
          <w:sz w:val="22"/>
        </w:rPr>
        <w:t xml:space="preserve"> Results of the 10-day accelerated storage comparison for the Der p 2 QD-LFIA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05"/>
        <w:gridCol w:w="1805"/>
        <w:gridCol w:w="1805"/>
        <w:gridCol w:w="1805"/>
        <w:gridCol w:w="1805"/>
      </w:tblGrid>
      <w:tr>
        <w:trPr>
          <w:tblHeader w:val="true"/>
          <w:cantSplit/>
        </w:trPr>
        <w:tc>
          <w:tcPr>
            <w:tcW w:type="dxa" w:w="792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Sample</w:t>
            </w:r>
          </w:p>
        </w:tc>
        <w:tc>
          <w:tcPr>
            <w:tcW w:type="dxa" w:w="2088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ImmunoCAP-assigned concentration (IU/mL)</w:t>
            </w:r>
          </w:p>
        </w:tc>
        <w:tc>
          <w:tcPr>
            <w:tcW w:type="dxa" w:w="2160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QD-LFIA result after 10 days at 4 °C (IU/mL)</w:t>
            </w:r>
          </w:p>
        </w:tc>
        <w:tc>
          <w:tcPr>
            <w:tcW w:type="dxa" w:w="2160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QD-LFIA result after 10 days at 37 °C (IU/mL)</w:t>
            </w:r>
          </w:p>
        </w:tc>
        <w:tc>
          <w:tcPr>
            <w:tcW w:type="dxa" w:w="1656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Relative deviation (%)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left"/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2088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85.48</w:t>
            </w:r>
          </w:p>
        </w:tc>
        <w:tc>
          <w:tcPr>
            <w:tcW w:type="dxa" w:w="2160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88.04</w:t>
            </w:r>
          </w:p>
        </w:tc>
        <w:tc>
          <w:tcPr>
            <w:tcW w:type="dxa" w:w="2160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82.46</w:t>
            </w:r>
          </w:p>
        </w:tc>
        <w:tc>
          <w:tcPr>
            <w:tcW w:type="dxa" w:w="1656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−6.34%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left"/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2088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61.20</w:t>
            </w:r>
          </w:p>
        </w:tc>
        <w:tc>
          <w:tcPr>
            <w:tcW w:type="dxa" w:w="2160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61.20</w:t>
            </w:r>
          </w:p>
        </w:tc>
        <w:tc>
          <w:tcPr>
            <w:tcW w:type="dxa" w:w="2160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59.82</w:t>
            </w:r>
          </w:p>
        </w:tc>
        <w:tc>
          <w:tcPr>
            <w:tcW w:type="dxa" w:w="1656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−2.25%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left"/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2088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30.31</w:t>
            </w:r>
          </w:p>
        </w:tc>
        <w:tc>
          <w:tcPr>
            <w:tcW w:type="dxa" w:w="2160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29.40</w:t>
            </w:r>
          </w:p>
        </w:tc>
        <w:tc>
          <w:tcPr>
            <w:tcW w:type="dxa" w:w="2160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29.86</w:t>
            </w:r>
          </w:p>
        </w:tc>
        <w:tc>
          <w:tcPr>
            <w:tcW w:type="dxa" w:w="1656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1.57%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left"/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2088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115.32</w:t>
            </w:r>
          </w:p>
        </w:tc>
        <w:tc>
          <w:tcPr>
            <w:tcW w:type="dxa" w:w="2160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118.78</w:t>
            </w:r>
          </w:p>
        </w:tc>
        <w:tc>
          <w:tcPr>
            <w:tcW w:type="dxa" w:w="2160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111.42</w:t>
            </w:r>
          </w:p>
        </w:tc>
        <w:tc>
          <w:tcPr>
            <w:tcW w:type="dxa" w:w="1656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−6.20%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left"/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2088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5.12</w:t>
            </w:r>
          </w:p>
        </w:tc>
        <w:tc>
          <w:tcPr>
            <w:tcW w:type="dxa" w:w="2160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5.02</w:t>
            </w:r>
          </w:p>
        </w:tc>
        <w:tc>
          <w:tcPr>
            <w:tcW w:type="dxa" w:w="2160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5.14</w:t>
            </w:r>
          </w:p>
        </w:tc>
        <w:tc>
          <w:tcPr>
            <w:tcW w:type="dxa" w:w="1656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2.39%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left"/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2088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3.38</w:t>
            </w:r>
          </w:p>
        </w:tc>
        <w:tc>
          <w:tcPr>
            <w:tcW w:type="dxa" w:w="2160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3.21</w:t>
            </w:r>
          </w:p>
        </w:tc>
        <w:tc>
          <w:tcPr>
            <w:tcW w:type="dxa" w:w="2160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3.29</w:t>
            </w:r>
          </w:p>
        </w:tc>
        <w:tc>
          <w:tcPr>
            <w:tcW w:type="dxa" w:w="1656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2.60%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left"/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2088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1.45</w:t>
            </w:r>
          </w:p>
        </w:tc>
        <w:tc>
          <w:tcPr>
            <w:tcW w:type="dxa" w:w="2160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1.45</w:t>
            </w:r>
          </w:p>
        </w:tc>
        <w:tc>
          <w:tcPr>
            <w:tcW w:type="dxa" w:w="2160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1.37</w:t>
            </w:r>
          </w:p>
        </w:tc>
        <w:tc>
          <w:tcPr>
            <w:tcW w:type="dxa" w:w="1656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−5.50%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left"/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type="dxa" w:w="2088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0.48</w:t>
            </w:r>
          </w:p>
        </w:tc>
        <w:tc>
          <w:tcPr>
            <w:tcW w:type="dxa" w:w="2160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0.47</w:t>
            </w:r>
          </w:p>
        </w:tc>
        <w:tc>
          <w:tcPr>
            <w:tcW w:type="dxa" w:w="2160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0.43</w:t>
            </w:r>
          </w:p>
        </w:tc>
        <w:tc>
          <w:tcPr>
            <w:tcW w:type="dxa" w:w="1656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−7.64%</w:t>
            </w:r>
          </w:p>
        </w:tc>
      </w:tr>
    </w:tbl>
    <w:p>
      <w:pPr>
        <w:spacing w:line="240" w:lineRule="auto" w:before="80" w:after="0"/>
      </w:pPr>
      <w:r>
        <w:rPr>
          <w:rFonts w:ascii="Times New Roman" w:hAnsi="Times New Roman"/>
          <w:i/>
          <w:sz w:val="19"/>
        </w:rPr>
        <w:t>Note.</w:t>
      </w:r>
      <w:r>
        <w:rPr>
          <w:rFonts w:ascii="Times New Roman" w:hAnsi="Times New Roman"/>
          <w:sz w:val="19"/>
        </w:rPr>
        <w:t xml:space="preserve"> Relative deviation (%) = [(</w:t>
      </w:r>
      <w:r>
        <w:rPr>
          <w:rFonts w:ascii="Times New Roman" w:hAnsi="Times New Roman"/>
          <w:i/>
          <w:sz w:val="19"/>
        </w:rPr>
        <w:t>C</w:t>
      </w:r>
      <w:r>
        <w:rPr>
          <w:rFonts w:ascii="Times New Roman" w:hAnsi="Times New Roman"/>
          <w:sz w:val="16"/>
          <w:vertAlign w:val="subscript"/>
        </w:rPr>
        <w:t>37 °C</w:t>
      </w:r>
      <w:r>
        <w:rPr>
          <w:rFonts w:ascii="Times New Roman" w:hAnsi="Times New Roman"/>
          <w:sz w:val="19"/>
        </w:rPr>
        <w:t>/</w:t>
      </w:r>
      <w:r>
        <w:rPr>
          <w:rFonts w:ascii="Times New Roman" w:hAnsi="Times New Roman"/>
          <w:i/>
          <w:sz w:val="19"/>
        </w:rPr>
        <w:t>C</w:t>
      </w:r>
      <w:r>
        <w:rPr>
          <w:rFonts w:ascii="Times New Roman" w:hAnsi="Times New Roman"/>
          <w:sz w:val="16"/>
          <w:vertAlign w:val="subscript"/>
        </w:rPr>
        <w:t>4 °C</w:t>
      </w:r>
      <w:r>
        <w:rPr>
          <w:rFonts w:ascii="Times New Roman" w:hAnsi="Times New Roman"/>
          <w:sz w:val="19"/>
        </w:rPr>
        <w:t>) − 1] × 100. Deviations were calculated using the unrounded mean assay values.</w:t>
      </w:r>
    </w:p>
    <w:p>
      <w:r>
        <w:br w:type="page"/>
      </w:r>
    </w:p>
    <w:p>
      <w:pPr>
        <w:spacing w:before="0" w:after="120" w:line="276" w:lineRule="auto"/>
        <w:jc w:val="left"/>
        <w:keepLines/>
        <w:keepNext/>
      </w:pPr>
      <w:r>
        <w:rPr>
          <w:rFonts w:ascii="Times New Roman" w:hAnsi="Times New Roman"/>
          <w:b/>
          <w:sz w:val="22"/>
        </w:rPr>
        <w:t>Table S9</w:t>
      </w:r>
      <w:r>
        <w:rPr>
          <w:rFonts w:ascii="Times New Roman" w:hAnsi="Times New Roman"/>
          <w:sz w:val="22"/>
        </w:rPr>
        <w:t xml:space="preserve"> Results of the 10-day accelerated storage comparison for the Der p 10 QD-LFIA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05"/>
        <w:gridCol w:w="1805"/>
        <w:gridCol w:w="1805"/>
        <w:gridCol w:w="1805"/>
        <w:gridCol w:w="1805"/>
      </w:tblGrid>
      <w:tr>
        <w:trPr>
          <w:tblHeader w:val="true"/>
          <w:cantSplit/>
        </w:trPr>
        <w:tc>
          <w:tcPr>
            <w:tcW w:type="dxa" w:w="792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Sample</w:t>
            </w:r>
          </w:p>
        </w:tc>
        <w:tc>
          <w:tcPr>
            <w:tcW w:type="dxa" w:w="2088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ImmunoCAP-assigned concentration (IU/mL)</w:t>
            </w:r>
          </w:p>
        </w:tc>
        <w:tc>
          <w:tcPr>
            <w:tcW w:type="dxa" w:w="2160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QD-LFIA result after 10 days at 4 °C (IU/mL)</w:t>
            </w:r>
          </w:p>
        </w:tc>
        <w:tc>
          <w:tcPr>
            <w:tcW w:type="dxa" w:w="2160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QD-LFIA result after 10 days at 37 °C (IU/mL)</w:t>
            </w:r>
          </w:p>
        </w:tc>
        <w:tc>
          <w:tcPr>
            <w:tcW w:type="dxa" w:w="1656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Relative deviation (%)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left"/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2088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92.61</w:t>
            </w:r>
          </w:p>
        </w:tc>
        <w:tc>
          <w:tcPr>
            <w:tcW w:type="dxa" w:w="2160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95.39</w:t>
            </w:r>
          </w:p>
        </w:tc>
        <w:tc>
          <w:tcPr>
            <w:tcW w:type="dxa" w:w="2160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92.22</w:t>
            </w:r>
          </w:p>
        </w:tc>
        <w:tc>
          <w:tcPr>
            <w:tcW w:type="dxa" w:w="1656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−3.32%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left"/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2088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66.25</w:t>
            </w:r>
          </w:p>
        </w:tc>
        <w:tc>
          <w:tcPr>
            <w:tcW w:type="dxa" w:w="2160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64.93</w:t>
            </w:r>
          </w:p>
        </w:tc>
        <w:tc>
          <w:tcPr>
            <w:tcW w:type="dxa" w:w="2160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62.22</w:t>
            </w:r>
          </w:p>
        </w:tc>
        <w:tc>
          <w:tcPr>
            <w:tcW w:type="dxa" w:w="1656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−4.16%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left"/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2088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39.56</w:t>
            </w:r>
          </w:p>
        </w:tc>
        <w:tc>
          <w:tcPr>
            <w:tcW w:type="dxa" w:w="2160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39.56</w:t>
            </w:r>
          </w:p>
        </w:tc>
        <w:tc>
          <w:tcPr>
            <w:tcW w:type="dxa" w:w="2160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36.05</w:t>
            </w:r>
          </w:p>
        </w:tc>
        <w:tc>
          <w:tcPr>
            <w:tcW w:type="dxa" w:w="1656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−8.88%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left"/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2088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37.36</w:t>
            </w:r>
          </w:p>
        </w:tc>
        <w:tc>
          <w:tcPr>
            <w:tcW w:type="dxa" w:w="2160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36.24</w:t>
            </w:r>
          </w:p>
        </w:tc>
        <w:tc>
          <w:tcPr>
            <w:tcW w:type="dxa" w:w="2160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33.00</w:t>
            </w:r>
          </w:p>
        </w:tc>
        <w:tc>
          <w:tcPr>
            <w:tcW w:type="dxa" w:w="1656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−8.94%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left"/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2088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7.08</w:t>
            </w:r>
          </w:p>
        </w:tc>
        <w:tc>
          <w:tcPr>
            <w:tcW w:type="dxa" w:w="2160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7.08</w:t>
            </w:r>
          </w:p>
        </w:tc>
        <w:tc>
          <w:tcPr>
            <w:tcW w:type="dxa" w:w="2160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7.11</w:t>
            </w:r>
          </w:p>
        </w:tc>
        <w:tc>
          <w:tcPr>
            <w:tcW w:type="dxa" w:w="1656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0.37%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left"/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2088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3.21</w:t>
            </w:r>
          </w:p>
        </w:tc>
        <w:tc>
          <w:tcPr>
            <w:tcW w:type="dxa" w:w="2160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3.21</w:t>
            </w:r>
          </w:p>
        </w:tc>
        <w:tc>
          <w:tcPr>
            <w:tcW w:type="dxa" w:w="2160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3.18</w:t>
            </w:r>
          </w:p>
        </w:tc>
        <w:tc>
          <w:tcPr>
            <w:tcW w:type="dxa" w:w="1656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−0.94%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left"/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2088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1.96</w:t>
            </w:r>
          </w:p>
        </w:tc>
        <w:tc>
          <w:tcPr>
            <w:tcW w:type="dxa" w:w="2160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1.86</w:t>
            </w:r>
          </w:p>
        </w:tc>
        <w:tc>
          <w:tcPr>
            <w:tcW w:type="dxa" w:w="2160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1.91</w:t>
            </w:r>
          </w:p>
        </w:tc>
        <w:tc>
          <w:tcPr>
            <w:tcW w:type="dxa" w:w="1656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2.34%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left"/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type="dxa" w:w="2088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0.38</w:t>
            </w:r>
          </w:p>
        </w:tc>
        <w:tc>
          <w:tcPr>
            <w:tcW w:type="dxa" w:w="2160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0.37</w:t>
            </w:r>
          </w:p>
        </w:tc>
        <w:tc>
          <w:tcPr>
            <w:tcW w:type="dxa" w:w="2160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0.34</w:t>
            </w:r>
          </w:p>
        </w:tc>
        <w:tc>
          <w:tcPr>
            <w:tcW w:type="dxa" w:w="1656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−7.49%</w:t>
            </w:r>
          </w:p>
        </w:tc>
      </w:tr>
    </w:tbl>
    <w:p>
      <w:pPr>
        <w:spacing w:line="240" w:lineRule="auto" w:before="80" w:after="0"/>
      </w:pPr>
      <w:r>
        <w:rPr>
          <w:rFonts w:ascii="Times New Roman" w:hAnsi="Times New Roman"/>
          <w:i/>
          <w:sz w:val="19"/>
        </w:rPr>
        <w:t>Note.</w:t>
      </w:r>
      <w:r>
        <w:rPr>
          <w:rFonts w:ascii="Times New Roman" w:hAnsi="Times New Roman"/>
          <w:sz w:val="19"/>
        </w:rPr>
        <w:t xml:space="preserve"> Relative deviation (%) = [(</w:t>
      </w:r>
      <w:r>
        <w:rPr>
          <w:rFonts w:ascii="Times New Roman" w:hAnsi="Times New Roman"/>
          <w:i/>
          <w:sz w:val="19"/>
        </w:rPr>
        <w:t>C</w:t>
      </w:r>
      <w:r>
        <w:rPr>
          <w:rFonts w:ascii="Times New Roman" w:hAnsi="Times New Roman"/>
          <w:sz w:val="16"/>
          <w:vertAlign w:val="subscript"/>
        </w:rPr>
        <w:t>37 °C</w:t>
      </w:r>
      <w:r>
        <w:rPr>
          <w:rFonts w:ascii="Times New Roman" w:hAnsi="Times New Roman"/>
          <w:sz w:val="19"/>
        </w:rPr>
        <w:t>/</w:t>
      </w:r>
      <w:r>
        <w:rPr>
          <w:rFonts w:ascii="Times New Roman" w:hAnsi="Times New Roman"/>
          <w:i/>
          <w:sz w:val="19"/>
        </w:rPr>
        <w:t>C</w:t>
      </w:r>
      <w:r>
        <w:rPr>
          <w:rFonts w:ascii="Times New Roman" w:hAnsi="Times New Roman"/>
          <w:sz w:val="16"/>
          <w:vertAlign w:val="subscript"/>
        </w:rPr>
        <w:t>4 °C</w:t>
      </w:r>
      <w:r>
        <w:rPr>
          <w:rFonts w:ascii="Times New Roman" w:hAnsi="Times New Roman"/>
          <w:sz w:val="19"/>
        </w:rPr>
        <w:t>) − 1] × 100. Deviations were calculated using the unrounded mean assay values.</w:t>
      </w:r>
    </w:p>
    <w:p>
      <w:r>
        <w:br w:type="page"/>
      </w:r>
    </w:p>
    <w:p>
      <w:pPr>
        <w:spacing w:before="0" w:after="120" w:line="276" w:lineRule="auto"/>
        <w:jc w:val="left"/>
        <w:keepLines/>
        <w:keepNext/>
      </w:pPr>
      <w:r>
        <w:rPr>
          <w:rFonts w:ascii="Times New Roman" w:hAnsi="Times New Roman"/>
          <w:b/>
          <w:sz w:val="22"/>
        </w:rPr>
        <w:t>Table S10</w:t>
      </w:r>
      <w:r>
        <w:rPr>
          <w:rFonts w:ascii="Times New Roman" w:hAnsi="Times New Roman"/>
          <w:sz w:val="22"/>
        </w:rPr>
        <w:t xml:space="preserve"> Results of the 10-day accelerated storage comparison for the Der p 23 QD-LFIA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05"/>
        <w:gridCol w:w="1805"/>
        <w:gridCol w:w="1805"/>
        <w:gridCol w:w="1805"/>
        <w:gridCol w:w="1805"/>
      </w:tblGrid>
      <w:tr>
        <w:trPr>
          <w:tblHeader w:val="true"/>
          <w:cantSplit/>
        </w:trPr>
        <w:tc>
          <w:tcPr>
            <w:tcW w:type="dxa" w:w="792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Sample</w:t>
            </w:r>
          </w:p>
        </w:tc>
        <w:tc>
          <w:tcPr>
            <w:tcW w:type="dxa" w:w="2088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ImmunoCAP-assigned concentration (IU/mL)</w:t>
            </w:r>
          </w:p>
        </w:tc>
        <w:tc>
          <w:tcPr>
            <w:tcW w:type="dxa" w:w="2160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QD-LFIA result after 10 days at 4 °C (IU/mL)</w:t>
            </w:r>
          </w:p>
        </w:tc>
        <w:tc>
          <w:tcPr>
            <w:tcW w:type="dxa" w:w="2160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QD-LFIA result after 10 days at 37 °C (IU/mL)</w:t>
            </w:r>
          </w:p>
        </w:tc>
        <w:tc>
          <w:tcPr>
            <w:tcW w:type="dxa" w:w="1656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Relative deviation (%)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left"/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2088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86.27</w:t>
            </w:r>
          </w:p>
        </w:tc>
        <w:tc>
          <w:tcPr>
            <w:tcW w:type="dxa" w:w="2160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81.96</w:t>
            </w:r>
          </w:p>
        </w:tc>
        <w:tc>
          <w:tcPr>
            <w:tcW w:type="dxa" w:w="2160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78.63</w:t>
            </w:r>
          </w:p>
        </w:tc>
        <w:tc>
          <w:tcPr>
            <w:tcW w:type="dxa" w:w="1656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−4.06%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left"/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2088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59.45</w:t>
            </w:r>
          </w:p>
        </w:tc>
        <w:tc>
          <w:tcPr>
            <w:tcW w:type="dxa" w:w="2160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60.04</w:t>
            </w:r>
          </w:p>
        </w:tc>
        <w:tc>
          <w:tcPr>
            <w:tcW w:type="dxa" w:w="2160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61.29</w:t>
            </w:r>
          </w:p>
        </w:tc>
        <w:tc>
          <w:tcPr>
            <w:tcW w:type="dxa" w:w="1656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2.08%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left"/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2088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25.84</w:t>
            </w:r>
          </w:p>
        </w:tc>
        <w:tc>
          <w:tcPr>
            <w:tcW w:type="dxa" w:w="2160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25.06</w:t>
            </w:r>
          </w:p>
        </w:tc>
        <w:tc>
          <w:tcPr>
            <w:tcW w:type="dxa" w:w="2160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25.70</w:t>
            </w:r>
          </w:p>
        </w:tc>
        <w:tc>
          <w:tcPr>
            <w:tcW w:type="dxa" w:w="1656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2.55%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left"/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2088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114.04</w:t>
            </w:r>
          </w:p>
        </w:tc>
        <w:tc>
          <w:tcPr>
            <w:tcW w:type="dxa" w:w="2160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111.76</w:t>
            </w:r>
          </w:p>
        </w:tc>
        <w:tc>
          <w:tcPr>
            <w:tcW w:type="dxa" w:w="2160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112.49</w:t>
            </w:r>
          </w:p>
        </w:tc>
        <w:tc>
          <w:tcPr>
            <w:tcW w:type="dxa" w:w="1656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0.65%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left"/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2088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5.37</w:t>
            </w:r>
          </w:p>
        </w:tc>
        <w:tc>
          <w:tcPr>
            <w:tcW w:type="dxa" w:w="2160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5.16</w:t>
            </w:r>
          </w:p>
        </w:tc>
        <w:tc>
          <w:tcPr>
            <w:tcW w:type="dxa" w:w="2160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4.87</w:t>
            </w:r>
          </w:p>
        </w:tc>
        <w:tc>
          <w:tcPr>
            <w:tcW w:type="dxa" w:w="1656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−5.45%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left"/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2088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3.01</w:t>
            </w:r>
          </w:p>
        </w:tc>
        <w:tc>
          <w:tcPr>
            <w:tcW w:type="dxa" w:w="2160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2.95</w:t>
            </w:r>
          </w:p>
        </w:tc>
        <w:tc>
          <w:tcPr>
            <w:tcW w:type="dxa" w:w="2160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2.83</w:t>
            </w:r>
          </w:p>
        </w:tc>
        <w:tc>
          <w:tcPr>
            <w:tcW w:type="dxa" w:w="1656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−4.20%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left"/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2088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1.61</w:t>
            </w:r>
          </w:p>
        </w:tc>
        <w:tc>
          <w:tcPr>
            <w:tcW w:type="dxa" w:w="2160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1.61</w:t>
            </w:r>
          </w:p>
        </w:tc>
        <w:tc>
          <w:tcPr>
            <w:tcW w:type="dxa" w:w="2160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1.60</w:t>
            </w:r>
          </w:p>
        </w:tc>
        <w:tc>
          <w:tcPr>
            <w:tcW w:type="dxa" w:w="1656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−0.41%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left"/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type="dxa" w:w="2088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0.49</w:t>
            </w:r>
          </w:p>
        </w:tc>
        <w:tc>
          <w:tcPr>
            <w:tcW w:type="dxa" w:w="2160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0.51</w:t>
            </w:r>
          </w:p>
        </w:tc>
        <w:tc>
          <w:tcPr>
            <w:tcW w:type="dxa" w:w="2160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0.47</w:t>
            </w:r>
          </w:p>
        </w:tc>
        <w:tc>
          <w:tcPr>
            <w:tcW w:type="dxa" w:w="1656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  <w:tcBorders>
              <w:top w:val="single" w:sz="4" w:color="808080"/>
              <w:left w:val="single" w:sz="4" w:color="B0B0B0"/>
              <w:bottom w:val="single" w:sz="4" w:color="808080"/>
              <w:right w:val="single" w:sz="4" w:color="B0B0B0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−7.94%</w:t>
            </w:r>
          </w:p>
        </w:tc>
      </w:tr>
    </w:tbl>
    <w:p>
      <w:pPr>
        <w:spacing w:line="240" w:lineRule="auto" w:before="80" w:after="0"/>
      </w:pPr>
      <w:r>
        <w:rPr>
          <w:rFonts w:ascii="Times New Roman" w:hAnsi="Times New Roman"/>
          <w:i/>
          <w:sz w:val="19"/>
        </w:rPr>
        <w:t>Note.</w:t>
      </w:r>
      <w:r>
        <w:rPr>
          <w:rFonts w:ascii="Times New Roman" w:hAnsi="Times New Roman"/>
          <w:sz w:val="19"/>
        </w:rPr>
        <w:t xml:space="preserve"> Relative deviation (%) = [(</w:t>
      </w:r>
      <w:r>
        <w:rPr>
          <w:rFonts w:ascii="Times New Roman" w:hAnsi="Times New Roman"/>
          <w:i/>
          <w:sz w:val="19"/>
        </w:rPr>
        <w:t>C</w:t>
      </w:r>
      <w:r>
        <w:rPr>
          <w:rFonts w:ascii="Times New Roman" w:hAnsi="Times New Roman"/>
          <w:sz w:val="16"/>
          <w:vertAlign w:val="subscript"/>
        </w:rPr>
        <w:t>37 °C</w:t>
      </w:r>
      <w:r>
        <w:rPr>
          <w:rFonts w:ascii="Times New Roman" w:hAnsi="Times New Roman"/>
          <w:sz w:val="19"/>
        </w:rPr>
        <w:t>/</w:t>
      </w:r>
      <w:r>
        <w:rPr>
          <w:rFonts w:ascii="Times New Roman" w:hAnsi="Times New Roman"/>
          <w:i/>
          <w:sz w:val="19"/>
        </w:rPr>
        <w:t>C</w:t>
      </w:r>
      <w:r>
        <w:rPr>
          <w:rFonts w:ascii="Times New Roman" w:hAnsi="Times New Roman"/>
          <w:sz w:val="16"/>
          <w:vertAlign w:val="subscript"/>
        </w:rPr>
        <w:t>4 °C</w:t>
      </w:r>
      <w:r>
        <w:rPr>
          <w:rFonts w:ascii="Times New Roman" w:hAnsi="Times New Roman"/>
          <w:sz w:val="19"/>
        </w:rPr>
        <w:t>) − 1] × 100. Deviations were calculated using the unrounded mean assay values.</w:t>
      </w:r>
    </w:p>
    <w:p>
      <w:r>
        <w:br w:type="page"/>
      </w:r>
    </w:p>
    <w:p>
      <w:pPr>
        <w:spacing w:after="120"/>
        <w:jc w:val="center"/>
      </w:pPr>
      <w:r>
        <w:drawing>
          <wp:inline xmlns:a="http://schemas.openxmlformats.org/drawingml/2006/main" xmlns:pic="http://schemas.openxmlformats.org/drawingml/2006/picture">
            <wp:extent cx="5577840" cy="3891773"/>
            <wp:docPr id="1" name="Picture 1" title="Fig. S1" descr="AlphaFold 3-predicted tertiary structure of Der p 1 (pTM = 0.94). The predicted structure and predicted aligned error plot are show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1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38917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20" w:line="276" w:lineRule="auto"/>
        <w:jc w:val="left"/>
        <w:keepLines/>
      </w:pPr>
      <w:r>
        <w:rPr>
          <w:rFonts w:ascii="Times New Roman" w:hAnsi="Times New Roman"/>
          <w:b/>
          <w:sz w:val="22"/>
        </w:rPr>
        <w:t>Fig. S1</w:t>
      </w:r>
      <w:r>
        <w:rPr>
          <w:rFonts w:ascii="Times New Roman" w:hAnsi="Times New Roman"/>
          <w:sz w:val="22"/>
        </w:rPr>
        <w:t xml:space="preserve"> AlphaFold 3-predicted tertiary structure of Der p 1 (pTM = 0.94). The predicted structure and predicted aligned error plot are shown</w:t>
      </w:r>
    </w:p>
    <w:p>
      <w:r>
        <w:br w:type="page"/>
      </w:r>
    </w:p>
    <w:p>
      <w:pPr>
        <w:spacing w:after="120"/>
        <w:jc w:val="center"/>
      </w:pPr>
      <w:r>
        <w:drawing>
          <wp:inline xmlns:a="http://schemas.openxmlformats.org/drawingml/2006/main" xmlns:pic="http://schemas.openxmlformats.org/drawingml/2006/picture">
            <wp:extent cx="5577840" cy="3865830"/>
            <wp:docPr id="2" name="Picture 2" title="Fig. S2" descr="AlphaFold 3-predicted tertiary structure of Der p 2 (pTM = 0.88). The predicted structure and predicted aligned error plot are show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2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38658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20" w:line="276" w:lineRule="auto"/>
        <w:jc w:val="left"/>
        <w:keepLines/>
      </w:pPr>
      <w:r>
        <w:rPr>
          <w:rFonts w:ascii="Times New Roman" w:hAnsi="Times New Roman"/>
          <w:b/>
          <w:sz w:val="22"/>
        </w:rPr>
        <w:t>Fig. S2</w:t>
      </w:r>
      <w:r>
        <w:rPr>
          <w:rFonts w:ascii="Times New Roman" w:hAnsi="Times New Roman"/>
          <w:sz w:val="22"/>
        </w:rPr>
        <w:t xml:space="preserve"> AlphaFold 3-predicted tertiary structure of Der p 2 (pTM = 0.88). The predicted structure and predicted aligned error plot are shown</w:t>
      </w:r>
    </w:p>
    <w:p>
      <w:r>
        <w:br w:type="page"/>
      </w:r>
    </w:p>
    <w:p>
      <w:pPr>
        <w:spacing w:after="120"/>
        <w:jc w:val="center"/>
      </w:pPr>
      <w:r>
        <w:drawing>
          <wp:inline xmlns:a="http://schemas.openxmlformats.org/drawingml/2006/main" xmlns:pic="http://schemas.openxmlformats.org/drawingml/2006/picture">
            <wp:extent cx="5577840" cy="3878557"/>
            <wp:docPr id="3" name="Picture 3" title="Fig. S3" descr="AlphaFold 3-predicted tertiary structure of Der p 10 (pTM = 0.38). The predicted structure and predicted aligned error plot are shown; the low pTM value indicates limited confidence in the global model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3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38785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20" w:line="276" w:lineRule="auto"/>
        <w:jc w:val="left"/>
        <w:keepLines/>
      </w:pPr>
      <w:r>
        <w:rPr>
          <w:rFonts w:ascii="Times New Roman" w:hAnsi="Times New Roman"/>
          <w:b/>
          <w:sz w:val="22"/>
        </w:rPr>
        <w:t>Fig. S3</w:t>
      </w:r>
      <w:r>
        <w:rPr>
          <w:rFonts w:ascii="Times New Roman" w:hAnsi="Times New Roman"/>
          <w:sz w:val="22"/>
        </w:rPr>
        <w:t xml:space="preserve"> AlphaFold 3-predicted tertiary structure of Der p 10 (pTM = 0.38). The predicted structure and predicted aligned error plot are shown; the low pTM value indicates limited confidence in the global model</w:t>
      </w:r>
    </w:p>
    <w:p>
      <w:r>
        <w:br w:type="page"/>
      </w:r>
    </w:p>
    <w:p>
      <w:pPr>
        <w:spacing w:after="120"/>
        <w:jc w:val="center"/>
      </w:pPr>
      <w:r>
        <w:drawing>
          <wp:inline xmlns:a="http://schemas.openxmlformats.org/drawingml/2006/main" xmlns:pic="http://schemas.openxmlformats.org/drawingml/2006/picture">
            <wp:extent cx="5577840" cy="3839578"/>
            <wp:docPr id="4" name="Picture 4" title="Fig. S4" descr="AlphaFold 3-predicted tertiary structure of Der p 23 (pTM = 0.60). The predicted structure and predicted aligned error plot are shown; structural interpretation should account for the modest model confidenc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4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383957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20" w:line="276" w:lineRule="auto"/>
        <w:jc w:val="left"/>
        <w:keepLines/>
      </w:pPr>
      <w:r>
        <w:rPr>
          <w:rFonts w:ascii="Times New Roman" w:hAnsi="Times New Roman"/>
          <w:b/>
          <w:sz w:val="22"/>
        </w:rPr>
        <w:t>Fig. S4</w:t>
      </w:r>
      <w:r>
        <w:rPr>
          <w:rFonts w:ascii="Times New Roman" w:hAnsi="Times New Roman"/>
          <w:sz w:val="22"/>
        </w:rPr>
        <w:t xml:space="preserve"> AlphaFold 3-predicted tertiary structure of Der p 23 (pTM = 0.60). The predicted structure and predicted aligned error plot are shown; structural interpretation should account for the modest model confidence</w:t>
      </w:r>
    </w:p>
    <w:p>
      <w:r>
        <w:br w:type="page"/>
      </w:r>
    </w:p>
    <w:p>
      <w:pPr>
        <w:spacing w:after="120"/>
        <w:jc w:val="center"/>
      </w:pPr>
      <w:r>
        <w:drawing>
          <wp:inline xmlns:a="http://schemas.openxmlformats.org/drawingml/2006/main" xmlns:pic="http://schemas.openxmlformats.org/drawingml/2006/picture">
            <wp:extent cx="5577840" cy="3813944"/>
            <wp:docPr id="5" name="Picture 5" title="Fig. S5" descr="DNAStar Protean profiles used to identify candidate linear B-cell epitope regions in (A) Der p 1, (B) Der p 2, (C) Der p 10, and (D) Der p 23. The displayed tracks include hydrophilicity, flexibility, surface probability, and antigenicity profiles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5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38139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20" w:line="276" w:lineRule="auto"/>
        <w:jc w:val="left"/>
        <w:keepLines/>
      </w:pPr>
      <w:r>
        <w:rPr>
          <w:rFonts w:ascii="Times New Roman" w:hAnsi="Times New Roman"/>
          <w:b/>
          <w:sz w:val="22"/>
        </w:rPr>
        <w:t>Fig. S5</w:t>
      </w:r>
      <w:r>
        <w:rPr>
          <w:rFonts w:ascii="Times New Roman" w:hAnsi="Times New Roman"/>
          <w:sz w:val="22"/>
        </w:rPr>
        <w:t xml:space="preserve"> DNAStar Protean profiles used to identify candidate linear B-cell epitope regions in (A) Der p 1, (B) Der p 2, (C) Der p 10, and (D) Der p 23. The displayed tracks include hydrophilicity, flexibility, surface probability, and antigenicity profiles</w:t>
      </w:r>
    </w:p>
    <w:p>
      <w:r>
        <w:br w:type="page"/>
      </w:r>
    </w:p>
    <w:p>
      <w:pPr>
        <w:spacing w:after="120"/>
        <w:jc w:val="center"/>
      </w:pPr>
      <w:r>
        <w:drawing>
          <wp:inline xmlns:a="http://schemas.openxmlformats.org/drawingml/2006/main" xmlns:pic="http://schemas.openxmlformats.org/drawingml/2006/picture">
            <wp:extent cx="5577840" cy="4269762"/>
            <wp:docPr id="6" name="Picture 6" title="Fig. S6" descr="Distribution of apparent IgE concentrations obtained with the MBP-control QD-LFIA in 112 residual serum samples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6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42697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20" w:line="276" w:lineRule="auto"/>
        <w:jc w:val="left"/>
        <w:keepLines/>
      </w:pPr>
      <w:r>
        <w:rPr>
          <w:rFonts w:ascii="Times New Roman" w:hAnsi="Times New Roman"/>
          <w:b/>
          <w:sz w:val="22"/>
        </w:rPr>
        <w:t>Fig. S6</w:t>
      </w:r>
      <w:r>
        <w:rPr>
          <w:rFonts w:ascii="Times New Roman" w:hAnsi="Times New Roman"/>
          <w:sz w:val="22"/>
        </w:rPr>
        <w:t xml:space="preserve"> Distribution of apparent IgE concentrations obtained with the MBP-control QD-LFIA in 112 residual serum samples</w:t>
      </w:r>
    </w:p>
    <w:p>
      <w:r>
        <w:br w:type="page"/>
      </w:r>
    </w:p>
    <w:p>
      <w:pPr>
        <w:spacing w:after="120"/>
        <w:jc w:val="center"/>
      </w:pPr>
      <w:r>
        <w:drawing>
          <wp:inline xmlns:a="http://schemas.openxmlformats.org/drawingml/2006/main" xmlns:pic="http://schemas.openxmlformats.org/drawingml/2006/picture">
            <wp:extent cx="3895018" cy="7909558"/>
            <wp:docPr id="7" name="Picture 7" title="Fig. S7" descr="Distribution of component-specific IgE concentrations measured using ImmunoCAP (A, C, E, G) and QD-LFIA (B, D, F, H): Der p 1 (A, B; n = 84), Der p 2 (C, D; n = 81), Der p 10 (E, F; n = 82), and Der p 23 (G, H; n = 91). The cutoff for a positive result was 0.35 IU/mL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7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895018" cy="7909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20" w:line="276" w:lineRule="auto"/>
        <w:jc w:val="left"/>
        <w:keepLines/>
      </w:pPr>
      <w:r>
        <w:rPr>
          <w:rFonts w:ascii="Times New Roman" w:hAnsi="Times New Roman"/>
          <w:b/>
          <w:sz w:val="22"/>
        </w:rPr>
        <w:t>Fig. S7</w:t>
      </w:r>
      <w:r>
        <w:rPr>
          <w:rFonts w:ascii="Times New Roman" w:hAnsi="Times New Roman"/>
          <w:sz w:val="22"/>
        </w:rPr>
        <w:t xml:space="preserve"> Distribution of component-specific IgE concentrations measured using ImmunoCAP (A, C, E, G) and QD-LFIA (B, D, F, H): Der p 1 (A, B; n = 84), Der p 2 (C, D; n = 81), Der p 10 (E, F; n = 82), and Der p 23 (G, H; n = 91). The cutoff for a positive result was 0.35 IU/mL</w:t>
      </w:r>
    </w:p>
    <w:sectPr w:rsidR="00FC693F" w:rsidRPr="0006063C" w:rsidSect="00034616">
      <w:footerReference w:type="default" r:id="rId9"/>
      <w:pgSz w:w="11906" w:h="16838"/>
      <w:pgMar w:top="1440" w:right="1440" w:bottom="1440" w:left="1440" w:header="432" w:footer="64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sz w:val="18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480" w:lineRule="auto" w:after="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Supplementary Information - Recombinant Allergen-Based Quantum Dot Lateral Flow Immunoassays for Component-Specific IgE Detection in House Dust Mite Allergy</dc:title>
  <dc:subject>Supplementary Information for submission to Applied Biochemistry and Biotechnology</dc:subject>
  <dc:creator>Yun-Zhi Li; Zi-Xin Wang; Xiao-Ya Wang; Yan-Yan Sun; Xin-lei Chu; Chun-Ming Dong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