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0"/>
        </w:rPr>
        <w:t>CARE Checklist of information to include when writing a case report</w:t>
      </w:r>
    </w:p>
    <w:p>
      <w:r>
        <w:rPr>
          <w:rFonts w:ascii="Times New Roman" w:hAnsi="Times New Roman"/>
          <w:sz w:val="20"/>
        </w:rPr>
        <w:t>Manuscript title: Early-onset adenocarcinoma of the ampullary rectum: a case report</w:t>
      </w:r>
    </w:p>
    <w:p>
      <w:r>
        <w:rPr>
          <w:rFonts w:ascii="Times New Roman" w:hAnsi="Times New Roman"/>
          <w:i/>
          <w:sz w:val="20"/>
        </w:rPr>
        <w:t>Completion key: ✓ = reported; N/A = not applicable or not available in the source clinical record.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Topic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Item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Checklist item description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Reported on manuscript line(s)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Title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The diagnosis or intervention of primary focus followed by the words “case report”.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1–2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Key Words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2 to 5 key words that identify diagnoses or interventions in this case report, including “case report”.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18–20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Abstract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3a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Introduction: What is unique about this case and what does it add to the scientific literature?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8–10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Abstract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3b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Main symptoms and/or important clinical findings.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10–13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Abstract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3c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The main diagnoses, therapeutic interventions, and outcomes.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11–15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Abstract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3d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Conclusion—What is the main “take-away” lesson(s) from this case?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15–17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Introduction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One or two paragraphs summarizing why this case is unique (may include references).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21–38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Patient Information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5a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De-identified patient-specific information.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41–43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Patient Information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5b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Primary concerns and symptoms of the patient.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41–44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Patient Information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5c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Medical, family, and psycho-social history including relevant genetic information.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N/A — not available in source clinical record; limitation stated, Lines 43–45 and 106–109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Patient Information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5d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Relevant past interventions with outcomes.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N/A — not available in source clinical record, Lines 43–45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Clinical Findings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Describe significant physical examination and important clinical findings.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47–51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Timeline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Historical and current information from this episode of care organized as a timeline.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53–65 (Timeline table)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Diagnostic Assessment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8a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Diagnostic testing (e.g., PE, laboratory testing, imaging).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67–78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Diagnostic Assessment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8b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Diagnostic challenges.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N/A — no specific access, financial, cultural, or other diagnostic challenge documented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Diagnostic Assessment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8c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Diagnosis (including other diagnoses considered).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67–78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Diagnostic Assessment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8d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Prognosis (e.g., staging in oncology) where applicable.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76–78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Therapeutic Intervention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9a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Types of therapeutic intervention (e.g., pharmacologic, surgical, preventive, self-care).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80–87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Therapeutic Intervention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9b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Administration of therapeutic intervention (e.g., dosage, strength, duration).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80–85 (surgical procedure described; drug dosage not applicable)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Therapeutic Intervention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9c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Changes in therapeutic intervention (with rationale).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N/A — no treatment changes documented in source clinical record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Follow-up and Outcomes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10a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Clinician- and patient-assessed outcomes (if available).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89–93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Follow-up and Outcomes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10b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Important follow-up diagnostic and other test results.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N/A — detailed long-term follow-up/testing not available in source clinical record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Follow-up and Outcomes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10c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Intervention adherence and tolerability (How was this assessed?).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N/A — not reported for the surgical intervention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Follow-up and Outcomes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10d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Adverse and unanticipated events.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89–93 (no postoperative complications documented)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Discussion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11a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A scientific discussion of the strengths and limitations associated with this case report.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106–109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Discussion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11b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Discussion of the relevant medical literature with references.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95–105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Discussion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11c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The scientific rationale for any conclusions (including assessment of possible causes).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95–110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Discussion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11d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The primary “take-away” lessons of this case report (without references) in a one-paragraph conclusion.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Lines 112–120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Patient Perspective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The patient should share their perspective in one to two paragraphs on the treatment(s) received.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N/A — patient perspective not available in source clinical record; Lines 94–96</w:t>
            </w:r>
          </w:p>
        </w:tc>
      </w:tr>
      <w:tr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Informed Consent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Did the patient give informed consent? Please provide if requested.</w:t>
            </w:r>
          </w:p>
        </w:tc>
        <w:tc>
          <w:tcPr>
            <w:tcW w:type="dxa" w:w="2664"/>
          </w:tcPr>
          <w:p>
            <w:r>
              <w:rPr>
                <w:rFonts w:ascii="Times New Roman" w:hAnsi="Times New Roman"/>
                <w:sz w:val="16"/>
              </w:rPr>
              <w:t>✓ Yes. Consent statement: Lines 130–133</w:t>
            </w:r>
          </w:p>
        </w:tc>
      </w:tr>
    </w:tbl>
    <w:sectPr w:rsidR="00FC693F" w:rsidRPr="0006063C" w:rsidSect="00034616">
      <w:pgSz w:w="12240" w:h="15840"/>
      <w:pgMar w:top="864" w:right="792" w:bottom="86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