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Times New Roman" w:cs="Times New Roman" w:eastAsia="Times New Roman" w:hAnsi="Times New Roman"/>
          <w:b w:val="1"/>
          <w:bCs w:val="1"/>
          <w:i w:val="1"/>
          <w:iCs w:val="1"/>
          <w:color w:val="333333"/>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Supplementary Table S1. Association Between Clinical Cluster and All-Cause Mortality Poisson regression models with robust variance (Relative Risk and 95% CI) </w:t>
      </w:r>
      <w:r w:rsidDel="00000000" w:rsidR="00000000" w:rsidRPr="00000000">
        <w:rPr>
          <w:rtl w:val="0"/>
        </w:rPr>
      </w:r>
    </w:p>
    <w:tbl>
      <w:tblPr>
        <w:tblStyle w:val="Table1"/>
        <w:tblW w:w="8838.000000000002" w:type="dxa"/>
        <w:jc w:val="left"/>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959.0152284263963"/>
        <w:gridCol w:w="1375.796954314721"/>
        <w:gridCol w:w="1375.796954314721"/>
        <w:gridCol w:w="1375.796954314721"/>
        <w:gridCol w:w="1375.796954314721"/>
        <w:gridCol w:w="1375.796954314721"/>
        <w:tblGridChange w:id="0">
          <w:tblGrid>
            <w:gridCol w:w="1959.0152284263963"/>
            <w:gridCol w:w="1375.796954314721"/>
            <w:gridCol w:w="1375.796954314721"/>
            <w:gridCol w:w="1375.796954314721"/>
            <w:gridCol w:w="1375.796954314721"/>
            <w:gridCol w:w="1375.796954314721"/>
          </w:tblGrid>
        </w:tblGridChange>
      </w:tblGrid>
      <w:tr>
        <w:trPr>
          <w:cantSplit w:val="0"/>
          <w:trHeight w:val="735" w:hRule="atLeast"/>
          <w:tblHeader w:val="0"/>
        </w:trPr>
        <w:tc>
          <w:tcPr>
            <w:tcBorders>
              <w:top w:color="dfe2e5" w:space="0" w:sz="5" w:val="single"/>
              <w:left w:color="dfe2e5" w:space="0" w:sz="5" w:val="single"/>
              <w:bottom w:color="000000" w:space="0" w:sz="0" w:val="nil"/>
              <w:right w:color="dfe2e5" w:space="0" w:sz="5" w:val="single"/>
            </w:tcBorders>
            <w:tcMar>
              <w:top w:w="0.0" w:type="dxa"/>
              <w:left w:w="0.0" w:type="dxa"/>
              <w:bottom w:w="0.0" w:type="dxa"/>
              <w:right w:w="0.0" w:type="dxa"/>
            </w:tcMar>
            <w:vAlign w:val="top"/>
          </w:tcPr>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Explanatory Variable </w:t>
            </w:r>
          </w:p>
        </w:tc>
        <w:tc>
          <w:tcPr>
            <w:tcBorders>
              <w:top w:color="dfe2e5" w:space="0" w:sz="5" w:val="single"/>
              <w:left w:color="dfe2e5" w:space="0" w:sz="5" w:val="single"/>
              <w:bottom w:color="000000" w:space="0" w:sz="0" w:val="nil"/>
              <w:right w:color="dfe2e5" w:space="0" w:sz="5" w:val="single"/>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1 RR (95% CI) P Value </w:t>
            </w:r>
          </w:p>
        </w:tc>
        <w:tc>
          <w:tcPr>
            <w:tcBorders>
              <w:top w:color="dfe2e5" w:space="0" w:sz="5" w:val="single"/>
              <w:left w:color="dfe2e5" w:space="0" w:sz="5" w:val="single"/>
              <w:bottom w:color="000000" w:space="0" w:sz="0" w:val="nil"/>
              <w:right w:color="dfe2e5" w:space="0" w:sz="5" w:val="single"/>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2 RR (95% CI) P Value </w:t>
            </w:r>
          </w:p>
        </w:tc>
        <w:tc>
          <w:tcPr>
            <w:tcBorders>
              <w:top w:color="dfe2e5" w:space="0" w:sz="5" w:val="single"/>
              <w:left w:color="dfe2e5" w:space="0" w:sz="5" w:val="single"/>
              <w:bottom w:color="000000" w:space="0" w:sz="0" w:val="nil"/>
              <w:right w:color="dfe2e5" w:space="0" w:sz="5" w:val="single"/>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3 RR (95% CI) P Value </w:t>
            </w:r>
          </w:p>
        </w:tc>
        <w:tc>
          <w:tcPr>
            <w:tcBorders>
              <w:top w:color="dfe2e5" w:space="0" w:sz="5" w:val="single"/>
              <w:left w:color="dfe2e5" w:space="0" w:sz="5" w:val="single"/>
              <w:bottom w:color="000000" w:space="0" w:sz="0" w:val="nil"/>
              <w:right w:color="dfe2e5" w:space="0" w:sz="5" w:val="single"/>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4 RR (95% CI) P Value </w:t>
            </w:r>
          </w:p>
        </w:tc>
        <w:tc>
          <w:tcPr>
            <w:tcBorders>
              <w:top w:color="dfe2e5" w:space="0" w:sz="5" w:val="single"/>
              <w:left w:color="dfe2e5" w:space="0" w:sz="5" w:val="single"/>
              <w:bottom w:color="000000" w:space="0" w:sz="0" w:val="nil"/>
              <w:right w:color="dfe2e5" w:space="0" w:sz="5" w:val="single"/>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5 RR (95% CI) P Value </w:t>
            </w:r>
          </w:p>
        </w:tc>
      </w:tr>
      <w:tr>
        <w:trPr>
          <w:cantSplit w:val="0"/>
          <w:trHeight w:val="521.5820312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Cluster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8.16406250000006"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Cluster 2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 (1.21-1.89) P&lt;.001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1.53 (1.19-1.95) P&lt;.001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(1.09-1.79) P=.009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(1.08-1.81) P=.010 </w:t>
            </w:r>
          </w:p>
        </w:tc>
      </w:tr>
      <w:tr>
        <w:trPr>
          <w:cantSplit w:val="0"/>
          <w:trHeight w:val="613.1640625000001"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Cluster 3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 (0.83-1.49) P=.469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(0.79-1.43) P=.654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 (1.11-2.08) P=.009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1.52 (1.10-2.09) P=.009 </w:t>
            </w:r>
          </w:p>
        </w:tc>
      </w:tr>
      <w:tr>
        <w:trPr>
          <w:cantSplit w:val="0"/>
          <w:trHeight w:val="22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Anticoagulant (Ref: 1 = Warfarin)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58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 LMWH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0.98 (0.72-1.33) P=.895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(0.75-1.39) P=.889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(0.78-1.45) P=.688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(0.78-1.45) P=.689 </w:t>
            </w:r>
          </w:p>
        </w:tc>
      </w:tr>
      <w:tr>
        <w:trPr>
          <w:cantSplit w:val="0"/>
          <w:trHeight w:val="67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 DOACs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 (0.57-0.95) P=.018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 (0.57-0.95) P=.019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 (0.56-0.94) P=.014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0.73 (0.56-0.94) P=.014 </w:t>
            </w:r>
          </w:p>
        </w:tc>
      </w:tr>
      <w:tr>
        <w:trPr>
          <w:cantSplit w:val="0"/>
          <w:trHeight w:val="420"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Category (Ref: &lt;65)</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6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 65-74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 (0.93-2.45) P=.100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 (0.93-2.45) P=.100 </w:t>
            </w:r>
          </w:p>
        </w:tc>
      </w:tr>
      <w:tr>
        <w:trPr>
          <w:cantSplit w:val="0"/>
          <w:trHeight w:val="19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Gungsuh" w:cs="Gungsuh" w:eastAsia="Gungsuh" w:hAnsi="Gungsuh"/>
                <w:sz w:val="24"/>
                <w:szCs w:val="24"/>
                <w:rtl w:val="0"/>
              </w:rPr>
              <w:t xml:space="preserve">3 ≥ 75</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 (2.27-5.28) P&lt;.001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3.40 (2.27-5.30) P&lt;.001 </w:t>
            </w:r>
          </w:p>
        </w:tc>
      </w:tr>
      <w:tr>
        <w:trPr>
          <w:cantSplit w:val="0"/>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 (Ref: 0 = Female)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90"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 Male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(0.90-1.28) P=.911 </w:t>
            </w:r>
          </w:p>
        </w:tc>
      </w:tr>
      <w:tr>
        <w:trPr>
          <w:cantSplit w:val="0"/>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Model Fit Statistics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1229.5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1226.3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1234.0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1172.7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1174.7 </w:t>
            </w:r>
          </w:p>
        </w:tc>
      </w:tr>
      <w:tr>
        <w:trPr>
          <w:cantSplit w:val="0"/>
          <w:trHeight w:val="225"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w:t>
            </w:r>
          </w:p>
        </w:tc>
      </w:tr>
      <w:tr>
        <w:trPr>
          <w:cantSplit w:val="0"/>
          <w:trHeight w:val="60" w:hRule="atLeast"/>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Overdispersion Goodness-of-Fit P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r>
      <w:tr>
        <w:trPr>
          <w:cantSplit w:val="0"/>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Poisson Goodness-of-Fit P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1.000 </w:t>
            </w:r>
          </w:p>
        </w:tc>
      </w:tr>
      <w:tr>
        <w:trPr>
          <w:cantSplit w:val="0"/>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Log-Likelihood (LL)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-611.7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-608.1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-614.0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-579.4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-579.4 </w:t>
            </w:r>
          </w:p>
        </w:tc>
      </w:tr>
      <w:tr>
        <w:trPr>
          <w:cantSplit w:val="0"/>
          <w:tblHeader w:val="0"/>
        </w:trPr>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Value \chi^2 vs LL (Model Comparison)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0.028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0.033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&lt; .001 </w:t>
            </w:r>
          </w:p>
        </w:tc>
        <w:tc>
          <w:tcPr>
            <w:tcBorders>
              <w:top w:color="dfe2e5" w:space="0" w:sz="5" w:val="single"/>
              <w:left w:color="dfe2e5" w:space="0" w:sz="5" w:val="single"/>
              <w:bottom w:color="dfe2e5" w:space="0" w:sz="5" w:val="single"/>
              <w:right w:color="dfe2e5" w:space="0" w:sz="5" w:val="single"/>
            </w:tcBorders>
            <w:tcMar>
              <w:top w:w="0.0" w:type="dxa"/>
              <w:left w:w="0.0" w:type="dxa"/>
              <w:bottom w:w="0.0" w:type="dxa"/>
              <w:right w:w="0.0" w:type="dxa"/>
            </w:tcMar>
            <w:vAlign w:val="top"/>
          </w:tcPr>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after="260" w:before="26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0.911 </w:t>
            </w:r>
          </w:p>
        </w:tc>
      </w:tr>
    </w:tbl>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Notes:</w:t>
      </w:r>
      <w:r w:rsidDel="00000000" w:rsidR="00000000" w:rsidRPr="00000000">
        <w:rPr>
          <w:rFonts w:ascii="Times New Roman" w:cs="Times New Roman" w:eastAsia="Times New Roman" w:hAnsi="Times New Roman"/>
          <w:i w:val="1"/>
          <w:iCs w:val="1"/>
          <w:sz w:val="24"/>
          <w:szCs w:val="24"/>
          <w:rtl w:val="0"/>
        </w:rPr>
        <w:t xml:space="preserve"> RR indicates Risk Ratio; CI, Confidence Interval; DOACs, Direct Oral Anticoagulants; AIC, Akaike Information Criterion; n, sample size; LL, Log-Likelihood. </w:t>
      </w:r>
      <w:r w:rsidDel="00000000" w:rsidR="00000000" w:rsidRPr="00000000">
        <w:rPr>
          <w:rFonts w:ascii="Times New Roman" w:cs="Times New Roman" w:eastAsia="Times New Roman" w:hAnsi="Times New Roman"/>
          <w:b w:val="1"/>
          <w:bCs w:val="1"/>
          <w:i w:val="1"/>
          <w:iCs w:val="1"/>
          <w:sz w:val="24"/>
          <w:szCs w:val="24"/>
          <w:rtl w:val="0"/>
        </w:rPr>
        <w:t xml:space="preserve">Bold</w:t>
      </w:r>
      <w:r w:rsidDel="00000000" w:rsidR="00000000" w:rsidRPr="00000000">
        <w:rPr>
          <w:rFonts w:ascii="Times New Roman" w:cs="Times New Roman" w:eastAsia="Times New Roman" w:hAnsi="Times New Roman"/>
          <w:i w:val="1"/>
          <w:iCs w:val="1"/>
          <w:sz w:val="24"/>
          <w:szCs w:val="24"/>
          <w:rtl w:val="0"/>
        </w:rPr>
        <w:t xml:space="preserve"> values indicate statistical significance at P &lt; .05. </w:t>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Model comparisons are based on the likelihood-ratio \chi^2 test.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Model 2 is </w:t>
      </w:r>
      <w:r w:rsidDel="00000000" w:rsidR="00000000" w:rsidRPr="00000000">
        <w:rPr>
          <w:rFonts w:ascii="Times New Roman" w:cs="Times New Roman" w:eastAsia="Times New Roman" w:hAnsi="Times New Roman"/>
          <w:b w:val="1"/>
          <w:bCs w:val="1"/>
          <w:i w:val="1"/>
          <w:iCs w:val="1"/>
          <w:sz w:val="24"/>
          <w:szCs w:val="24"/>
          <w:rtl w:val="0"/>
        </w:rPr>
        <w:t xml:space="preserve">not</w:t>
      </w:r>
      <w:r w:rsidDel="00000000" w:rsidR="00000000" w:rsidRPr="00000000">
        <w:rPr>
          <w:rFonts w:ascii="Times New Roman" w:cs="Times New Roman" w:eastAsia="Times New Roman" w:hAnsi="Times New Roman"/>
          <w:i w:val="1"/>
          <w:iCs w:val="1"/>
          <w:sz w:val="24"/>
          <w:szCs w:val="24"/>
          <w:rtl w:val="0"/>
        </w:rPr>
        <w:t xml:space="preserve"> rejected vs. Model 1 (P=.028), but Model 1 fits better. </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Model 3 is rejected vs. Model 1 (P=.033). </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Model 4 is </w:t>
      </w:r>
      <w:r w:rsidDel="00000000" w:rsidR="00000000" w:rsidRPr="00000000">
        <w:rPr>
          <w:rFonts w:ascii="Times New Roman" w:cs="Times New Roman" w:eastAsia="Times New Roman" w:hAnsi="Times New Roman"/>
          <w:b w:val="1"/>
          <w:bCs w:val="1"/>
          <w:i w:val="1"/>
          <w:iCs w:val="1"/>
          <w:sz w:val="24"/>
          <w:szCs w:val="24"/>
          <w:rtl w:val="0"/>
        </w:rPr>
        <w:t xml:space="preserve">rejected</w:t>
      </w:r>
      <w:r w:rsidDel="00000000" w:rsidR="00000000" w:rsidRPr="00000000">
        <w:rPr>
          <w:rFonts w:ascii="Times New Roman" w:cs="Times New Roman" w:eastAsia="Times New Roman" w:hAnsi="Times New Roman"/>
          <w:i w:val="1"/>
          <w:iCs w:val="1"/>
          <w:sz w:val="24"/>
          <w:szCs w:val="24"/>
          <w:rtl w:val="0"/>
        </w:rPr>
        <w:t xml:space="preserve"> vs. Model 3, but Model 4 fits better (P&lt;.001). </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spacing w:after="200" w:before="200" w:line="276" w:lineRule="auto"/>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i w:val="1"/>
          <w:iCs w:val="1"/>
          <w:sz w:val="24"/>
          <w:szCs w:val="24"/>
          <w:rtl w:val="0"/>
        </w:rPr>
        <w:t xml:space="preserve">Model 5 is </w:t>
      </w:r>
      <w:r w:rsidDel="00000000" w:rsidR="00000000" w:rsidRPr="00000000">
        <w:rPr>
          <w:rFonts w:ascii="Times New Roman" w:cs="Times New Roman" w:eastAsia="Times New Roman" w:hAnsi="Times New Roman"/>
          <w:b w:val="1"/>
          <w:bCs w:val="1"/>
          <w:i w:val="1"/>
          <w:iCs w:val="1"/>
          <w:sz w:val="24"/>
          <w:szCs w:val="24"/>
          <w:rtl w:val="0"/>
        </w:rPr>
        <w:t xml:space="preserve">not</w:t>
      </w:r>
      <w:r w:rsidDel="00000000" w:rsidR="00000000" w:rsidRPr="00000000">
        <w:rPr>
          <w:rFonts w:ascii="Times New Roman" w:cs="Times New Roman" w:eastAsia="Times New Roman" w:hAnsi="Times New Roman"/>
          <w:i w:val="1"/>
          <w:iCs w:val="1"/>
          <w:sz w:val="24"/>
          <w:szCs w:val="24"/>
          <w:rtl w:val="0"/>
        </w:rPr>
        <w:t xml:space="preserve"> rejected vs. Model 4 (P=.911); the two models have similar fit. </w:t>
      </w: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1200" cy="2247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spacing w:after="240" w:before="12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Supplementary Figure S1. Hierarchical clustering dendrogram. </w:t>
      </w:r>
      <w:r w:rsidDel="00000000" w:rsidR="00000000" w:rsidRPr="00000000">
        <w:rPr>
          <w:rFonts w:ascii="Times New Roman" w:cs="Times New Roman" w:eastAsia="Times New Roman" w:hAnsi="Times New Roman"/>
          <w:sz w:val="24"/>
          <w:szCs w:val="24"/>
          <w:rtl w:val="0"/>
        </w:rPr>
        <w:t xml:space="preserve">Dendrogram illustrating the hierarchical clustering process used to classify patients into three distinct clusters. This dendrogram served as the basis for cluster definition and subsequent visualization using radar plots in Figure 1.</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