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480"/>
      </w:pPr>
      <w:r>
        <w:rPr>
          <w:rFonts w:ascii="Times New Roman" w:cs="Times New Roman" w:eastAsia="Times New Roman" w:hAnsi="Times New Roman"/>
          <w:b/>
          <w:bCs/>
          <w:sz w:val="28"/>
          <w:szCs w:val="28"/>
        </w:rPr>
        <w:t xml:space="preserve">Additional file 3</w:t>
      </w:r>
    </w:p>
    <w:p>
      <w:pPr>
        <w:spacing w:after="80" w:before="0" w:line="480"/>
      </w:pPr>
      <w:r>
        <w:rPr>
          <w:rFonts w:ascii="Times New Roman" w:cs="Times New Roman" w:eastAsia="Times New Roman" w:hAnsi="Times New Roman"/>
          <w:b/>
          <w:bCs/>
          <w:i/>
          <w:iCs/>
          <w:sz w:val="24"/>
          <w:szCs w:val="24"/>
        </w:rPr>
        <w:t xml:space="preserve">Telehealth Usability Questionnaire — Brazil (TUQ-Brazil) — Item-level results (n=99 patients)</w:t>
      </w:r>
    </w:p>
    <w:p>
      <w:pPr>
        <w:spacing w:after="60" w:before="60" w:line="400"/>
      </w:pPr>
      <w:r>
        <w:rPr>
          <w:rFonts w:ascii="Times New Roman" w:cs="Times New Roman" w:eastAsia="Times New Roman" w:hAnsi="Times New Roman"/>
          <w:sz w:val="22"/>
          <w:szCs w:val="22"/>
        </w:rPr>
        <w:t xml:space="preserve">The Brazilian version of the Telehealth Usability Questionnaire (TUQ-Brazil) was applied to a sample of 99 patients after receipt of their teleophthalmology diagnostic report. The sample size was calculated for n=1,290, 95% confidence interval, ±10% margin of error. Eight of the 21 TUQ-Brazil items were applied, selected to cover the domains most relevant to the study context: utility (items 1–3), ease of use and learnability (item 6), interface quality (item 7), and satisfaction and future use (items 19–21). Items 4, 5, 8–18 were not applied as they address real-time audio-visual communication features not present in the asynchronous teleophthalmology model used in this study. Responses were collected on a 7-point Likert scale (1=Disagree strongly; 7=Agree strongly).</w:t>
      </w:r>
    </w:p>
    <w:p>
      <w:pPr>
        <w:spacing w:after="60" w:before="60" w:line="400"/>
      </w:pPr>
      <w:r>
        <w:rPr>
          <w:rFonts w:ascii="Times New Roman" w:cs="Times New Roman" w:eastAsia="Times New Roman" w:hAnsi="Times New Roman"/>
          <w:sz w:val="22"/>
          <w:szCs w:val="22"/>
        </w:rPr>
        <w:t xml:space="preserve">Reference: Adapted from Parmanto B, Lewis AN Jr, Graham KM, Bertolet MH. Development of the Telehealth Usability Questionnaire (TUQ). Int J Telerehabil. 2016;8(1):3-10. Brazilian validation conducted as part of this study.</w:t>
      </w:r>
    </w:p>
    <w:p>
      <w:pPr>
        <w:spacing w:line="240"/>
      </w:pPr>
      <w:r>
        <w:rPr>
          <w:rFonts w:ascii="Times New Roman" w:cs="Times New Roman" w:eastAsia="Times New Roman" w:hAnsi="Times New Roman"/>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4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Item</w:t>
            </w:r>
          </w:p>
        </w:tc>
        <w:tc>
          <w:tcPr>
            <w:tcW w:type="dxa" w:w="516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left"/>
            </w:pPr>
            <w:r>
              <w:rPr>
                <w:rFonts w:ascii="Times New Roman" w:cs="Times New Roman" w:eastAsia="Times New Roman" w:hAnsi="Times New Roman"/>
                <w:b/>
                <w:bCs/>
                <w:sz w:val="20"/>
                <w:szCs w:val="20"/>
              </w:rPr>
              <w:t xml:space="preserve">Statement (Portuguese / English translation)</w:t>
            </w:r>
          </w:p>
        </w:tc>
        <w:tc>
          <w:tcPr>
            <w:tcW w:type="dxa" w:w="16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left"/>
            </w:pPr>
            <w:r>
              <w:rPr>
                <w:rFonts w:ascii="Times New Roman" w:cs="Times New Roman" w:eastAsia="Times New Roman" w:hAnsi="Times New Roman"/>
                <w:b/>
                <w:bCs/>
                <w:sz w:val="20"/>
                <w:szCs w:val="20"/>
              </w:rPr>
              <w:t xml:space="preserve">Domain</w:t>
            </w:r>
          </w:p>
        </w:tc>
        <w:tc>
          <w:tcPr>
            <w:tcW w:type="dxa" w:w="11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Mean</w:t>
            </w:r>
          </w:p>
        </w:tc>
        <w:tc>
          <w:tcPr>
            <w:tcW w:type="dxa" w:w="11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SD</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1</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Telessaúde melhora meu acesso aos serviços de saúde
(Telehealth improves my access to healthcare services)</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Utility</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6.70</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0.80</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2</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Com a telessaúde eu ganho tempo por não precisar me deslocar a um hospital ou clínica especializada
(With telehealth I save time by not needing to travel to a hospital or specialist clinic)</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Utility</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6.80</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0.51</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3</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A telessaúde supre as minhas demandas de assistência de saúde
(Telehealth meets my healthcare assistance needs)</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Utility</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6.49</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0.77</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Acredito que eu poderia retornar mais rapidamente às minhas atividades usando este sistema
(I believe I could return to my activities more quickly using this system)</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Ease of use / Learnability</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6.60</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0.81</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7</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A maneira como interajo com este sistema é agradável
(The way I interact with this system is pleasant)</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Interface quality</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6.60</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0.71</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19</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Telessaúde é uma maneira aceitável de utilizar serviços de saúde
(Telehealth is an acceptable way to use healthcare services)</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Satisfaction / Future use</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6.49</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0.84</w:t>
            </w:r>
          </w:p>
        </w:tc>
      </w:tr>
      <w:tr>
        <w:tc>
          <w:tcPr>
            <w:tcW w:type="dxa" w:w="4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20</w:t>
            </w:r>
          </w:p>
        </w:tc>
        <w:tc>
          <w:tcPr>
            <w:tcW w:type="dxa" w:w="516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Eu usaria serviços de telessaúde de novo
(I would use telehealth services again)</w:t>
            </w:r>
          </w:p>
        </w:tc>
        <w:tc>
          <w:tcPr>
            <w:tcW w:type="dxa" w:w="16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Satisfaction / Future use</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6.60</w:t>
            </w:r>
          </w:p>
        </w:tc>
        <w:tc>
          <w:tcPr>
            <w:tcW w:type="dxa" w:w="1100"/>
            <w:tcBorders>
              <w:top w:val="single" w:color="999999" w:sz="4"/>
              <w:left w:val="none" w:color="FFFFFF" w:sz="0"/>
              <w:bottom w:val="single" w:color="999999" w:sz="4"/>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0.81</w:t>
            </w:r>
          </w:p>
        </w:tc>
      </w:tr>
      <w:tr>
        <w:tc>
          <w:tcPr>
            <w:tcW w:type="dxa" w:w="400"/>
            <w:tcBorders>
              <w:top w:val="single" w:color="999999" w:sz="4"/>
              <w:left w:val="none" w:color="FFFFFF" w:sz="0"/>
              <w:bottom w:val="single" w:color="333333" w:sz="8"/>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21</w:t>
            </w:r>
          </w:p>
        </w:tc>
        <w:tc>
          <w:tcPr>
            <w:tcW w:type="dxa" w:w="5160"/>
            <w:tcBorders>
              <w:top w:val="single" w:color="999999" w:sz="4"/>
              <w:left w:val="none" w:color="FFFFFF" w:sz="0"/>
              <w:bottom w:val="single" w:color="333333" w:sz="8"/>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No geral, estou satisfeito com este sistema de telessaúde
(Overall, I am satisfied with this telehealth system)</w:t>
            </w:r>
          </w:p>
        </w:tc>
        <w:tc>
          <w:tcPr>
            <w:tcW w:type="dxa" w:w="1600"/>
            <w:tcBorders>
              <w:top w:val="single" w:color="999999" w:sz="4"/>
              <w:left w:val="none" w:color="FFFFFF" w:sz="0"/>
              <w:bottom w:val="single" w:color="333333" w:sz="8"/>
              <w:right w:val="none" w:color="FFFFFF" w:sz="0"/>
            </w:tcBorders>
            <w:shd w:fill="FFFFFF"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Satisfaction / Future use</w:t>
            </w:r>
          </w:p>
        </w:tc>
        <w:tc>
          <w:tcPr>
            <w:tcW w:type="dxa" w:w="1100"/>
            <w:tcBorders>
              <w:top w:val="single" w:color="999999" w:sz="4"/>
              <w:left w:val="none" w:color="FFFFFF" w:sz="0"/>
              <w:bottom w:val="single" w:color="333333" w:sz="8"/>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6.60</w:t>
            </w:r>
          </w:p>
        </w:tc>
        <w:tc>
          <w:tcPr>
            <w:tcW w:type="dxa" w:w="1100"/>
            <w:tcBorders>
              <w:top w:val="single" w:color="999999" w:sz="4"/>
              <w:left w:val="none" w:color="FFFFFF" w:sz="0"/>
              <w:bottom w:val="single" w:color="333333" w:sz="8"/>
              <w:right w:val="none" w:color="FFFFFF" w:sz="0"/>
            </w:tcBorders>
            <w:shd w:fill="FFFFFF" w:val="clear"/>
            <w:tcMar>
              <w:top w:type="dxa" w:w="60"/>
              <w:left w:type="dxa" w:w="80"/>
              <w:bottom w:type="dxa" w:w="60"/>
              <w:right w:type="dxa" w:w="80"/>
            </w:tcMar>
            <w:vAlign w:val="center"/>
          </w:tcPr>
          <w:p>
            <w:pPr>
              <w:jc w:val="center"/>
            </w:pPr>
            <w:r>
              <w:rPr>
                <w:rFonts w:ascii="Times New Roman" w:cs="Times New Roman" w:eastAsia="Times New Roman" w:hAnsi="Times New Roman"/>
                <w:b w:val="false"/>
                <w:bCs w:val="false"/>
                <w:sz w:val="20"/>
                <w:szCs w:val="20"/>
              </w:rPr>
              <w:t xml:space="preserve">0.87</w:t>
            </w:r>
          </w:p>
        </w:tc>
      </w:tr>
      <w:tr>
        <w:tc>
          <w:tcPr>
            <w:tcW w:type="dxa" w:w="4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w:t>
            </w:r>
          </w:p>
        </w:tc>
        <w:tc>
          <w:tcPr>
            <w:tcW w:type="dxa" w:w="516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left"/>
            </w:pPr>
            <w:r>
              <w:rPr>
                <w:rFonts w:ascii="Times New Roman" w:cs="Times New Roman" w:eastAsia="Times New Roman" w:hAnsi="Times New Roman"/>
                <w:b/>
                <w:bCs/>
                <w:sz w:val="20"/>
                <w:szCs w:val="20"/>
              </w:rPr>
              <w:t xml:space="preserve">Overall TUQ-Brazil score</w:t>
            </w:r>
          </w:p>
        </w:tc>
        <w:tc>
          <w:tcPr>
            <w:tcW w:type="dxa" w:w="16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left"/>
            </w:pPr>
            <w:r>
              <w:rPr>
                <w:rFonts w:ascii="Times New Roman" w:cs="Times New Roman" w:eastAsia="Times New Roman" w:hAnsi="Times New Roman"/>
                <w:b w:val="false"/>
                <w:bCs w:val="false"/>
                <w:sz w:val="20"/>
                <w:szCs w:val="20"/>
              </w:rPr>
              <w:t xml:space="preserve">All domains</w:t>
            </w:r>
          </w:p>
        </w:tc>
        <w:tc>
          <w:tcPr>
            <w:tcW w:type="dxa" w:w="11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6.61</w:t>
            </w:r>
          </w:p>
        </w:tc>
        <w:tc>
          <w:tcPr>
            <w:tcW w:type="dxa" w:w="1100"/>
            <w:tcBorders>
              <w:top w:val="single" w:color="333333" w:sz="8"/>
              <w:left w:val="none" w:color="FFFFFF" w:sz="0"/>
              <w:bottom w:val="single" w:color="333333" w:sz="8"/>
              <w:right w:val="none" w:color="FFFFFF" w:sz="0"/>
            </w:tcBorders>
            <w:shd w:fill="F2F2F2" w:val="clear"/>
            <w:tcMar>
              <w:top w:type="dxa" w:w="60"/>
              <w:left w:type="dxa" w:w="80"/>
              <w:bottom w:type="dxa" w:w="60"/>
              <w:right w:type="dxa" w:w="80"/>
            </w:tcMar>
            <w:vAlign w:val="center"/>
          </w:tcPr>
          <w:p>
            <w:pPr>
              <w:jc w:val="center"/>
            </w:pPr>
            <w:r>
              <w:rPr>
                <w:rFonts w:ascii="Times New Roman" w:cs="Times New Roman" w:eastAsia="Times New Roman" w:hAnsi="Times New Roman"/>
                <w:b/>
                <w:bCs/>
                <w:sz w:val="20"/>
                <w:szCs w:val="20"/>
              </w:rPr>
              <w:t xml:space="preserve">0.32</w:t>
            </w:r>
          </w:p>
        </w:tc>
      </w:tr>
    </w:tbl>
    <w:p>
      <w:pPr>
        <w:spacing w:line="240"/>
      </w:pPr>
      <w:r>
        <w:rPr>
          <w:rFonts w:ascii="Times New Roman" w:cs="Times New Roman" w:eastAsia="Times New Roman" w:hAnsi="Times New Roman"/>
          <w:sz w:val="22"/>
          <w:szCs w:val="22"/>
        </w:rPr>
        <w:t xml:space="preserve"/>
      </w:r>
    </w:p>
    <w:p>
      <w:pPr>
        <w:spacing w:after="60" w:before="60" w:line="400"/>
      </w:pPr>
      <w:r>
        <w:rPr>
          <w:rFonts w:ascii="Times New Roman" w:cs="Times New Roman" w:eastAsia="Times New Roman" w:hAnsi="Times New Roman"/>
          <w:sz w:val="22"/>
          <w:szCs w:val="22"/>
        </w:rPr>
        <w:t xml:space="preserve">SD: standard deviation. Items scored on a 7-point Likert scale (1=Disagree strongly; 7=Agree strongly). Items 4, 5, 8–18 not applicable to asynchronous teleophthalmology model (marked N/A in original instrument). 93.9% of patients scored item 20 ≥6; 92.9% scored item 21 ≥6.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2026-08-10T19:31:28.149Z</dcterms:created>
  <dcterms:modified xsi:type="dcterms:W3CDTF">2026-08-10T19:31:28.149Z</dcterms:modified>
</cp:coreProperties>
</file>

<file path=docProps/custom.xml><?xml version="1.0" encoding="utf-8"?>
<Properties xmlns="http://schemas.openxmlformats.org/officeDocument/2006/custom-properties" xmlns:vt="http://schemas.openxmlformats.org/officeDocument/2006/docPropsVTypes"/>
</file>