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3E425" w14:textId="77777777" w:rsidR="00395723" w:rsidRDefault="000320BD" w:rsidP="00484A08">
      <w:pPr>
        <w:pStyle w:val="Heading1"/>
        <w:spacing w:before="0"/>
        <w:jc w:val="center"/>
        <w:rPr>
          <w:b/>
          <w:bCs/>
          <w:color w:val="auto"/>
          <w:sz w:val="36"/>
          <w:szCs w:val="36"/>
        </w:rPr>
      </w:pPr>
      <w:r w:rsidRPr="00395723">
        <w:rPr>
          <w:b/>
          <w:bCs/>
          <w:color w:val="auto"/>
          <w:sz w:val="36"/>
          <w:szCs w:val="36"/>
        </w:rPr>
        <w:t xml:space="preserve">Supplementary </w:t>
      </w:r>
      <w:r w:rsidR="00F02FBE">
        <w:rPr>
          <w:b/>
          <w:bCs/>
          <w:color w:val="auto"/>
          <w:sz w:val="36"/>
          <w:szCs w:val="36"/>
        </w:rPr>
        <w:t>Materials</w:t>
      </w:r>
    </w:p>
    <w:p w14:paraId="2068C797" w14:textId="77777777" w:rsidR="00DA3A6D" w:rsidRDefault="00DA3A6D" w:rsidP="00DA3A6D">
      <w:pPr>
        <w:spacing w:after="120"/>
        <w:rPr>
          <w:b/>
          <w:bCs/>
          <w:sz w:val="22"/>
          <w:szCs w:val="22"/>
        </w:rPr>
      </w:pPr>
    </w:p>
    <w:p w14:paraId="6B128E12" w14:textId="12CB6830" w:rsidR="00DA3A6D" w:rsidRDefault="00DA3A6D" w:rsidP="00DA3A6D">
      <w:pPr>
        <w:spacing w:after="120"/>
      </w:pPr>
      <w:r>
        <w:rPr>
          <w:b/>
          <w:bCs/>
          <w:sz w:val="22"/>
          <w:szCs w:val="22"/>
        </w:rPr>
        <w:t xml:space="preserve">Supplementary Table 1. </w:t>
      </w:r>
      <w:r>
        <w:rPr>
          <w:sz w:val="22"/>
          <w:szCs w:val="22"/>
        </w:rPr>
        <w:t>Recording, communication, and device specifications of the Brain Interchange (BIC) system.</w:t>
      </w:r>
    </w:p>
    <w:tbl>
      <w:tblPr>
        <w:tblW w:w="9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33"/>
        <w:gridCol w:w="5813"/>
      </w:tblGrid>
      <w:tr w:rsidR="00DA3A6D" w:rsidRPr="00F95840" w14:paraId="7084F791" w14:textId="77777777" w:rsidTr="00F95840">
        <w:trPr>
          <w:trHeight w:val="470"/>
          <w:tblHeader/>
        </w:trPr>
        <w:tc>
          <w:tcPr>
            <w:tcW w:w="3633" w:type="dxa"/>
            <w:tcBorders>
              <w:top w:val="single" w:sz="4" w:space="0" w:color="BFBFBF"/>
              <w:left w:val="single" w:sz="4" w:space="0" w:color="BFBFBF"/>
              <w:bottom w:val="single" w:sz="4" w:space="0" w:color="BFBFBF"/>
              <w:right w:val="single" w:sz="4" w:space="0" w:color="BFBFBF"/>
            </w:tcBorders>
            <w:shd w:val="clear" w:color="auto" w:fill="156082" w:themeFill="accent1"/>
            <w:tcMar>
              <w:top w:w="80" w:type="dxa"/>
              <w:left w:w="120" w:type="dxa"/>
              <w:bottom w:w="80" w:type="dxa"/>
              <w:right w:w="120" w:type="dxa"/>
            </w:tcMar>
          </w:tcPr>
          <w:p w14:paraId="41E13051" w14:textId="77777777" w:rsidR="00DA3A6D" w:rsidRPr="00F95840" w:rsidRDefault="00DA3A6D" w:rsidP="00C333F1">
            <w:pPr>
              <w:rPr>
                <w:sz w:val="20"/>
                <w:szCs w:val="20"/>
              </w:rPr>
            </w:pPr>
            <w:r w:rsidRPr="00F95840">
              <w:rPr>
                <w:b/>
                <w:bCs/>
                <w:color w:val="FFFFFF"/>
                <w:sz w:val="20"/>
                <w:szCs w:val="20"/>
              </w:rPr>
              <w:t>Parameter</w:t>
            </w:r>
          </w:p>
        </w:tc>
        <w:tc>
          <w:tcPr>
            <w:tcW w:w="5813" w:type="dxa"/>
            <w:tcBorders>
              <w:top w:val="single" w:sz="4" w:space="0" w:color="BFBFBF"/>
              <w:left w:val="single" w:sz="4" w:space="0" w:color="BFBFBF"/>
              <w:bottom w:val="single" w:sz="4" w:space="0" w:color="BFBFBF"/>
              <w:right w:val="single" w:sz="4" w:space="0" w:color="BFBFBF"/>
            </w:tcBorders>
            <w:shd w:val="clear" w:color="auto" w:fill="156082" w:themeFill="accent1"/>
            <w:tcMar>
              <w:top w:w="80" w:type="dxa"/>
              <w:left w:w="120" w:type="dxa"/>
              <w:bottom w:w="80" w:type="dxa"/>
              <w:right w:w="120" w:type="dxa"/>
            </w:tcMar>
          </w:tcPr>
          <w:p w14:paraId="77075CED" w14:textId="77777777" w:rsidR="00DA3A6D" w:rsidRPr="00F95840" w:rsidRDefault="00DA3A6D" w:rsidP="00C333F1">
            <w:pPr>
              <w:rPr>
                <w:sz w:val="20"/>
                <w:szCs w:val="20"/>
              </w:rPr>
            </w:pPr>
            <w:r w:rsidRPr="00F95840">
              <w:rPr>
                <w:b/>
                <w:bCs/>
                <w:color w:val="FFFFFF"/>
                <w:sz w:val="20"/>
                <w:szCs w:val="20"/>
              </w:rPr>
              <w:t>Specification</w:t>
            </w:r>
          </w:p>
        </w:tc>
      </w:tr>
      <w:tr w:rsidR="00DA3A6D" w:rsidRPr="00F95840" w14:paraId="66BF31CC" w14:textId="77777777" w:rsidTr="00F95840">
        <w:trPr>
          <w:trHeight w:val="449"/>
        </w:trPr>
        <w:tc>
          <w:tcPr>
            <w:tcW w:w="9446" w:type="dxa"/>
            <w:gridSpan w:val="2"/>
            <w:tcBorders>
              <w:top w:val="single" w:sz="4" w:space="0" w:color="BFBFBF"/>
              <w:left w:val="single" w:sz="4" w:space="0" w:color="BFBFBF"/>
              <w:bottom w:val="single" w:sz="4" w:space="0" w:color="BFBFBF"/>
              <w:right w:val="single" w:sz="4" w:space="0" w:color="BFBFBF"/>
            </w:tcBorders>
            <w:shd w:val="clear" w:color="auto" w:fill="DAE9F7" w:themeFill="text2" w:themeFillTint="1A"/>
            <w:tcMar>
              <w:top w:w="80" w:type="dxa"/>
              <w:left w:w="120" w:type="dxa"/>
              <w:bottom w:w="80" w:type="dxa"/>
              <w:right w:w="120" w:type="dxa"/>
            </w:tcMar>
          </w:tcPr>
          <w:p w14:paraId="381A5F1A" w14:textId="77777777" w:rsidR="00DA3A6D" w:rsidRPr="00F95840" w:rsidRDefault="00DA3A6D" w:rsidP="00F95840">
            <w:pPr>
              <w:rPr>
                <w:sz w:val="20"/>
                <w:szCs w:val="20"/>
              </w:rPr>
            </w:pPr>
            <w:r w:rsidRPr="00F95840">
              <w:rPr>
                <w:b/>
                <w:bCs/>
                <w:sz w:val="20"/>
                <w:szCs w:val="20"/>
              </w:rPr>
              <w:t>Recording capabilities</w:t>
            </w:r>
          </w:p>
        </w:tc>
      </w:tr>
      <w:tr w:rsidR="00DA3A6D" w:rsidRPr="00F95840" w14:paraId="7C48A26A" w14:textId="77777777" w:rsidTr="00F95840">
        <w:trPr>
          <w:trHeight w:val="470"/>
        </w:trPr>
        <w:tc>
          <w:tcPr>
            <w:tcW w:w="3633"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60" w:type="dxa"/>
              <w:left w:w="120" w:type="dxa"/>
              <w:bottom w:w="60" w:type="dxa"/>
              <w:right w:w="120" w:type="dxa"/>
            </w:tcMar>
            <w:vAlign w:val="center"/>
          </w:tcPr>
          <w:p w14:paraId="4FE658A4" w14:textId="77777777" w:rsidR="00DA3A6D" w:rsidRPr="00332AF7" w:rsidRDefault="00DA3A6D" w:rsidP="00C333F1">
            <w:pPr>
              <w:rPr>
                <w:sz w:val="20"/>
                <w:szCs w:val="20"/>
              </w:rPr>
            </w:pPr>
            <w:r w:rsidRPr="00332AF7">
              <w:rPr>
                <w:sz w:val="20"/>
                <w:szCs w:val="20"/>
              </w:rPr>
              <w:t>Recording channels</w:t>
            </w:r>
          </w:p>
        </w:tc>
        <w:tc>
          <w:tcPr>
            <w:tcW w:w="5813"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60" w:type="dxa"/>
              <w:left w:w="120" w:type="dxa"/>
              <w:bottom w:w="60" w:type="dxa"/>
              <w:right w:w="120" w:type="dxa"/>
            </w:tcMar>
            <w:vAlign w:val="center"/>
          </w:tcPr>
          <w:p w14:paraId="52E37D3E" w14:textId="77777777" w:rsidR="00DA3A6D" w:rsidRPr="00332AF7" w:rsidRDefault="00DA3A6D" w:rsidP="00C333F1">
            <w:pPr>
              <w:rPr>
                <w:sz w:val="20"/>
                <w:szCs w:val="20"/>
              </w:rPr>
            </w:pPr>
            <w:r w:rsidRPr="00332AF7">
              <w:rPr>
                <w:sz w:val="20"/>
                <w:szCs w:val="20"/>
              </w:rPr>
              <w:t>32</w:t>
            </w:r>
          </w:p>
        </w:tc>
      </w:tr>
      <w:tr w:rsidR="00DA3A6D" w:rsidRPr="00F95840" w14:paraId="70768F43" w14:textId="77777777" w:rsidTr="00F95840">
        <w:trPr>
          <w:trHeight w:val="470"/>
        </w:trPr>
        <w:tc>
          <w:tcPr>
            <w:tcW w:w="3633"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60" w:type="dxa"/>
              <w:left w:w="120" w:type="dxa"/>
              <w:bottom w:w="60" w:type="dxa"/>
              <w:right w:w="120" w:type="dxa"/>
            </w:tcMar>
            <w:vAlign w:val="center"/>
          </w:tcPr>
          <w:p w14:paraId="098BB61F" w14:textId="77777777" w:rsidR="00DA3A6D" w:rsidRPr="00332AF7" w:rsidRDefault="00DA3A6D" w:rsidP="00C333F1">
            <w:pPr>
              <w:rPr>
                <w:sz w:val="20"/>
                <w:szCs w:val="20"/>
              </w:rPr>
            </w:pPr>
            <w:r w:rsidRPr="00332AF7">
              <w:rPr>
                <w:sz w:val="20"/>
                <w:szCs w:val="20"/>
              </w:rPr>
              <w:t>Sampling rate</w:t>
            </w:r>
          </w:p>
        </w:tc>
        <w:tc>
          <w:tcPr>
            <w:tcW w:w="5813"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60" w:type="dxa"/>
              <w:left w:w="120" w:type="dxa"/>
              <w:bottom w:w="60" w:type="dxa"/>
              <w:right w:w="120" w:type="dxa"/>
            </w:tcMar>
            <w:vAlign w:val="center"/>
          </w:tcPr>
          <w:p w14:paraId="4FD66F3E" w14:textId="77777777" w:rsidR="00DA3A6D" w:rsidRPr="00332AF7" w:rsidRDefault="00DA3A6D" w:rsidP="00C333F1">
            <w:pPr>
              <w:rPr>
                <w:sz w:val="20"/>
                <w:szCs w:val="20"/>
              </w:rPr>
            </w:pPr>
            <w:r w:rsidRPr="00332AF7">
              <w:rPr>
                <w:sz w:val="20"/>
                <w:szCs w:val="20"/>
              </w:rPr>
              <w:t>1 kHz</w:t>
            </w:r>
          </w:p>
        </w:tc>
      </w:tr>
      <w:tr w:rsidR="00DA3A6D" w:rsidRPr="00F95840" w14:paraId="6F8008F8" w14:textId="77777777" w:rsidTr="00F95840">
        <w:trPr>
          <w:trHeight w:val="470"/>
        </w:trPr>
        <w:tc>
          <w:tcPr>
            <w:tcW w:w="3633"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60" w:type="dxa"/>
              <w:left w:w="120" w:type="dxa"/>
              <w:bottom w:w="60" w:type="dxa"/>
              <w:right w:w="120" w:type="dxa"/>
            </w:tcMar>
            <w:vAlign w:val="center"/>
          </w:tcPr>
          <w:p w14:paraId="0F62F335" w14:textId="54699199" w:rsidR="00DA3A6D" w:rsidRPr="00332AF7" w:rsidRDefault="003E6E8D" w:rsidP="003E6E8D">
            <w:pPr>
              <w:rPr>
                <w:sz w:val="20"/>
                <w:szCs w:val="20"/>
              </w:rPr>
            </w:pPr>
            <w:r>
              <w:rPr>
                <w:sz w:val="20"/>
                <w:szCs w:val="20"/>
              </w:rPr>
              <w:t xml:space="preserve">ADC </w:t>
            </w:r>
            <w:r w:rsidR="00DA3A6D" w:rsidRPr="00332AF7">
              <w:rPr>
                <w:sz w:val="20"/>
                <w:szCs w:val="20"/>
              </w:rPr>
              <w:t>resolution</w:t>
            </w:r>
          </w:p>
        </w:tc>
        <w:tc>
          <w:tcPr>
            <w:tcW w:w="5813"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60" w:type="dxa"/>
              <w:left w:w="120" w:type="dxa"/>
              <w:bottom w:w="60" w:type="dxa"/>
              <w:right w:w="120" w:type="dxa"/>
            </w:tcMar>
            <w:vAlign w:val="center"/>
          </w:tcPr>
          <w:p w14:paraId="6218E117" w14:textId="77777777" w:rsidR="00DA3A6D" w:rsidRPr="00332AF7" w:rsidRDefault="00DA3A6D" w:rsidP="00C333F1">
            <w:pPr>
              <w:rPr>
                <w:sz w:val="20"/>
                <w:szCs w:val="20"/>
              </w:rPr>
            </w:pPr>
            <w:r w:rsidRPr="00332AF7">
              <w:rPr>
                <w:sz w:val="20"/>
                <w:szCs w:val="20"/>
              </w:rPr>
              <w:t>16 bits (≈ 74 nV/LSB)</w:t>
            </w:r>
          </w:p>
        </w:tc>
      </w:tr>
      <w:tr w:rsidR="00DA3A6D" w:rsidRPr="00F95840" w14:paraId="6D3068D6" w14:textId="77777777" w:rsidTr="00F95840">
        <w:trPr>
          <w:trHeight w:val="470"/>
        </w:trPr>
        <w:tc>
          <w:tcPr>
            <w:tcW w:w="3633"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60" w:type="dxa"/>
              <w:left w:w="120" w:type="dxa"/>
              <w:bottom w:w="60" w:type="dxa"/>
              <w:right w:w="120" w:type="dxa"/>
            </w:tcMar>
            <w:vAlign w:val="center"/>
          </w:tcPr>
          <w:p w14:paraId="1DE4F53A" w14:textId="77777777" w:rsidR="00DA3A6D" w:rsidRPr="00332AF7" w:rsidRDefault="00DA3A6D" w:rsidP="00C333F1">
            <w:pPr>
              <w:rPr>
                <w:sz w:val="20"/>
                <w:szCs w:val="20"/>
              </w:rPr>
            </w:pPr>
            <w:r w:rsidRPr="00332AF7">
              <w:rPr>
                <w:sz w:val="20"/>
                <w:szCs w:val="20"/>
              </w:rPr>
              <w:t>Internal band-pass filter</w:t>
            </w:r>
          </w:p>
        </w:tc>
        <w:tc>
          <w:tcPr>
            <w:tcW w:w="5813"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60" w:type="dxa"/>
              <w:left w:w="120" w:type="dxa"/>
              <w:bottom w:w="60" w:type="dxa"/>
              <w:right w:w="120" w:type="dxa"/>
            </w:tcMar>
            <w:vAlign w:val="center"/>
          </w:tcPr>
          <w:p w14:paraId="73A07188" w14:textId="77777777" w:rsidR="00DA3A6D" w:rsidRPr="00332AF7" w:rsidRDefault="00DA3A6D" w:rsidP="00C333F1">
            <w:pPr>
              <w:rPr>
                <w:sz w:val="20"/>
                <w:szCs w:val="20"/>
              </w:rPr>
            </w:pPr>
            <w:r w:rsidRPr="00332AF7">
              <w:rPr>
                <w:sz w:val="20"/>
                <w:szCs w:val="20"/>
              </w:rPr>
              <w:t>≈ 2–325 Hz</w:t>
            </w:r>
          </w:p>
        </w:tc>
      </w:tr>
      <w:tr w:rsidR="00DA3A6D" w:rsidRPr="00F95840" w14:paraId="27B8D8C3" w14:textId="77777777" w:rsidTr="00F95840">
        <w:trPr>
          <w:trHeight w:val="776"/>
        </w:trPr>
        <w:tc>
          <w:tcPr>
            <w:tcW w:w="3633"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60" w:type="dxa"/>
              <w:left w:w="120" w:type="dxa"/>
              <w:bottom w:w="60" w:type="dxa"/>
              <w:right w:w="120" w:type="dxa"/>
            </w:tcMar>
            <w:vAlign w:val="center"/>
          </w:tcPr>
          <w:p w14:paraId="7532D273" w14:textId="77777777" w:rsidR="00DA3A6D" w:rsidRPr="00332AF7" w:rsidRDefault="00DA3A6D" w:rsidP="00C333F1">
            <w:pPr>
              <w:rPr>
                <w:sz w:val="20"/>
                <w:szCs w:val="20"/>
              </w:rPr>
            </w:pPr>
            <w:r w:rsidRPr="00332AF7">
              <w:rPr>
                <w:sz w:val="20"/>
                <w:szCs w:val="20"/>
              </w:rPr>
              <w:t>Amplification gains</w:t>
            </w:r>
          </w:p>
        </w:tc>
        <w:tc>
          <w:tcPr>
            <w:tcW w:w="5813"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60" w:type="dxa"/>
              <w:left w:w="120" w:type="dxa"/>
              <w:bottom w:w="60" w:type="dxa"/>
              <w:right w:w="120" w:type="dxa"/>
            </w:tcMar>
            <w:vAlign w:val="center"/>
          </w:tcPr>
          <w:p w14:paraId="39C07798" w14:textId="77777777" w:rsidR="00DA3A6D" w:rsidRPr="00332AF7" w:rsidRDefault="00DA3A6D" w:rsidP="00C333F1">
            <w:pPr>
              <w:rPr>
                <w:sz w:val="20"/>
                <w:szCs w:val="20"/>
              </w:rPr>
            </w:pPr>
            <w:r w:rsidRPr="00332AF7">
              <w:rPr>
                <w:sz w:val="20"/>
                <w:szCs w:val="20"/>
              </w:rPr>
              <w:t>750× (57.5 dB), 375× (51.5 dB), 188× (45.5 dB), 95× (39.5 dB)</w:t>
            </w:r>
          </w:p>
        </w:tc>
      </w:tr>
      <w:tr w:rsidR="00DA3A6D" w:rsidRPr="00F95840" w14:paraId="0BF4770D" w14:textId="77777777" w:rsidTr="00F95840">
        <w:trPr>
          <w:trHeight w:val="796"/>
        </w:trPr>
        <w:tc>
          <w:tcPr>
            <w:tcW w:w="3633"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60" w:type="dxa"/>
              <w:left w:w="120" w:type="dxa"/>
              <w:bottom w:w="60" w:type="dxa"/>
              <w:right w:w="120" w:type="dxa"/>
            </w:tcMar>
            <w:vAlign w:val="center"/>
          </w:tcPr>
          <w:p w14:paraId="796082CF" w14:textId="77777777" w:rsidR="00DA3A6D" w:rsidRPr="00332AF7" w:rsidRDefault="00DA3A6D" w:rsidP="00C333F1">
            <w:pPr>
              <w:rPr>
                <w:sz w:val="20"/>
                <w:szCs w:val="20"/>
              </w:rPr>
            </w:pPr>
            <w:r w:rsidRPr="00332AF7">
              <w:rPr>
                <w:sz w:val="20"/>
                <w:szCs w:val="20"/>
              </w:rPr>
              <w:t>Max. input voltage</w:t>
            </w:r>
          </w:p>
        </w:tc>
        <w:tc>
          <w:tcPr>
            <w:tcW w:w="5813"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60" w:type="dxa"/>
              <w:left w:w="120" w:type="dxa"/>
              <w:bottom w:w="60" w:type="dxa"/>
              <w:right w:w="120" w:type="dxa"/>
            </w:tcMar>
            <w:vAlign w:val="center"/>
          </w:tcPr>
          <w:p w14:paraId="06873477" w14:textId="78909D8D" w:rsidR="00DA3A6D" w:rsidRPr="00332AF7" w:rsidRDefault="00DA3A6D" w:rsidP="00C333F1">
            <w:pPr>
              <w:rPr>
                <w:sz w:val="20"/>
                <w:szCs w:val="20"/>
              </w:rPr>
            </w:pPr>
            <w:r w:rsidRPr="00332AF7">
              <w:rPr>
                <w:sz w:val="20"/>
                <w:szCs w:val="20"/>
              </w:rPr>
              <w:t>4 mv</w:t>
            </w:r>
            <w:r w:rsidR="00571876" w:rsidRPr="00332AF7">
              <w:rPr>
                <w:sz w:val="20"/>
                <w:szCs w:val="20"/>
              </w:rPr>
              <w:t xml:space="preserve"> </w:t>
            </w:r>
            <w:proofErr w:type="gramStart"/>
            <w:r w:rsidR="00571876" w:rsidRPr="00332AF7">
              <w:rPr>
                <w:sz w:val="20"/>
                <w:szCs w:val="20"/>
              </w:rPr>
              <w:t>peak</w:t>
            </w:r>
            <w:proofErr w:type="gramEnd"/>
            <w:r w:rsidR="00571876" w:rsidRPr="00332AF7">
              <w:rPr>
                <w:sz w:val="20"/>
                <w:szCs w:val="20"/>
              </w:rPr>
              <w:t xml:space="preserve"> to peak</w:t>
            </w:r>
            <w:r w:rsidRPr="00332AF7">
              <w:rPr>
                <w:sz w:val="20"/>
                <w:szCs w:val="20"/>
              </w:rPr>
              <w:t xml:space="preserve"> </w:t>
            </w:r>
            <w:r w:rsidR="00571876" w:rsidRPr="00332AF7">
              <w:rPr>
                <w:sz w:val="20"/>
                <w:szCs w:val="20"/>
              </w:rPr>
              <w:t xml:space="preserve">(at 57.5 dB), and 30 mv </w:t>
            </w:r>
            <w:proofErr w:type="gramStart"/>
            <w:r w:rsidR="00571876" w:rsidRPr="00332AF7">
              <w:rPr>
                <w:sz w:val="20"/>
                <w:szCs w:val="20"/>
              </w:rPr>
              <w:t>peak</w:t>
            </w:r>
            <w:proofErr w:type="gramEnd"/>
            <w:r w:rsidR="00571876" w:rsidRPr="00332AF7">
              <w:rPr>
                <w:sz w:val="20"/>
                <w:szCs w:val="20"/>
              </w:rPr>
              <w:t xml:space="preserve"> to peak (at 39.5 dB), </w:t>
            </w:r>
            <w:r w:rsidRPr="00332AF7">
              <w:rPr>
                <w:sz w:val="20"/>
                <w:szCs w:val="20"/>
              </w:rPr>
              <w:t>gain dependent</w:t>
            </w:r>
          </w:p>
        </w:tc>
      </w:tr>
      <w:tr w:rsidR="00DA3A6D" w:rsidRPr="00F95840" w14:paraId="42FF9CE6" w14:textId="77777777" w:rsidTr="00F95840">
        <w:trPr>
          <w:trHeight w:val="351"/>
        </w:trPr>
        <w:tc>
          <w:tcPr>
            <w:tcW w:w="9446" w:type="dxa"/>
            <w:gridSpan w:val="2"/>
            <w:tcBorders>
              <w:top w:val="single" w:sz="4" w:space="0" w:color="BFBFBF"/>
              <w:left w:val="single" w:sz="4" w:space="0" w:color="BFBFBF"/>
              <w:bottom w:val="single" w:sz="4" w:space="0" w:color="BFBFBF"/>
              <w:right w:val="single" w:sz="4" w:space="0" w:color="BFBFBF"/>
            </w:tcBorders>
            <w:shd w:val="clear" w:color="auto" w:fill="DAE9F7" w:themeFill="text2" w:themeFillTint="1A"/>
            <w:tcMar>
              <w:top w:w="80" w:type="dxa"/>
              <w:left w:w="120" w:type="dxa"/>
              <w:bottom w:w="80" w:type="dxa"/>
              <w:right w:w="120" w:type="dxa"/>
            </w:tcMar>
          </w:tcPr>
          <w:p w14:paraId="3C87DB94" w14:textId="77777777" w:rsidR="00DA3A6D" w:rsidRPr="00F95840" w:rsidRDefault="00DA3A6D" w:rsidP="00F95840">
            <w:pPr>
              <w:rPr>
                <w:sz w:val="20"/>
                <w:szCs w:val="20"/>
              </w:rPr>
            </w:pPr>
            <w:r w:rsidRPr="00F95840">
              <w:rPr>
                <w:b/>
                <w:bCs/>
                <w:sz w:val="20"/>
                <w:szCs w:val="20"/>
              </w:rPr>
              <w:t>Communication &amp; power</w:t>
            </w:r>
          </w:p>
        </w:tc>
      </w:tr>
      <w:tr w:rsidR="00DA3A6D" w:rsidRPr="00F95840" w14:paraId="4D9F95A9" w14:textId="77777777" w:rsidTr="00F95840">
        <w:trPr>
          <w:trHeight w:val="470"/>
        </w:trPr>
        <w:tc>
          <w:tcPr>
            <w:tcW w:w="3633"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60" w:type="dxa"/>
              <w:left w:w="120" w:type="dxa"/>
              <w:bottom w:w="60" w:type="dxa"/>
              <w:right w:w="120" w:type="dxa"/>
            </w:tcMar>
            <w:vAlign w:val="center"/>
          </w:tcPr>
          <w:p w14:paraId="6332FF1E" w14:textId="77777777" w:rsidR="00DA3A6D" w:rsidRPr="00332AF7" w:rsidRDefault="00DA3A6D" w:rsidP="00C333F1">
            <w:pPr>
              <w:rPr>
                <w:sz w:val="20"/>
                <w:szCs w:val="20"/>
              </w:rPr>
            </w:pPr>
            <w:r w:rsidRPr="00332AF7">
              <w:rPr>
                <w:sz w:val="20"/>
                <w:szCs w:val="20"/>
              </w:rPr>
              <w:t>Communication</w:t>
            </w:r>
          </w:p>
        </w:tc>
        <w:tc>
          <w:tcPr>
            <w:tcW w:w="5813"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60" w:type="dxa"/>
              <w:left w:w="120" w:type="dxa"/>
              <w:bottom w:w="60" w:type="dxa"/>
              <w:right w:w="120" w:type="dxa"/>
            </w:tcMar>
            <w:vAlign w:val="center"/>
          </w:tcPr>
          <w:p w14:paraId="3671FA64" w14:textId="77777777" w:rsidR="00DA3A6D" w:rsidRPr="00F95840" w:rsidRDefault="00DA3A6D" w:rsidP="00C333F1">
            <w:pPr>
              <w:rPr>
                <w:sz w:val="20"/>
                <w:szCs w:val="20"/>
              </w:rPr>
            </w:pPr>
            <w:r w:rsidRPr="00F95840">
              <w:rPr>
                <w:sz w:val="20"/>
                <w:szCs w:val="20"/>
              </w:rPr>
              <w:t>Bi-directional radio frequency (2.45 GHz), 5 Mbit/s</w:t>
            </w:r>
          </w:p>
        </w:tc>
      </w:tr>
      <w:tr w:rsidR="00DA3A6D" w:rsidRPr="00F95840" w14:paraId="067CBA83" w14:textId="77777777" w:rsidTr="00F95840">
        <w:trPr>
          <w:trHeight w:val="776"/>
        </w:trPr>
        <w:tc>
          <w:tcPr>
            <w:tcW w:w="3633"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60" w:type="dxa"/>
              <w:left w:w="120" w:type="dxa"/>
              <w:bottom w:w="60" w:type="dxa"/>
              <w:right w:w="120" w:type="dxa"/>
            </w:tcMar>
            <w:vAlign w:val="center"/>
          </w:tcPr>
          <w:p w14:paraId="7E3D4B3C" w14:textId="77777777" w:rsidR="00DA3A6D" w:rsidRPr="00332AF7" w:rsidRDefault="00DA3A6D" w:rsidP="00C333F1">
            <w:pPr>
              <w:rPr>
                <w:sz w:val="20"/>
                <w:szCs w:val="20"/>
              </w:rPr>
            </w:pPr>
            <w:r w:rsidRPr="00332AF7">
              <w:rPr>
                <w:sz w:val="20"/>
                <w:szCs w:val="20"/>
              </w:rPr>
              <w:t>Powering</w:t>
            </w:r>
          </w:p>
        </w:tc>
        <w:tc>
          <w:tcPr>
            <w:tcW w:w="5813"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60" w:type="dxa"/>
              <w:left w:w="120" w:type="dxa"/>
              <w:bottom w:w="60" w:type="dxa"/>
              <w:right w:w="120" w:type="dxa"/>
            </w:tcMar>
            <w:vAlign w:val="center"/>
          </w:tcPr>
          <w:p w14:paraId="107C2AA5" w14:textId="77777777" w:rsidR="00DA3A6D" w:rsidRPr="00F95840" w:rsidRDefault="00DA3A6D" w:rsidP="00C333F1">
            <w:pPr>
              <w:rPr>
                <w:sz w:val="20"/>
                <w:szCs w:val="20"/>
              </w:rPr>
            </w:pPr>
            <w:r w:rsidRPr="00F95840">
              <w:rPr>
                <w:sz w:val="20"/>
                <w:szCs w:val="20"/>
              </w:rPr>
              <w:t>Inductive (120–140 kHz), regulated on implant demand</w:t>
            </w:r>
          </w:p>
        </w:tc>
      </w:tr>
      <w:tr w:rsidR="00DA3A6D" w:rsidRPr="00F95840" w14:paraId="60F79EC6" w14:textId="77777777" w:rsidTr="00F95840">
        <w:trPr>
          <w:trHeight w:val="470"/>
        </w:trPr>
        <w:tc>
          <w:tcPr>
            <w:tcW w:w="3633"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60" w:type="dxa"/>
              <w:left w:w="120" w:type="dxa"/>
              <w:bottom w:w="60" w:type="dxa"/>
              <w:right w:w="120" w:type="dxa"/>
            </w:tcMar>
            <w:vAlign w:val="center"/>
          </w:tcPr>
          <w:p w14:paraId="7A0BDA66" w14:textId="77777777" w:rsidR="00DA3A6D" w:rsidRPr="00332AF7" w:rsidRDefault="00DA3A6D" w:rsidP="00C333F1">
            <w:pPr>
              <w:rPr>
                <w:sz w:val="20"/>
                <w:szCs w:val="20"/>
              </w:rPr>
            </w:pPr>
            <w:r w:rsidRPr="00332AF7">
              <w:rPr>
                <w:sz w:val="20"/>
                <w:szCs w:val="20"/>
              </w:rPr>
              <w:t>Power supply</w:t>
            </w:r>
          </w:p>
        </w:tc>
        <w:tc>
          <w:tcPr>
            <w:tcW w:w="5813"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60" w:type="dxa"/>
              <w:left w:w="120" w:type="dxa"/>
              <w:bottom w:w="60" w:type="dxa"/>
              <w:right w:w="120" w:type="dxa"/>
            </w:tcMar>
            <w:vAlign w:val="center"/>
          </w:tcPr>
          <w:p w14:paraId="33C67EB4" w14:textId="77777777" w:rsidR="00DA3A6D" w:rsidRPr="00F95840" w:rsidRDefault="00DA3A6D" w:rsidP="00C333F1">
            <w:pPr>
              <w:rPr>
                <w:sz w:val="20"/>
                <w:szCs w:val="20"/>
              </w:rPr>
            </w:pPr>
            <w:r w:rsidRPr="00F95840">
              <w:rPr>
                <w:sz w:val="20"/>
                <w:szCs w:val="20"/>
              </w:rPr>
              <w:t>Wireless</w:t>
            </w:r>
          </w:p>
        </w:tc>
      </w:tr>
      <w:tr w:rsidR="00DA3A6D" w:rsidRPr="00F95840" w14:paraId="1EBC071C" w14:textId="77777777" w:rsidTr="00F95840">
        <w:trPr>
          <w:trHeight w:val="470"/>
        </w:trPr>
        <w:tc>
          <w:tcPr>
            <w:tcW w:w="9446" w:type="dxa"/>
            <w:gridSpan w:val="2"/>
            <w:tcBorders>
              <w:top w:val="single" w:sz="4" w:space="0" w:color="BFBFBF"/>
              <w:left w:val="single" w:sz="4" w:space="0" w:color="BFBFBF"/>
              <w:bottom w:val="single" w:sz="4" w:space="0" w:color="BFBFBF"/>
              <w:right w:val="single" w:sz="4" w:space="0" w:color="BFBFBF"/>
            </w:tcBorders>
            <w:shd w:val="clear" w:color="auto" w:fill="DAE9F7" w:themeFill="text2" w:themeFillTint="1A"/>
            <w:tcMar>
              <w:top w:w="80" w:type="dxa"/>
              <w:left w:w="120" w:type="dxa"/>
              <w:bottom w:w="80" w:type="dxa"/>
              <w:right w:w="120" w:type="dxa"/>
            </w:tcMar>
          </w:tcPr>
          <w:p w14:paraId="1692F48A" w14:textId="77777777" w:rsidR="00DA3A6D" w:rsidRPr="00F95840" w:rsidRDefault="00DA3A6D" w:rsidP="00F95840">
            <w:pPr>
              <w:rPr>
                <w:sz w:val="20"/>
                <w:szCs w:val="20"/>
              </w:rPr>
            </w:pPr>
            <w:r w:rsidRPr="00F95840">
              <w:rPr>
                <w:b/>
                <w:bCs/>
                <w:sz w:val="20"/>
                <w:szCs w:val="20"/>
              </w:rPr>
              <w:t>General properties</w:t>
            </w:r>
          </w:p>
        </w:tc>
      </w:tr>
      <w:tr w:rsidR="00DA3A6D" w:rsidRPr="00F95840" w14:paraId="05C57BB5" w14:textId="77777777" w:rsidTr="00F95840">
        <w:trPr>
          <w:trHeight w:val="470"/>
        </w:trPr>
        <w:tc>
          <w:tcPr>
            <w:tcW w:w="3633"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60" w:type="dxa"/>
              <w:left w:w="120" w:type="dxa"/>
              <w:bottom w:w="60" w:type="dxa"/>
              <w:right w:w="120" w:type="dxa"/>
            </w:tcMar>
            <w:vAlign w:val="center"/>
          </w:tcPr>
          <w:p w14:paraId="2E6980C2" w14:textId="77777777" w:rsidR="00DA3A6D" w:rsidRPr="00332AF7" w:rsidRDefault="00DA3A6D" w:rsidP="00C333F1">
            <w:pPr>
              <w:rPr>
                <w:sz w:val="20"/>
                <w:szCs w:val="20"/>
              </w:rPr>
            </w:pPr>
            <w:r w:rsidRPr="00332AF7">
              <w:rPr>
                <w:sz w:val="20"/>
                <w:szCs w:val="20"/>
              </w:rPr>
              <w:t>Implant dimensions</w:t>
            </w:r>
          </w:p>
        </w:tc>
        <w:tc>
          <w:tcPr>
            <w:tcW w:w="5813"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60" w:type="dxa"/>
              <w:left w:w="120" w:type="dxa"/>
              <w:bottom w:w="60" w:type="dxa"/>
              <w:right w:w="120" w:type="dxa"/>
            </w:tcMar>
            <w:vAlign w:val="center"/>
          </w:tcPr>
          <w:p w14:paraId="207D662C" w14:textId="77777777" w:rsidR="00DA3A6D" w:rsidRPr="00F95840" w:rsidRDefault="00DA3A6D" w:rsidP="00C333F1">
            <w:pPr>
              <w:rPr>
                <w:sz w:val="20"/>
                <w:szCs w:val="20"/>
              </w:rPr>
            </w:pPr>
            <w:r w:rsidRPr="00F95840">
              <w:rPr>
                <w:sz w:val="20"/>
                <w:szCs w:val="20"/>
              </w:rPr>
              <w:t>67 × 38 × 7 mm</w:t>
            </w:r>
            <w:r w:rsidRPr="00F95840">
              <w:rPr>
                <w:sz w:val="20"/>
                <w:szCs w:val="20"/>
                <w:vertAlign w:val="superscript"/>
              </w:rPr>
              <w:t>3</w:t>
            </w:r>
          </w:p>
        </w:tc>
      </w:tr>
      <w:tr w:rsidR="00DA3A6D" w:rsidRPr="00F95840" w14:paraId="48695792" w14:textId="77777777" w:rsidTr="00F95840">
        <w:trPr>
          <w:trHeight w:val="470"/>
        </w:trPr>
        <w:tc>
          <w:tcPr>
            <w:tcW w:w="3633"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60" w:type="dxa"/>
              <w:left w:w="120" w:type="dxa"/>
              <w:bottom w:w="60" w:type="dxa"/>
              <w:right w:w="120" w:type="dxa"/>
            </w:tcMar>
            <w:vAlign w:val="center"/>
          </w:tcPr>
          <w:p w14:paraId="04277A71" w14:textId="77777777" w:rsidR="00DA3A6D" w:rsidRPr="00332AF7" w:rsidRDefault="00DA3A6D" w:rsidP="00C333F1">
            <w:pPr>
              <w:rPr>
                <w:sz w:val="20"/>
                <w:szCs w:val="20"/>
              </w:rPr>
            </w:pPr>
            <w:r w:rsidRPr="00332AF7">
              <w:rPr>
                <w:sz w:val="20"/>
                <w:szCs w:val="20"/>
              </w:rPr>
              <w:t>Reference configuration</w:t>
            </w:r>
          </w:p>
        </w:tc>
        <w:tc>
          <w:tcPr>
            <w:tcW w:w="5813"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60" w:type="dxa"/>
              <w:left w:w="120" w:type="dxa"/>
              <w:bottom w:w="60" w:type="dxa"/>
              <w:right w:w="120" w:type="dxa"/>
            </w:tcMar>
            <w:vAlign w:val="center"/>
          </w:tcPr>
          <w:p w14:paraId="7990F08D" w14:textId="67B10E4C" w:rsidR="00DA3A6D" w:rsidRPr="00F95840" w:rsidRDefault="00DA3A6D" w:rsidP="00C333F1">
            <w:pPr>
              <w:rPr>
                <w:sz w:val="20"/>
                <w:szCs w:val="20"/>
              </w:rPr>
            </w:pPr>
            <w:r w:rsidRPr="00F95840">
              <w:rPr>
                <w:sz w:val="20"/>
                <w:szCs w:val="20"/>
              </w:rPr>
              <w:t xml:space="preserve">Any electrode </w:t>
            </w:r>
            <w:r w:rsidR="00332AF7" w:rsidRPr="00F95840">
              <w:rPr>
                <w:sz w:val="20"/>
                <w:szCs w:val="20"/>
              </w:rPr>
              <w:t>contacts</w:t>
            </w:r>
            <w:r w:rsidRPr="00F95840">
              <w:rPr>
                <w:sz w:val="20"/>
                <w:szCs w:val="20"/>
              </w:rPr>
              <w:t xml:space="preserve"> or group of contacts</w:t>
            </w:r>
          </w:p>
        </w:tc>
      </w:tr>
    </w:tbl>
    <w:p w14:paraId="0C5149BE" w14:textId="6443FA52" w:rsidR="00DA3A6D" w:rsidRDefault="003E6E8D" w:rsidP="00DA3A6D">
      <w:pPr>
        <w:spacing w:before="160"/>
      </w:pPr>
      <w:r w:rsidRPr="003E6E8D">
        <w:rPr>
          <w:i/>
          <w:iCs/>
          <w:color w:val="595959"/>
          <w:sz w:val="16"/>
          <w:szCs w:val="16"/>
        </w:rPr>
        <w:t>ADC</w:t>
      </w:r>
      <w:r>
        <w:rPr>
          <w:i/>
          <w:iCs/>
          <w:color w:val="595959"/>
          <w:sz w:val="16"/>
          <w:szCs w:val="16"/>
        </w:rPr>
        <w:t>,</w:t>
      </w:r>
      <w:r w:rsidRPr="003E6E8D">
        <w:rPr>
          <w:i/>
          <w:iCs/>
          <w:color w:val="595959"/>
          <w:sz w:val="16"/>
          <w:szCs w:val="16"/>
        </w:rPr>
        <w:t xml:space="preserve"> Analog-to-digital converter</w:t>
      </w:r>
      <w:r>
        <w:rPr>
          <w:i/>
          <w:iCs/>
          <w:color w:val="595959"/>
          <w:sz w:val="16"/>
          <w:szCs w:val="16"/>
        </w:rPr>
        <w:t xml:space="preserve">; </w:t>
      </w:r>
      <w:r w:rsidR="00DA3A6D">
        <w:rPr>
          <w:i/>
          <w:iCs/>
          <w:color w:val="595959"/>
          <w:sz w:val="16"/>
          <w:szCs w:val="16"/>
        </w:rPr>
        <w:t>LSB, least significant bit; PP, peak-to-peak; RF, radio frequency. The internal band-pass filter and amplification gain were configured for low-noise wideband neural recording; the maximum input voltage scales inversely with the selected gain.</w:t>
      </w:r>
    </w:p>
    <w:p w14:paraId="22DBFE66" w14:textId="5FBFA809" w:rsidR="00DA3A6D" w:rsidRPr="00DA3A6D" w:rsidRDefault="00DA3A6D" w:rsidP="00DA3A6D">
      <w:pPr>
        <w:sectPr w:rsidR="00DA3A6D" w:rsidRPr="00DA3A6D">
          <w:pgSz w:w="12240" w:h="15840"/>
          <w:pgMar w:top="1440" w:right="1440" w:bottom="1440" w:left="1440" w:header="720" w:footer="720" w:gutter="0"/>
          <w:cols w:space="720"/>
          <w:docGrid w:linePitch="360"/>
        </w:sectPr>
      </w:pPr>
    </w:p>
    <w:p w14:paraId="2E9BA061" w14:textId="1B5DC24B" w:rsidR="00395723" w:rsidRDefault="00395723" w:rsidP="00395723">
      <w:pPr>
        <w:sectPr w:rsidR="00395723" w:rsidSect="00395723">
          <w:pgSz w:w="15840" w:h="12240" w:orient="landscape"/>
          <w:pgMar w:top="1440" w:right="1440" w:bottom="1440" w:left="1440" w:header="720" w:footer="720" w:gutter="0"/>
          <w:cols w:space="720"/>
          <w:docGrid w:linePitch="360"/>
        </w:sectPr>
      </w:pPr>
      <w:r w:rsidRPr="00846005">
        <w:rPr>
          <w:noProof/>
        </w:rPr>
        <w:lastRenderedPageBreak/>
        <mc:AlternateContent>
          <mc:Choice Requires="wps">
            <w:drawing>
              <wp:anchor distT="0" distB="0" distL="114300" distR="114300" simplePos="0" relativeHeight="251699200" behindDoc="0" locked="0" layoutInCell="1" allowOverlap="1" wp14:anchorId="76F36CBE" wp14:editId="3F54C9AE">
                <wp:simplePos x="0" y="0"/>
                <wp:positionH relativeFrom="margin">
                  <wp:align>right</wp:align>
                </wp:positionH>
                <wp:positionV relativeFrom="paragraph">
                  <wp:posOffset>28575</wp:posOffset>
                </wp:positionV>
                <wp:extent cx="8229600" cy="5911850"/>
                <wp:effectExtent l="0" t="0" r="0" b="0"/>
                <wp:wrapSquare wrapText="bothSides"/>
                <wp:docPr id="7050680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0" cy="5911850"/>
                        </a:xfrm>
                        <a:prstGeom prst="rect">
                          <a:avLst/>
                        </a:prstGeom>
                        <a:solidFill>
                          <a:srgbClr val="FFFFFF"/>
                        </a:solidFill>
                        <a:ln w="9525">
                          <a:noFill/>
                          <a:miter lim="800000"/>
                          <a:headEnd/>
                          <a:tailEnd/>
                        </a:ln>
                      </wps:spPr>
                      <wps:txbx>
                        <w:txbxContent>
                          <w:p w14:paraId="5A040E96" w14:textId="4C8199AF" w:rsidR="00395723" w:rsidRPr="00B87511" w:rsidRDefault="00395723" w:rsidP="00395723">
                            <w:pPr>
                              <w:keepNext/>
                              <w:jc w:val="center"/>
                              <w:rPr>
                                <w:b/>
                                <w:bCs/>
                                <w:sz w:val="16"/>
                                <w:szCs w:val="16"/>
                              </w:rPr>
                            </w:pPr>
                            <w:r>
                              <w:rPr>
                                <w:noProof/>
                              </w:rPr>
                              <w:t xml:space="preserve"> </w:t>
                            </w:r>
                            <w:r>
                              <w:rPr>
                                <w:noProof/>
                              </w:rPr>
                              <w:tab/>
                            </w:r>
                          </w:p>
                          <w:p w14:paraId="56924685" w14:textId="77777777" w:rsidR="00395723" w:rsidRPr="00D85592" w:rsidRDefault="00395723" w:rsidP="00395723">
                            <w:pPr>
                              <w:pStyle w:val="Caption"/>
                              <w:spacing w:after="0"/>
                              <w:rPr>
                                <w:b/>
                                <w:bCs/>
                                <w:i w:val="0"/>
                                <w:iCs w:val="0"/>
                                <w:sz w:val="16"/>
                                <w:szCs w:val="16"/>
                              </w:rPr>
                            </w:pPr>
                          </w:p>
                          <w:p w14:paraId="44A83914" w14:textId="7018504F" w:rsidR="00395723" w:rsidRDefault="00395723" w:rsidP="00395723">
                            <w:pPr>
                              <w:pStyle w:val="Caption"/>
                              <w:spacing w:after="0"/>
                              <w:rPr>
                                <w:i w:val="0"/>
                                <w:iCs w:val="0"/>
                                <w:sz w:val="16"/>
                                <w:szCs w:val="16"/>
                              </w:rPr>
                            </w:pPr>
                            <w:r>
                              <w:rPr>
                                <w:noProof/>
                              </w:rPr>
                              <w:drawing>
                                <wp:inline distT="0" distB="0" distL="0" distR="0" wp14:anchorId="6AEA62A5" wp14:editId="3516A3DF">
                                  <wp:extent cx="4206856" cy="7439834"/>
                                  <wp:effectExtent l="2540" t="0" r="6350" b="6350"/>
                                  <wp:docPr id="211468019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4225669" cy="7473104"/>
                                          </a:xfrm>
                                          <a:prstGeom prst="rect">
                                            <a:avLst/>
                                          </a:prstGeom>
                                          <a:noFill/>
                                          <a:ln>
                                            <a:noFill/>
                                          </a:ln>
                                        </pic:spPr>
                                      </pic:pic>
                                    </a:graphicData>
                                  </a:graphic>
                                </wp:inline>
                              </w:drawing>
                            </w:r>
                          </w:p>
                          <w:p w14:paraId="032569F0" w14:textId="7D029CE7" w:rsidR="00395723" w:rsidRPr="009C3357" w:rsidRDefault="00395723" w:rsidP="00B760CE">
                            <w:pPr>
                              <w:pStyle w:val="Caption"/>
                              <w:spacing w:after="0"/>
                              <w:jc w:val="both"/>
                              <w:rPr>
                                <w:b/>
                                <w:bCs/>
                                <w:i w:val="0"/>
                                <w:iCs w:val="0"/>
                                <w:sz w:val="16"/>
                                <w:szCs w:val="16"/>
                              </w:rPr>
                            </w:pPr>
                            <w:r>
                              <w:rPr>
                                <w:b/>
                                <w:bCs/>
                                <w:i w:val="0"/>
                                <w:iCs w:val="0"/>
                                <w:sz w:val="16"/>
                                <w:szCs w:val="16"/>
                              </w:rPr>
                              <w:t xml:space="preserve">Supplementary </w:t>
                            </w:r>
                            <w:r w:rsidRPr="00B87511">
                              <w:rPr>
                                <w:b/>
                                <w:bCs/>
                                <w:i w:val="0"/>
                                <w:iCs w:val="0"/>
                                <w:sz w:val="16"/>
                                <w:szCs w:val="16"/>
                              </w:rPr>
                              <w:t xml:space="preserve">Fig. </w:t>
                            </w:r>
                            <w:r w:rsidR="00487F3E">
                              <w:rPr>
                                <w:b/>
                                <w:bCs/>
                                <w:i w:val="0"/>
                                <w:iCs w:val="0"/>
                                <w:sz w:val="16"/>
                                <w:szCs w:val="16"/>
                              </w:rPr>
                              <w:t>S</w:t>
                            </w:r>
                            <w:r>
                              <w:rPr>
                                <w:b/>
                                <w:bCs/>
                                <w:i w:val="0"/>
                                <w:iCs w:val="0"/>
                                <w:sz w:val="16"/>
                                <w:szCs w:val="16"/>
                              </w:rPr>
                              <w:t>1</w:t>
                            </w:r>
                            <w:r w:rsidR="009C3357">
                              <w:rPr>
                                <w:b/>
                                <w:bCs/>
                                <w:i w:val="0"/>
                                <w:iCs w:val="0"/>
                                <w:sz w:val="16"/>
                                <w:szCs w:val="16"/>
                              </w:rPr>
                              <w:t xml:space="preserve"> </w:t>
                            </w:r>
                            <w:r w:rsidR="009C3357" w:rsidRPr="009C3357">
                              <w:rPr>
                                <w:b/>
                                <w:bCs/>
                                <w:i w:val="0"/>
                                <w:iCs w:val="0"/>
                                <w:sz w:val="16"/>
                                <w:szCs w:val="16"/>
                              </w:rPr>
                              <w:t>Simultaneous recording and post hoc synchronization framework for continuous iEEG acquisition using a clinical amplifier (CA) and combined Brain Interchange devices (BICs).</w:t>
                            </w:r>
                            <w:r w:rsidR="00B760CE">
                              <w:rPr>
                                <w:b/>
                                <w:bCs/>
                                <w:i w:val="0"/>
                                <w:iCs w:val="0"/>
                                <w:sz w:val="16"/>
                                <w:szCs w:val="16"/>
                              </w:rPr>
                              <w:t xml:space="preserve"> </w:t>
                            </w:r>
                            <w:r w:rsidR="009C3357" w:rsidRPr="0038797E">
                              <w:rPr>
                                <w:b/>
                                <w:bCs/>
                                <w:i w:val="0"/>
                                <w:iCs w:val="0"/>
                                <w:sz w:val="16"/>
                                <w:szCs w:val="16"/>
                              </w:rPr>
                              <w:t>(A)</w:t>
                            </w:r>
                            <w:r w:rsidR="009C3357" w:rsidRPr="009C3357">
                              <w:rPr>
                                <w:i w:val="0"/>
                                <w:iCs w:val="0"/>
                                <w:sz w:val="16"/>
                                <w:szCs w:val="16"/>
                              </w:rPr>
                              <w:t xml:space="preserve"> Simultaneous recording setup showing concurrent acquisition of </w:t>
                            </w:r>
                            <w:r w:rsidR="009C3357">
                              <w:rPr>
                                <w:i w:val="0"/>
                                <w:iCs w:val="0"/>
                                <w:sz w:val="16"/>
                                <w:szCs w:val="16"/>
                              </w:rPr>
                              <w:t>iEEG</w:t>
                            </w:r>
                            <w:r w:rsidR="009C3357" w:rsidRPr="009C3357">
                              <w:rPr>
                                <w:i w:val="0"/>
                                <w:iCs w:val="0"/>
                                <w:sz w:val="16"/>
                                <w:szCs w:val="16"/>
                              </w:rPr>
                              <w:t xml:space="preserve"> signals from implanted sEEG electrodes using a clinical amplifier (CA; up to 256 channels, 2 kHz sampling rate) and two synchronized Brain Interchange devices (BIC1 and BIC2; 32 channels each, 1 kHz sampling rate). The two BIC systems shared a common external clock to generate a combined 64-channel BIC recording. Following acquisition, CA and combined BIC recordings were temporally aligned using a post hoc synchronization procedure.</w:t>
                            </w:r>
                            <w:r w:rsidR="009C3357">
                              <w:rPr>
                                <w:i w:val="0"/>
                                <w:iCs w:val="0"/>
                                <w:sz w:val="16"/>
                                <w:szCs w:val="16"/>
                              </w:rPr>
                              <w:t xml:space="preserve"> </w:t>
                            </w:r>
                            <w:r w:rsidR="009C3357" w:rsidRPr="0038797E">
                              <w:rPr>
                                <w:b/>
                                <w:bCs/>
                                <w:i w:val="0"/>
                                <w:iCs w:val="0"/>
                                <w:sz w:val="16"/>
                                <w:szCs w:val="16"/>
                              </w:rPr>
                              <w:t>(B)</w:t>
                            </w:r>
                            <w:r w:rsidR="009C3357" w:rsidRPr="009C3357">
                              <w:rPr>
                                <w:i w:val="0"/>
                                <w:iCs w:val="0"/>
                                <w:sz w:val="16"/>
                                <w:szCs w:val="16"/>
                              </w:rPr>
                              <w:t xml:space="preserve"> Post processing synchronization pipeline between continuous CA and BIC recordings. A short BIC signal segment was used as a template and convolved across the continuous CA recording to identify the optimal temporal alignment between systems. The lag corresponding to the maximum convolution match defined the synchronization offset (</w:t>
                            </w:r>
                            <m:oMath>
                              <m:r>
                                <w:rPr>
                                  <w:rFonts w:ascii="Cambria Math" w:hAnsi="Cambria Math"/>
                                  <w:sz w:val="16"/>
                                  <w:szCs w:val="16"/>
                                </w:rPr>
                                <m:t>Δt</m:t>
                              </m:r>
                            </m:oMath>
                            <w:r w:rsidR="009C3357" w:rsidRPr="009C3357">
                              <w:rPr>
                                <w:i w:val="0"/>
                                <w:iCs w:val="0"/>
                                <w:sz w:val="16"/>
                                <w:szCs w:val="16"/>
                              </w:rPr>
                              <w:t>). After alignment, synchronized CA and BIC recordings were segmented using common start points for downstream comparative analyses. Colored traces highlight corresponding synchronized neural activity across both recording systems.</w:t>
                            </w:r>
                          </w:p>
                          <w:p w14:paraId="1583FA48" w14:textId="77777777" w:rsidR="00395723" w:rsidRPr="00395723" w:rsidRDefault="00395723" w:rsidP="003957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F36CBE" id="_x0000_t202" coordsize="21600,21600" o:spt="202" path="m,l,21600r21600,l21600,xe">
                <v:stroke joinstyle="miter"/>
                <v:path gradientshapeok="t" o:connecttype="rect"/>
              </v:shapetype>
              <v:shape id="Text Box 2" o:spid="_x0000_s1026" type="#_x0000_t202" style="position:absolute;margin-left:596.8pt;margin-top:2.25pt;width:9in;height:465.5pt;z-index:251699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" stroked="f">
                <v:textbox>
                  <w:txbxContent>
                    <w:p w14:paraId="5A040E96" w14:textId="4C8199AF" w:rsidR="00395723" w:rsidRPr="00B87511" w:rsidRDefault="00395723" w:rsidP="00395723">
                      <w:pPr>
                        <w:keepNext/>
                        <w:jc w:val="center"/>
                        <w:rPr>
                          <w:b/>
                          <w:bCs/>
                          <w:sz w:val="16"/>
                          <w:szCs w:val="16"/>
                        </w:rPr>
                      </w:pPr>
                      <w:r>
                        <w:rPr>
                          <w:noProof/>
                        </w:rPr>
                        <w:t xml:space="preserve"> </w:t>
                      </w:r>
                      <w:r>
                        <w:rPr>
                          <w:noProof/>
                        </w:rPr>
                        <w:tab/>
                      </w:r>
                    </w:p>
                    <w:p w14:paraId="56924685" w14:textId="77777777" w:rsidR="00395723" w:rsidRPr="00D85592" w:rsidRDefault="00395723" w:rsidP="00395723">
                      <w:pPr>
                        <w:pStyle w:val="Caption"/>
                        <w:spacing w:after="0"/>
                        <w:rPr>
                          <w:b/>
                          <w:bCs/>
                          <w:i w:val="0"/>
                          <w:iCs w:val="0"/>
                          <w:sz w:val="16"/>
                          <w:szCs w:val="16"/>
                        </w:rPr>
                      </w:pPr>
                    </w:p>
                    <w:p w14:paraId="44A83914" w14:textId="7018504F" w:rsidR="00395723" w:rsidRDefault="00395723" w:rsidP="00395723">
                      <w:pPr>
                        <w:pStyle w:val="Caption"/>
                        <w:spacing w:after="0"/>
                        <w:rPr>
                          <w:i w:val="0"/>
                          <w:iCs w:val="0"/>
                          <w:sz w:val="16"/>
                          <w:szCs w:val="16"/>
                        </w:rPr>
                      </w:pPr>
                      <w:r>
                        <w:rPr>
                          <w:noProof/>
                        </w:rPr>
                        <w:drawing>
                          <wp:inline distT="0" distB="0" distL="0" distR="0" wp14:anchorId="6AEA62A5" wp14:editId="3516A3DF">
                            <wp:extent cx="4206856" cy="7439834"/>
                            <wp:effectExtent l="2540" t="0" r="6350" b="6350"/>
                            <wp:docPr id="211468019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4225669" cy="7473104"/>
                                    </a:xfrm>
                                    <a:prstGeom prst="rect">
                                      <a:avLst/>
                                    </a:prstGeom>
                                    <a:noFill/>
                                    <a:ln>
                                      <a:noFill/>
                                    </a:ln>
                                  </pic:spPr>
                                </pic:pic>
                              </a:graphicData>
                            </a:graphic>
                          </wp:inline>
                        </w:drawing>
                      </w:r>
                    </w:p>
                    <w:p w14:paraId="032569F0" w14:textId="7D029CE7" w:rsidR="00395723" w:rsidRPr="009C3357" w:rsidRDefault="00395723" w:rsidP="00B760CE">
                      <w:pPr>
                        <w:pStyle w:val="Caption"/>
                        <w:spacing w:after="0"/>
                        <w:jc w:val="both"/>
                        <w:rPr>
                          <w:b/>
                          <w:bCs/>
                          <w:i w:val="0"/>
                          <w:iCs w:val="0"/>
                          <w:sz w:val="16"/>
                          <w:szCs w:val="16"/>
                        </w:rPr>
                      </w:pPr>
                      <w:r>
                        <w:rPr>
                          <w:b/>
                          <w:bCs/>
                          <w:i w:val="0"/>
                          <w:iCs w:val="0"/>
                          <w:sz w:val="16"/>
                          <w:szCs w:val="16"/>
                        </w:rPr>
                        <w:t xml:space="preserve">Supplementary </w:t>
                      </w:r>
                      <w:r w:rsidRPr="00B87511">
                        <w:rPr>
                          <w:b/>
                          <w:bCs/>
                          <w:i w:val="0"/>
                          <w:iCs w:val="0"/>
                          <w:sz w:val="16"/>
                          <w:szCs w:val="16"/>
                        </w:rPr>
                        <w:t xml:space="preserve">Fig. </w:t>
                      </w:r>
                      <w:r w:rsidR="00487F3E">
                        <w:rPr>
                          <w:b/>
                          <w:bCs/>
                          <w:i w:val="0"/>
                          <w:iCs w:val="0"/>
                          <w:sz w:val="16"/>
                          <w:szCs w:val="16"/>
                        </w:rPr>
                        <w:t>S</w:t>
                      </w:r>
                      <w:r>
                        <w:rPr>
                          <w:b/>
                          <w:bCs/>
                          <w:i w:val="0"/>
                          <w:iCs w:val="0"/>
                          <w:sz w:val="16"/>
                          <w:szCs w:val="16"/>
                        </w:rPr>
                        <w:t>1</w:t>
                      </w:r>
                      <w:r w:rsidR="009C3357">
                        <w:rPr>
                          <w:b/>
                          <w:bCs/>
                          <w:i w:val="0"/>
                          <w:iCs w:val="0"/>
                          <w:sz w:val="16"/>
                          <w:szCs w:val="16"/>
                        </w:rPr>
                        <w:t xml:space="preserve"> </w:t>
                      </w:r>
                      <w:r w:rsidR="009C3357" w:rsidRPr="009C3357">
                        <w:rPr>
                          <w:b/>
                          <w:bCs/>
                          <w:i w:val="0"/>
                          <w:iCs w:val="0"/>
                          <w:sz w:val="16"/>
                          <w:szCs w:val="16"/>
                        </w:rPr>
                        <w:t>Simultaneous recording and post hoc synchronization framework for continuous iEEG acquisition using a clinical amplifier (CA) and combined Brain Interchange devices (BICs).</w:t>
                      </w:r>
                      <w:r w:rsidR="00B760CE">
                        <w:rPr>
                          <w:b/>
                          <w:bCs/>
                          <w:i w:val="0"/>
                          <w:iCs w:val="0"/>
                          <w:sz w:val="16"/>
                          <w:szCs w:val="16"/>
                        </w:rPr>
                        <w:t xml:space="preserve"> </w:t>
                      </w:r>
                      <w:r w:rsidR="009C3357" w:rsidRPr="0038797E">
                        <w:rPr>
                          <w:b/>
                          <w:bCs/>
                          <w:i w:val="0"/>
                          <w:iCs w:val="0"/>
                          <w:sz w:val="16"/>
                          <w:szCs w:val="16"/>
                        </w:rPr>
                        <w:t>(A)</w:t>
                      </w:r>
                      <w:r w:rsidR="009C3357" w:rsidRPr="009C3357">
                        <w:rPr>
                          <w:i w:val="0"/>
                          <w:iCs w:val="0"/>
                          <w:sz w:val="16"/>
                          <w:szCs w:val="16"/>
                        </w:rPr>
                        <w:t xml:space="preserve"> Simultaneous recording setup showing concurrent acquisition of </w:t>
                      </w:r>
                      <w:r w:rsidR="009C3357">
                        <w:rPr>
                          <w:i w:val="0"/>
                          <w:iCs w:val="0"/>
                          <w:sz w:val="16"/>
                          <w:szCs w:val="16"/>
                        </w:rPr>
                        <w:t>iEEG</w:t>
                      </w:r>
                      <w:r w:rsidR="009C3357" w:rsidRPr="009C3357">
                        <w:rPr>
                          <w:i w:val="0"/>
                          <w:iCs w:val="0"/>
                          <w:sz w:val="16"/>
                          <w:szCs w:val="16"/>
                        </w:rPr>
                        <w:t xml:space="preserve"> signals from implanted sEEG electrodes using a clinical amplifier (CA; up to 256 channels, 2 kHz sampling rate) and two synchronized Brain Interchange devices (BIC1 and BIC2; 32 channels each, 1 kHz sampling rate). The two BIC systems shared a common external clock to generate a combined 64-channel BIC recording. Following acquisition, CA and combined BIC recordings were temporally aligned using a post hoc synchronization procedure.</w:t>
                      </w:r>
                      <w:r w:rsidR="009C3357">
                        <w:rPr>
                          <w:i w:val="0"/>
                          <w:iCs w:val="0"/>
                          <w:sz w:val="16"/>
                          <w:szCs w:val="16"/>
                        </w:rPr>
                        <w:t xml:space="preserve"> </w:t>
                      </w:r>
                      <w:r w:rsidR="009C3357" w:rsidRPr="0038797E">
                        <w:rPr>
                          <w:b/>
                          <w:bCs/>
                          <w:i w:val="0"/>
                          <w:iCs w:val="0"/>
                          <w:sz w:val="16"/>
                          <w:szCs w:val="16"/>
                        </w:rPr>
                        <w:t>(B)</w:t>
                      </w:r>
                      <w:r w:rsidR="009C3357" w:rsidRPr="009C3357">
                        <w:rPr>
                          <w:i w:val="0"/>
                          <w:iCs w:val="0"/>
                          <w:sz w:val="16"/>
                          <w:szCs w:val="16"/>
                        </w:rPr>
                        <w:t xml:space="preserve"> Post processing synchronization pipeline between continuous CA and BIC recordings. A short BIC signal segment was used as a template and convolved across the continuous CA recording to identify the optimal temporal alignment between systems. The lag corresponding to the maximum convolution match defined the synchronization offset (</w:t>
                      </w:r>
                      <m:oMath>
                        <m:r>
                          <w:rPr>
                            <w:rFonts w:ascii="Cambria Math" w:hAnsi="Cambria Math"/>
                            <w:sz w:val="16"/>
                            <w:szCs w:val="16"/>
                          </w:rPr>
                          <m:t>Δt</m:t>
                        </m:r>
                      </m:oMath>
                      <w:r w:rsidR="009C3357" w:rsidRPr="009C3357">
                        <w:rPr>
                          <w:i w:val="0"/>
                          <w:iCs w:val="0"/>
                          <w:sz w:val="16"/>
                          <w:szCs w:val="16"/>
                        </w:rPr>
                        <w:t>). After alignment, synchronized CA and BIC recordings were segmented using common start points for downstream comparative analyses. Colored traces highlight corresponding synchronized neural activity across both recording systems.</w:t>
                      </w:r>
                    </w:p>
                    <w:p w14:paraId="1583FA48" w14:textId="77777777" w:rsidR="00395723" w:rsidRPr="00395723" w:rsidRDefault="00395723" w:rsidP="00395723"/>
                  </w:txbxContent>
                </v:textbox>
                <w10:wrap type="square" anchorx="margin"/>
              </v:shape>
            </w:pict>
          </mc:Fallback>
        </mc:AlternateContent>
      </w:r>
    </w:p>
    <w:p w14:paraId="3A7A773D" w14:textId="099D49BA" w:rsidR="003F6305" w:rsidRDefault="000320BD" w:rsidP="00AF1735">
      <w:pPr>
        <w:jc w:val="both"/>
        <w:rPr>
          <w:sz w:val="20"/>
          <w:szCs w:val="20"/>
        </w:rPr>
      </w:pPr>
      <w:r w:rsidRPr="00846005">
        <w:rPr>
          <w:noProof/>
        </w:rPr>
        <w:lastRenderedPageBreak/>
        <mc:AlternateContent>
          <mc:Choice Requires="wps">
            <w:drawing>
              <wp:anchor distT="0" distB="0" distL="114300" distR="114300" simplePos="0" relativeHeight="251682816" behindDoc="0" locked="0" layoutInCell="1" allowOverlap="1" wp14:anchorId="2EF6272B" wp14:editId="0EF7F1CA">
                <wp:simplePos x="0" y="0"/>
                <wp:positionH relativeFrom="margin">
                  <wp:align>left</wp:align>
                </wp:positionH>
                <wp:positionV relativeFrom="paragraph">
                  <wp:posOffset>318999</wp:posOffset>
                </wp:positionV>
                <wp:extent cx="5928995" cy="7591425"/>
                <wp:effectExtent l="0" t="0" r="0" b="9525"/>
                <wp:wrapSquare wrapText="bothSides"/>
                <wp:docPr id="979018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995" cy="7591425"/>
                        </a:xfrm>
                        <a:prstGeom prst="rect">
                          <a:avLst/>
                        </a:prstGeom>
                        <a:solidFill>
                          <a:srgbClr val="FFFFFF"/>
                        </a:solidFill>
                        <a:ln w="9525">
                          <a:noFill/>
                          <a:miter lim="800000"/>
                          <a:headEnd/>
                          <a:tailEnd/>
                        </a:ln>
                      </wps:spPr>
                      <wps:txbx>
                        <w:txbxContent>
                          <w:p w14:paraId="20999A35" w14:textId="79D17E78" w:rsidR="003F6305" w:rsidRPr="00B87511" w:rsidRDefault="003F6305" w:rsidP="003F6305">
                            <w:pPr>
                              <w:keepNext/>
                              <w:jc w:val="center"/>
                              <w:rPr>
                                <w:b/>
                                <w:bCs/>
                                <w:sz w:val="16"/>
                                <w:szCs w:val="16"/>
                              </w:rPr>
                            </w:pPr>
                            <w:r>
                              <w:rPr>
                                <w:noProof/>
                              </w:rPr>
                              <w:drawing>
                                <wp:inline distT="0" distB="0" distL="0" distR="0" wp14:anchorId="74EDA805" wp14:editId="772CC577">
                                  <wp:extent cx="5665042" cy="4424083"/>
                                  <wp:effectExtent l="0" t="0" r="0" b="0"/>
                                  <wp:docPr id="19589591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55279" name="Graphic 1"/>
                                          <pic:cNvPicPr/>
                                        </pic:nvPicPr>
                                        <pic:blipFill>
                                          <a:blip r:embed="rId7">
                                            <a:extLst>
                                              <a:ext uri="{96DAC541-7B7A-43D3-8B79-37D633B846F1}">
                                                <asvg:svgBlip xmlns:asvg="http://schemas.microsoft.com/office/drawing/2016/SVG/main" r:embed="rId8"/>
                                              </a:ext>
                                            </a:extLst>
                                          </a:blip>
                                          <a:stretch>
                                            <a:fillRect/>
                                          </a:stretch>
                                        </pic:blipFill>
                                        <pic:spPr>
                                          <a:xfrm>
                                            <a:off x="0" y="0"/>
                                            <a:ext cx="5678900" cy="4434905"/>
                                          </a:xfrm>
                                          <a:prstGeom prst="rect">
                                            <a:avLst/>
                                          </a:prstGeom>
                                        </pic:spPr>
                                      </pic:pic>
                                    </a:graphicData>
                                  </a:graphic>
                                </wp:inline>
                              </w:drawing>
                            </w:r>
                          </w:p>
                          <w:p w14:paraId="2CF7110C" w14:textId="7726314F" w:rsidR="003F6305" w:rsidRPr="00B760CE" w:rsidRDefault="003F6305" w:rsidP="00B760CE">
                            <w:pPr>
                              <w:pStyle w:val="Caption"/>
                              <w:spacing w:after="0"/>
                              <w:jc w:val="both"/>
                              <w:rPr>
                                <w:b/>
                                <w:bCs/>
                                <w:i w:val="0"/>
                                <w:iCs w:val="0"/>
                                <w:color w:val="0A2F41" w:themeColor="accent1" w:themeShade="80"/>
                                <w:sz w:val="16"/>
                                <w:szCs w:val="16"/>
                              </w:rPr>
                            </w:pPr>
                            <w:r w:rsidRPr="00DA3A6D">
                              <w:rPr>
                                <w:b/>
                                <w:bCs/>
                                <w:i w:val="0"/>
                                <w:iCs w:val="0"/>
                                <w:color w:val="0A2F41" w:themeColor="accent1" w:themeShade="80"/>
                                <w:sz w:val="16"/>
                                <w:szCs w:val="16"/>
                              </w:rPr>
                              <w:t xml:space="preserve">Supplementary Fig. </w:t>
                            </w:r>
                            <w:r w:rsidR="00487F3E">
                              <w:rPr>
                                <w:b/>
                                <w:bCs/>
                                <w:i w:val="0"/>
                                <w:iCs w:val="0"/>
                                <w:color w:val="0A2F41" w:themeColor="accent1" w:themeShade="80"/>
                                <w:sz w:val="16"/>
                                <w:szCs w:val="16"/>
                              </w:rPr>
                              <w:t>S</w:t>
                            </w:r>
                            <w:r w:rsidR="00F82F52" w:rsidRPr="00DA3A6D">
                              <w:rPr>
                                <w:b/>
                                <w:bCs/>
                                <w:i w:val="0"/>
                                <w:iCs w:val="0"/>
                                <w:color w:val="0A2F41" w:themeColor="accent1" w:themeShade="80"/>
                                <w:sz w:val="16"/>
                                <w:szCs w:val="16"/>
                              </w:rPr>
                              <w:t>2</w:t>
                            </w:r>
                            <w:r w:rsidRPr="00DA3A6D">
                              <w:rPr>
                                <w:b/>
                                <w:bCs/>
                                <w:i w:val="0"/>
                                <w:iCs w:val="0"/>
                                <w:color w:val="0A2F41" w:themeColor="accent1" w:themeShade="80"/>
                                <w:sz w:val="16"/>
                                <w:szCs w:val="16"/>
                              </w:rPr>
                              <w:t xml:space="preserve"> </w:t>
                            </w:r>
                            <w:r w:rsidR="00D85592" w:rsidRPr="00DA3A6D">
                              <w:rPr>
                                <w:b/>
                                <w:bCs/>
                                <w:i w:val="0"/>
                                <w:iCs w:val="0"/>
                                <w:color w:val="0A2F41" w:themeColor="accent1" w:themeShade="80"/>
                                <w:sz w:val="16"/>
                                <w:szCs w:val="16"/>
                              </w:rPr>
                              <w:t>Raw and filtered iEEG with time-frequency representation.</w:t>
                            </w:r>
                            <w:r w:rsidR="00B760CE">
                              <w:rPr>
                                <w:b/>
                                <w:bCs/>
                                <w:i w:val="0"/>
                                <w:iCs w:val="0"/>
                                <w:color w:val="0A2F41" w:themeColor="accent1" w:themeShade="80"/>
                                <w:sz w:val="16"/>
                                <w:szCs w:val="16"/>
                              </w:rPr>
                              <w:t xml:space="preserve"> </w:t>
                            </w:r>
                            <w:r w:rsidR="00D85592" w:rsidRPr="00D85592">
                              <w:rPr>
                                <w:b/>
                                <w:bCs/>
                                <w:i w:val="0"/>
                                <w:iCs w:val="0"/>
                                <w:sz w:val="16"/>
                                <w:szCs w:val="16"/>
                              </w:rPr>
                              <w:t>(A)</w:t>
                            </w:r>
                            <w:r w:rsidR="00D85592" w:rsidRPr="00D85592">
                              <w:rPr>
                                <w:i w:val="0"/>
                                <w:iCs w:val="0"/>
                                <w:sz w:val="16"/>
                                <w:szCs w:val="16"/>
                              </w:rPr>
                              <w:t xml:space="preserve"> Twenty seconds of raw iEEG from a hippocampal SOZ channel. Filtered signals in the HFO band (&gt;80 Hz) are shown below the raw trace. The corresponding STFT-based time-frequency map is displayed for the BIC recording, illustrating the spectral power distribution over time. High-frequency ripple activity is partially masked by background noise.</w:t>
                            </w:r>
                            <w:r w:rsidR="00D85592">
                              <w:rPr>
                                <w:i w:val="0"/>
                                <w:iCs w:val="0"/>
                                <w:sz w:val="16"/>
                                <w:szCs w:val="16"/>
                              </w:rPr>
                              <w:t xml:space="preserve"> </w:t>
                            </w:r>
                            <w:r w:rsidR="00D85592" w:rsidRPr="00D85592">
                              <w:rPr>
                                <w:b/>
                                <w:bCs/>
                                <w:i w:val="0"/>
                                <w:iCs w:val="0"/>
                                <w:sz w:val="16"/>
                                <w:szCs w:val="16"/>
                              </w:rPr>
                              <w:t>(B)</w:t>
                            </w:r>
                            <w:r w:rsidR="00D85592" w:rsidRPr="00D85592">
                              <w:rPr>
                                <w:i w:val="0"/>
                                <w:iCs w:val="0"/>
                                <w:sz w:val="16"/>
                                <w:szCs w:val="16"/>
                              </w:rPr>
                              <w:t xml:space="preserve"> Corresponding data from CA. The HFO-filtered signal highlights ripple and fast ripple activity, which is captured more clearly compared with BIC. The time-frequency map shows isolated FR events that are evident as bright localized blobs, demonstrating that CA better resolves fast ripple events in this segment.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2EF6272B" id="_x0000_s1027" type="#_x0000_t202" style="position:absolute;left:0;text-align:left;margin-left:0;margin-top:25.1pt;width:466.85pt;height:597.75pt;z-index:2516828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" stroked="f">
                <v:textbox>
                  <w:txbxContent>
                    <w:p w14:paraId="20999A35" w14:textId="79D17E78" w:rsidR="003F6305" w:rsidRPr="00B87511" w:rsidRDefault="003F6305" w:rsidP="003F6305">
                      <w:pPr>
                        <w:keepNext/>
                        <w:jc w:val="center"/>
                        <w:rPr>
                          <w:b/>
                          <w:bCs/>
                          <w:sz w:val="16"/>
                          <w:szCs w:val="16"/>
                        </w:rPr>
                      </w:pPr>
                      <w:r>
                        <w:rPr>
                          <w:noProof/>
                        </w:rPr>
                        <w:drawing>
                          <wp:inline distT="0" distB="0" distL="0" distR="0" wp14:anchorId="74EDA805" wp14:editId="772CC577">
                            <wp:extent cx="5665042" cy="4424083"/>
                            <wp:effectExtent l="0" t="0" r="0" b="0"/>
                            <wp:docPr id="19589591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55279" name="Graphic 1"/>
                                    <pic:cNvPicPr/>
                                  </pic:nvPicPr>
                                  <pic:blipFill>
                                    <a:blip r:embed="rId7">
                                      <a:extLst>
                                        <a:ext uri="{96DAC541-7B7A-43D3-8B79-37D633B846F1}">
                                          <asvg:svgBlip xmlns:asvg="http://schemas.microsoft.com/office/drawing/2016/SVG/main" r:embed="rId8"/>
                                        </a:ext>
                                      </a:extLst>
                                    </a:blip>
                                    <a:stretch>
                                      <a:fillRect/>
                                    </a:stretch>
                                  </pic:blipFill>
                                  <pic:spPr>
                                    <a:xfrm>
                                      <a:off x="0" y="0"/>
                                      <a:ext cx="5678900" cy="4434905"/>
                                    </a:xfrm>
                                    <a:prstGeom prst="rect">
                                      <a:avLst/>
                                    </a:prstGeom>
                                  </pic:spPr>
                                </pic:pic>
                              </a:graphicData>
                            </a:graphic>
                          </wp:inline>
                        </w:drawing>
                      </w:r>
                    </w:p>
                    <w:p w14:paraId="2CF7110C" w14:textId="7726314F" w:rsidR="003F6305" w:rsidRPr="00B760CE" w:rsidRDefault="003F6305" w:rsidP="00B760CE">
                      <w:pPr>
                        <w:pStyle w:val="Caption"/>
                        <w:spacing w:after="0"/>
                        <w:jc w:val="both"/>
                        <w:rPr>
                          <w:b/>
                          <w:bCs/>
                          <w:i w:val="0"/>
                          <w:iCs w:val="0"/>
                          <w:color w:val="0A2F41" w:themeColor="accent1" w:themeShade="80"/>
                          <w:sz w:val="16"/>
                          <w:szCs w:val="16"/>
                        </w:rPr>
                      </w:pPr>
                      <w:r w:rsidRPr="00DA3A6D">
                        <w:rPr>
                          <w:b/>
                          <w:bCs/>
                          <w:i w:val="0"/>
                          <w:iCs w:val="0"/>
                          <w:color w:val="0A2F41" w:themeColor="accent1" w:themeShade="80"/>
                          <w:sz w:val="16"/>
                          <w:szCs w:val="16"/>
                        </w:rPr>
                        <w:t xml:space="preserve">Supplementary Fig. </w:t>
                      </w:r>
                      <w:r w:rsidR="00487F3E">
                        <w:rPr>
                          <w:b/>
                          <w:bCs/>
                          <w:i w:val="0"/>
                          <w:iCs w:val="0"/>
                          <w:color w:val="0A2F41" w:themeColor="accent1" w:themeShade="80"/>
                          <w:sz w:val="16"/>
                          <w:szCs w:val="16"/>
                        </w:rPr>
                        <w:t>S</w:t>
                      </w:r>
                      <w:r w:rsidR="00F82F52" w:rsidRPr="00DA3A6D">
                        <w:rPr>
                          <w:b/>
                          <w:bCs/>
                          <w:i w:val="0"/>
                          <w:iCs w:val="0"/>
                          <w:color w:val="0A2F41" w:themeColor="accent1" w:themeShade="80"/>
                          <w:sz w:val="16"/>
                          <w:szCs w:val="16"/>
                        </w:rPr>
                        <w:t>2</w:t>
                      </w:r>
                      <w:r w:rsidRPr="00DA3A6D">
                        <w:rPr>
                          <w:b/>
                          <w:bCs/>
                          <w:i w:val="0"/>
                          <w:iCs w:val="0"/>
                          <w:color w:val="0A2F41" w:themeColor="accent1" w:themeShade="80"/>
                          <w:sz w:val="16"/>
                          <w:szCs w:val="16"/>
                        </w:rPr>
                        <w:t xml:space="preserve"> </w:t>
                      </w:r>
                      <w:r w:rsidR="00D85592" w:rsidRPr="00DA3A6D">
                        <w:rPr>
                          <w:b/>
                          <w:bCs/>
                          <w:i w:val="0"/>
                          <w:iCs w:val="0"/>
                          <w:color w:val="0A2F41" w:themeColor="accent1" w:themeShade="80"/>
                          <w:sz w:val="16"/>
                          <w:szCs w:val="16"/>
                        </w:rPr>
                        <w:t>Raw and filtered iEEG with time-frequency representation.</w:t>
                      </w:r>
                      <w:r w:rsidR="00B760CE">
                        <w:rPr>
                          <w:b/>
                          <w:bCs/>
                          <w:i w:val="0"/>
                          <w:iCs w:val="0"/>
                          <w:color w:val="0A2F41" w:themeColor="accent1" w:themeShade="80"/>
                          <w:sz w:val="16"/>
                          <w:szCs w:val="16"/>
                        </w:rPr>
                        <w:t xml:space="preserve"> </w:t>
                      </w:r>
                      <w:r w:rsidR="00D85592" w:rsidRPr="00D85592">
                        <w:rPr>
                          <w:b/>
                          <w:bCs/>
                          <w:i w:val="0"/>
                          <w:iCs w:val="0"/>
                          <w:sz w:val="16"/>
                          <w:szCs w:val="16"/>
                        </w:rPr>
                        <w:t>(A)</w:t>
                      </w:r>
                      <w:r w:rsidR="00D85592" w:rsidRPr="00D85592">
                        <w:rPr>
                          <w:i w:val="0"/>
                          <w:iCs w:val="0"/>
                          <w:sz w:val="16"/>
                          <w:szCs w:val="16"/>
                        </w:rPr>
                        <w:t xml:space="preserve"> Twenty seconds of raw iEEG from a hippocampal SOZ channel. Filtered signals in the HFO band (&gt;80 Hz) are shown below the raw trace. The corresponding STFT-based time-frequency map is displayed for the BIC recording, illustrating the spectral power distribution over time. High-frequency ripple activity is partially masked by background noise.</w:t>
                      </w:r>
                      <w:r w:rsidR="00D85592">
                        <w:rPr>
                          <w:i w:val="0"/>
                          <w:iCs w:val="0"/>
                          <w:sz w:val="16"/>
                          <w:szCs w:val="16"/>
                        </w:rPr>
                        <w:t xml:space="preserve"> </w:t>
                      </w:r>
                      <w:r w:rsidR="00D85592" w:rsidRPr="00D85592">
                        <w:rPr>
                          <w:b/>
                          <w:bCs/>
                          <w:i w:val="0"/>
                          <w:iCs w:val="0"/>
                          <w:sz w:val="16"/>
                          <w:szCs w:val="16"/>
                        </w:rPr>
                        <w:t>(B)</w:t>
                      </w:r>
                      <w:r w:rsidR="00D85592" w:rsidRPr="00D85592">
                        <w:rPr>
                          <w:i w:val="0"/>
                          <w:iCs w:val="0"/>
                          <w:sz w:val="16"/>
                          <w:szCs w:val="16"/>
                        </w:rPr>
                        <w:t xml:space="preserve"> Corresponding data from CA. The HFO-filtered signal highlights ripple and fast ripple activity, which is captured more clearly compared with BIC. The time-frequency map shows isolated FR events that are evident as bright localized blobs, demonstrating that CA better resolves fast ripple events in this segment.</w:t>
                      </w:r>
                    </w:p>
                  </w:txbxContent>
                </v:textbox>
                <w10:wrap type="square" anchorx="margin"/>
              </v:shape>
            </w:pict>
          </mc:Fallback>
        </mc:AlternateContent>
      </w:r>
    </w:p>
    <w:p w14:paraId="371F7F17" w14:textId="19FBD7AF" w:rsidR="003F6305" w:rsidRDefault="003F6305" w:rsidP="00AF1735">
      <w:pPr>
        <w:jc w:val="both"/>
        <w:rPr>
          <w:sz w:val="20"/>
          <w:szCs w:val="20"/>
        </w:rPr>
      </w:pPr>
      <w:r w:rsidRPr="00846005">
        <w:rPr>
          <w:noProof/>
        </w:rPr>
        <w:lastRenderedPageBreak/>
        <mc:AlternateContent>
          <mc:Choice Requires="wps">
            <w:drawing>
              <wp:anchor distT="0" distB="0" distL="114300" distR="114300" simplePos="0" relativeHeight="251684864" behindDoc="0" locked="0" layoutInCell="1" allowOverlap="1" wp14:anchorId="670C3C7C" wp14:editId="74EDCFD6">
                <wp:simplePos x="0" y="0"/>
                <wp:positionH relativeFrom="margin">
                  <wp:align>left</wp:align>
                </wp:positionH>
                <wp:positionV relativeFrom="paragraph">
                  <wp:posOffset>301</wp:posOffset>
                </wp:positionV>
                <wp:extent cx="5928995" cy="8538845"/>
                <wp:effectExtent l="0" t="0" r="0" b="0"/>
                <wp:wrapSquare wrapText="bothSides"/>
                <wp:docPr id="10885417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995" cy="8538882"/>
                        </a:xfrm>
                        <a:prstGeom prst="rect">
                          <a:avLst/>
                        </a:prstGeom>
                        <a:solidFill>
                          <a:srgbClr val="FFFFFF"/>
                        </a:solidFill>
                        <a:ln w="9525">
                          <a:noFill/>
                          <a:miter lim="800000"/>
                          <a:headEnd/>
                          <a:tailEnd/>
                        </a:ln>
                      </wps:spPr>
                      <wps:txbx>
                        <w:txbxContent>
                          <w:p w14:paraId="1280ADF0" w14:textId="77777777" w:rsidR="003F6305" w:rsidRPr="00D85592" w:rsidRDefault="003F6305" w:rsidP="003F6305">
                            <w:pPr>
                              <w:keepNext/>
                              <w:jc w:val="center"/>
                              <w:rPr>
                                <w:b/>
                                <w:bCs/>
                                <w:sz w:val="16"/>
                                <w:szCs w:val="16"/>
                              </w:rPr>
                            </w:pPr>
                            <w:r w:rsidRPr="00D85592">
                              <w:rPr>
                                <w:noProof/>
                              </w:rPr>
                              <w:drawing>
                                <wp:inline distT="0" distB="0" distL="0" distR="0" wp14:anchorId="7DC535A9" wp14:editId="5D977C22">
                                  <wp:extent cx="5687622" cy="5608192"/>
                                  <wp:effectExtent l="0" t="0" r="8890" b="0"/>
                                  <wp:docPr id="184991652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916523" name="Graphic 1"/>
                                          <pic:cNvPicPr/>
                                        </pic:nvPicPr>
                                        <pic:blipFill>
                                          <a:blip r:embed="rId9">
                                            <a:extLst>
                                              <a:ext uri="{28A0092B-C50C-407E-A947-70E740481C1C}">
                                                <a14:useLocalDpi xmlns:a14="http://schemas.microsoft.com/office/drawing/2010/main" val="0"/>
                                              </a:ext>
                                            </a:extLst>
                                          </a:blip>
                                          <a:stretch>
                                            <a:fillRect/>
                                          </a:stretch>
                                        </pic:blipFill>
                                        <pic:spPr>
                                          <a:xfrm>
                                            <a:off x="0" y="0"/>
                                            <a:ext cx="5687622" cy="5608192"/>
                                          </a:xfrm>
                                          <a:prstGeom prst="rect">
                                            <a:avLst/>
                                          </a:prstGeom>
                                        </pic:spPr>
                                      </pic:pic>
                                    </a:graphicData>
                                  </a:graphic>
                                </wp:inline>
                              </w:drawing>
                            </w:r>
                          </w:p>
                          <w:p w14:paraId="052E8DB3" w14:textId="56CD0602" w:rsidR="00D85592" w:rsidRPr="00B760CE" w:rsidRDefault="003F6305" w:rsidP="00B760CE">
                            <w:pPr>
                              <w:pStyle w:val="Caption"/>
                              <w:spacing w:after="0"/>
                              <w:jc w:val="both"/>
                              <w:rPr>
                                <w:b/>
                                <w:bCs/>
                                <w:i w:val="0"/>
                                <w:iCs w:val="0"/>
                                <w:color w:val="0A2F41" w:themeColor="accent1" w:themeShade="80"/>
                                <w:sz w:val="16"/>
                                <w:szCs w:val="16"/>
                              </w:rPr>
                            </w:pPr>
                            <w:r w:rsidRPr="00DA3A6D">
                              <w:rPr>
                                <w:b/>
                                <w:bCs/>
                                <w:i w:val="0"/>
                                <w:iCs w:val="0"/>
                                <w:color w:val="0A2F41" w:themeColor="accent1" w:themeShade="80"/>
                                <w:sz w:val="16"/>
                                <w:szCs w:val="16"/>
                              </w:rPr>
                              <w:t xml:space="preserve">Supplementary Fig. </w:t>
                            </w:r>
                            <w:r w:rsidR="00487F3E">
                              <w:rPr>
                                <w:b/>
                                <w:bCs/>
                                <w:i w:val="0"/>
                                <w:iCs w:val="0"/>
                                <w:color w:val="0A2F41" w:themeColor="accent1" w:themeShade="80"/>
                                <w:sz w:val="16"/>
                                <w:szCs w:val="16"/>
                              </w:rPr>
                              <w:t>S</w:t>
                            </w:r>
                            <w:r w:rsidR="00395723" w:rsidRPr="00DA3A6D">
                              <w:rPr>
                                <w:b/>
                                <w:bCs/>
                                <w:i w:val="0"/>
                                <w:iCs w:val="0"/>
                                <w:color w:val="0A2F41" w:themeColor="accent1" w:themeShade="80"/>
                                <w:sz w:val="16"/>
                                <w:szCs w:val="16"/>
                              </w:rPr>
                              <w:t>3</w:t>
                            </w:r>
                            <w:r w:rsidRPr="00DA3A6D">
                              <w:rPr>
                                <w:b/>
                                <w:bCs/>
                                <w:i w:val="0"/>
                                <w:iCs w:val="0"/>
                                <w:color w:val="0A2F41" w:themeColor="accent1" w:themeShade="80"/>
                                <w:sz w:val="16"/>
                                <w:szCs w:val="16"/>
                              </w:rPr>
                              <w:t xml:space="preserve"> </w:t>
                            </w:r>
                            <w:proofErr w:type="gramStart"/>
                            <w:r w:rsidR="00D85592" w:rsidRPr="00DA3A6D">
                              <w:rPr>
                                <w:b/>
                                <w:bCs/>
                                <w:i w:val="0"/>
                                <w:iCs w:val="0"/>
                                <w:color w:val="0A2F41" w:themeColor="accent1" w:themeShade="80"/>
                                <w:sz w:val="16"/>
                                <w:szCs w:val="16"/>
                              </w:rPr>
                              <w:t>Multi-channel</w:t>
                            </w:r>
                            <w:proofErr w:type="gramEnd"/>
                            <w:r w:rsidR="00D85592" w:rsidRPr="00DA3A6D">
                              <w:rPr>
                                <w:b/>
                                <w:bCs/>
                                <w:i w:val="0"/>
                                <w:iCs w:val="0"/>
                                <w:color w:val="0A2F41" w:themeColor="accent1" w:themeShade="80"/>
                                <w:sz w:val="16"/>
                                <w:szCs w:val="16"/>
                              </w:rPr>
                              <w:t xml:space="preserve"> iEEG HFO detection in BIC recordings.</w:t>
                            </w:r>
                            <w:r w:rsidR="00B760CE">
                              <w:rPr>
                                <w:b/>
                                <w:bCs/>
                                <w:i w:val="0"/>
                                <w:iCs w:val="0"/>
                                <w:color w:val="0A2F41" w:themeColor="accent1" w:themeShade="80"/>
                                <w:sz w:val="16"/>
                                <w:szCs w:val="16"/>
                              </w:rPr>
                              <w:t xml:space="preserve"> </w:t>
                            </w:r>
                            <w:r w:rsidR="00D85592" w:rsidRPr="00D85592">
                              <w:rPr>
                                <w:b/>
                                <w:bCs/>
                                <w:i w:val="0"/>
                                <w:iCs w:val="0"/>
                                <w:sz w:val="16"/>
                                <w:szCs w:val="16"/>
                              </w:rPr>
                              <w:t>(A)</w:t>
                            </w:r>
                            <w:r w:rsidR="00D85592" w:rsidRPr="00D85592">
                              <w:rPr>
                                <w:i w:val="0"/>
                                <w:iCs w:val="0"/>
                                <w:sz w:val="16"/>
                                <w:szCs w:val="16"/>
                              </w:rPr>
                              <w:t xml:space="preserve"> Fifteen seconds of multi-channel iEEG recorded with BIC. </w:t>
                            </w:r>
                            <w:r w:rsidR="00D85592" w:rsidRPr="00D85592">
                              <w:rPr>
                                <w:b/>
                                <w:bCs/>
                                <w:i w:val="0"/>
                                <w:iCs w:val="0"/>
                                <w:sz w:val="16"/>
                                <w:szCs w:val="16"/>
                              </w:rPr>
                              <w:t>(B)</w:t>
                            </w:r>
                            <w:r w:rsidR="00D85592" w:rsidRPr="00D85592">
                              <w:rPr>
                                <w:i w:val="0"/>
                                <w:iCs w:val="0"/>
                                <w:sz w:val="16"/>
                                <w:szCs w:val="16"/>
                              </w:rPr>
                              <w:t xml:space="preserve"> HFO-filtered data in the &gt;80 Hz band, with detected HFOs marked using red dashed green transparent boxes. Several HFO events were masked by background noise and were not captured in the BIC recording, illustrating the limitations in detecting fast events under high-noise conditions.</w:t>
                            </w:r>
                            <w:r w:rsidR="00D31C43">
                              <w:rPr>
                                <w:i w:val="0"/>
                                <w:iCs w:val="0"/>
                                <w:sz w:val="16"/>
                                <w:szCs w:val="16"/>
                              </w:rPr>
                              <w:t xml:space="preserve"> </w:t>
                            </w:r>
                            <w:r w:rsidR="009C3357" w:rsidRPr="009C3357">
                              <w:rPr>
                                <w:i w:val="0"/>
                                <w:iCs w:val="0"/>
                                <w:color w:val="0A2F41" w:themeColor="accent1" w:themeShade="80"/>
                                <w:sz w:val="16"/>
                                <w:szCs w:val="16"/>
                              </w:rPr>
                              <w:t>Red circles indicate HFO events detected in the clinical amplifier recordings but not captured in the corresponding BIC recordings, due to the elevated background noise floor and reduced sensitivity of the implantable system to low-amplitude fast events.</w:t>
                            </w:r>
                          </w:p>
                          <w:p w14:paraId="4D7AD1D2" w14:textId="65FED083" w:rsidR="003F6305" w:rsidRPr="00B87511" w:rsidRDefault="003F6305" w:rsidP="00D85592">
                            <w:pPr>
                              <w:pStyle w:val="Caption"/>
                              <w:spacing w:after="0"/>
                              <w:rPr>
                                <w:b/>
                                <w:bCs/>
                                <w:i w:val="0"/>
                                <w:iCs w:val="0"/>
                                <w:sz w:val="16"/>
                                <w:szCs w:val="16"/>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70C3C7C" id="_x0000_s1028" type="#_x0000_t202" style="position:absolute;left:0;text-align:left;margin-left:0;margin-top:0;width:466.85pt;height:672.35pt;z-index:2516848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" stroked="f">
                <v:textbox>
                  <w:txbxContent>
                    <w:p w14:paraId="1280ADF0" w14:textId="77777777" w:rsidR="003F6305" w:rsidRPr="00D85592" w:rsidRDefault="003F6305" w:rsidP="003F6305">
                      <w:pPr>
                        <w:keepNext/>
                        <w:jc w:val="center"/>
                        <w:rPr>
                          <w:b/>
                          <w:bCs/>
                          <w:sz w:val="16"/>
                          <w:szCs w:val="16"/>
                        </w:rPr>
                      </w:pPr>
                      <w:r w:rsidRPr="00D85592">
                        <w:rPr>
                          <w:noProof/>
                        </w:rPr>
                        <w:drawing>
                          <wp:inline distT="0" distB="0" distL="0" distR="0" wp14:anchorId="7DC535A9" wp14:editId="5D977C22">
                            <wp:extent cx="5687622" cy="5608192"/>
                            <wp:effectExtent l="0" t="0" r="8890" b="0"/>
                            <wp:docPr id="184991652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916523" name="Graphic 1"/>
                                    <pic:cNvPicPr/>
                                  </pic:nvPicPr>
                                  <pic:blipFill>
                                    <a:blip r:embed="rId9">
                                      <a:extLst>
                                        <a:ext uri="{28A0092B-C50C-407E-A947-70E740481C1C}">
                                          <a14:useLocalDpi xmlns:a14="http://schemas.microsoft.com/office/drawing/2010/main" val="0"/>
                                        </a:ext>
                                      </a:extLst>
                                    </a:blip>
                                    <a:stretch>
                                      <a:fillRect/>
                                    </a:stretch>
                                  </pic:blipFill>
                                  <pic:spPr>
                                    <a:xfrm>
                                      <a:off x="0" y="0"/>
                                      <a:ext cx="5687622" cy="5608192"/>
                                    </a:xfrm>
                                    <a:prstGeom prst="rect">
                                      <a:avLst/>
                                    </a:prstGeom>
                                  </pic:spPr>
                                </pic:pic>
                              </a:graphicData>
                            </a:graphic>
                          </wp:inline>
                        </w:drawing>
                      </w:r>
                    </w:p>
                    <w:p w14:paraId="052E8DB3" w14:textId="56CD0602" w:rsidR="00D85592" w:rsidRPr="00B760CE" w:rsidRDefault="003F6305" w:rsidP="00B760CE">
                      <w:pPr>
                        <w:pStyle w:val="Caption"/>
                        <w:spacing w:after="0"/>
                        <w:jc w:val="both"/>
                        <w:rPr>
                          <w:b/>
                          <w:bCs/>
                          <w:i w:val="0"/>
                          <w:iCs w:val="0"/>
                          <w:color w:val="0A2F41" w:themeColor="accent1" w:themeShade="80"/>
                          <w:sz w:val="16"/>
                          <w:szCs w:val="16"/>
                        </w:rPr>
                      </w:pPr>
                      <w:r w:rsidRPr="00DA3A6D">
                        <w:rPr>
                          <w:b/>
                          <w:bCs/>
                          <w:i w:val="0"/>
                          <w:iCs w:val="0"/>
                          <w:color w:val="0A2F41" w:themeColor="accent1" w:themeShade="80"/>
                          <w:sz w:val="16"/>
                          <w:szCs w:val="16"/>
                        </w:rPr>
                        <w:t xml:space="preserve">Supplementary Fig. </w:t>
                      </w:r>
                      <w:r w:rsidR="00487F3E">
                        <w:rPr>
                          <w:b/>
                          <w:bCs/>
                          <w:i w:val="0"/>
                          <w:iCs w:val="0"/>
                          <w:color w:val="0A2F41" w:themeColor="accent1" w:themeShade="80"/>
                          <w:sz w:val="16"/>
                          <w:szCs w:val="16"/>
                        </w:rPr>
                        <w:t>S</w:t>
                      </w:r>
                      <w:r w:rsidR="00395723" w:rsidRPr="00DA3A6D">
                        <w:rPr>
                          <w:b/>
                          <w:bCs/>
                          <w:i w:val="0"/>
                          <w:iCs w:val="0"/>
                          <w:color w:val="0A2F41" w:themeColor="accent1" w:themeShade="80"/>
                          <w:sz w:val="16"/>
                          <w:szCs w:val="16"/>
                        </w:rPr>
                        <w:t>3</w:t>
                      </w:r>
                      <w:r w:rsidRPr="00DA3A6D">
                        <w:rPr>
                          <w:b/>
                          <w:bCs/>
                          <w:i w:val="0"/>
                          <w:iCs w:val="0"/>
                          <w:color w:val="0A2F41" w:themeColor="accent1" w:themeShade="80"/>
                          <w:sz w:val="16"/>
                          <w:szCs w:val="16"/>
                        </w:rPr>
                        <w:t xml:space="preserve"> </w:t>
                      </w:r>
                      <w:proofErr w:type="gramStart"/>
                      <w:r w:rsidR="00D85592" w:rsidRPr="00DA3A6D">
                        <w:rPr>
                          <w:b/>
                          <w:bCs/>
                          <w:i w:val="0"/>
                          <w:iCs w:val="0"/>
                          <w:color w:val="0A2F41" w:themeColor="accent1" w:themeShade="80"/>
                          <w:sz w:val="16"/>
                          <w:szCs w:val="16"/>
                        </w:rPr>
                        <w:t>Multi-channel</w:t>
                      </w:r>
                      <w:proofErr w:type="gramEnd"/>
                      <w:r w:rsidR="00D85592" w:rsidRPr="00DA3A6D">
                        <w:rPr>
                          <w:b/>
                          <w:bCs/>
                          <w:i w:val="0"/>
                          <w:iCs w:val="0"/>
                          <w:color w:val="0A2F41" w:themeColor="accent1" w:themeShade="80"/>
                          <w:sz w:val="16"/>
                          <w:szCs w:val="16"/>
                        </w:rPr>
                        <w:t xml:space="preserve"> iEEG HFO detection in BIC recordings.</w:t>
                      </w:r>
                      <w:r w:rsidR="00B760CE">
                        <w:rPr>
                          <w:b/>
                          <w:bCs/>
                          <w:i w:val="0"/>
                          <w:iCs w:val="0"/>
                          <w:color w:val="0A2F41" w:themeColor="accent1" w:themeShade="80"/>
                          <w:sz w:val="16"/>
                          <w:szCs w:val="16"/>
                        </w:rPr>
                        <w:t xml:space="preserve"> </w:t>
                      </w:r>
                      <w:r w:rsidR="00D85592" w:rsidRPr="00D85592">
                        <w:rPr>
                          <w:b/>
                          <w:bCs/>
                          <w:i w:val="0"/>
                          <w:iCs w:val="0"/>
                          <w:sz w:val="16"/>
                          <w:szCs w:val="16"/>
                        </w:rPr>
                        <w:t>(A)</w:t>
                      </w:r>
                      <w:r w:rsidR="00D85592" w:rsidRPr="00D85592">
                        <w:rPr>
                          <w:i w:val="0"/>
                          <w:iCs w:val="0"/>
                          <w:sz w:val="16"/>
                          <w:szCs w:val="16"/>
                        </w:rPr>
                        <w:t xml:space="preserve"> Fifteen seconds of multi-channel iEEG recorded with BIC. </w:t>
                      </w:r>
                      <w:r w:rsidR="00D85592" w:rsidRPr="00D85592">
                        <w:rPr>
                          <w:b/>
                          <w:bCs/>
                          <w:i w:val="0"/>
                          <w:iCs w:val="0"/>
                          <w:sz w:val="16"/>
                          <w:szCs w:val="16"/>
                        </w:rPr>
                        <w:t>(B)</w:t>
                      </w:r>
                      <w:r w:rsidR="00D85592" w:rsidRPr="00D85592">
                        <w:rPr>
                          <w:i w:val="0"/>
                          <w:iCs w:val="0"/>
                          <w:sz w:val="16"/>
                          <w:szCs w:val="16"/>
                        </w:rPr>
                        <w:t xml:space="preserve"> HFO-filtered data in the &gt;80 Hz band, with detected HFOs marked using red dashed green transparent boxes. Several HFO events were masked by background noise and were not captured in the BIC recording, illustrating the limitations in detecting fast events under high-noise conditions.</w:t>
                      </w:r>
                      <w:r w:rsidR="00D31C43">
                        <w:rPr>
                          <w:i w:val="0"/>
                          <w:iCs w:val="0"/>
                          <w:sz w:val="16"/>
                          <w:szCs w:val="16"/>
                        </w:rPr>
                        <w:t xml:space="preserve"> </w:t>
                      </w:r>
                      <w:r w:rsidR="009C3357" w:rsidRPr="009C3357">
                        <w:rPr>
                          <w:i w:val="0"/>
                          <w:iCs w:val="0"/>
                          <w:color w:val="0A2F41" w:themeColor="accent1" w:themeShade="80"/>
                          <w:sz w:val="16"/>
                          <w:szCs w:val="16"/>
                        </w:rPr>
                        <w:t>Red circles indicate HFO events detected in the clinical amplifier recordings but not captured in the corresponding BIC recordings, due to the elevated background noise floor and reduced sensitivity of the implantable system to low-amplitude fast events.</w:t>
                      </w:r>
                    </w:p>
                    <w:p w14:paraId="4D7AD1D2" w14:textId="65FED083" w:rsidR="003F6305" w:rsidRPr="00B87511" w:rsidRDefault="003F6305" w:rsidP="00D85592">
                      <w:pPr>
                        <w:pStyle w:val="Caption"/>
                        <w:spacing w:after="0"/>
                        <w:rPr>
                          <w:b/>
                          <w:bCs/>
                          <w:i w:val="0"/>
                          <w:iCs w:val="0"/>
                          <w:sz w:val="16"/>
                          <w:szCs w:val="16"/>
                        </w:rPr>
                      </w:pPr>
                    </w:p>
                  </w:txbxContent>
                </v:textbox>
                <w10:wrap type="square" anchorx="margin"/>
              </v:shape>
            </w:pict>
          </mc:Fallback>
        </mc:AlternateContent>
      </w:r>
    </w:p>
    <w:p w14:paraId="48DD2D04" w14:textId="5FA6749D" w:rsidR="00D21406" w:rsidRDefault="00D21406" w:rsidP="00AF1735">
      <w:pPr>
        <w:jc w:val="both"/>
        <w:rPr>
          <w:sz w:val="20"/>
          <w:szCs w:val="20"/>
        </w:rPr>
      </w:pPr>
      <w:r w:rsidRPr="00846005">
        <w:rPr>
          <w:noProof/>
        </w:rPr>
        <w:lastRenderedPageBreak/>
        <mc:AlternateContent>
          <mc:Choice Requires="wps">
            <w:drawing>
              <wp:anchor distT="0" distB="0" distL="114300" distR="114300" simplePos="0" relativeHeight="251686912" behindDoc="0" locked="0" layoutInCell="1" allowOverlap="1" wp14:anchorId="44F95A2F" wp14:editId="7AFD19A0">
                <wp:simplePos x="0" y="0"/>
                <wp:positionH relativeFrom="margin">
                  <wp:posOffset>-27305</wp:posOffset>
                </wp:positionH>
                <wp:positionV relativeFrom="paragraph">
                  <wp:posOffset>0</wp:posOffset>
                </wp:positionV>
                <wp:extent cx="5928995" cy="8229600"/>
                <wp:effectExtent l="0" t="0" r="0" b="0"/>
                <wp:wrapSquare wrapText="bothSides"/>
                <wp:docPr id="279002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995" cy="8229600"/>
                        </a:xfrm>
                        <a:prstGeom prst="rect">
                          <a:avLst/>
                        </a:prstGeom>
                        <a:solidFill>
                          <a:srgbClr val="FFFFFF"/>
                        </a:solidFill>
                        <a:ln w="9525">
                          <a:noFill/>
                          <a:miter lim="800000"/>
                          <a:headEnd/>
                          <a:tailEnd/>
                        </a:ln>
                      </wps:spPr>
                      <wps:txbx>
                        <w:txbxContent>
                          <w:p w14:paraId="1C5F1FF1" w14:textId="77777777" w:rsidR="00D21406" w:rsidRPr="00B87511" w:rsidRDefault="00D21406" w:rsidP="00D21406">
                            <w:pPr>
                              <w:keepNext/>
                              <w:jc w:val="center"/>
                              <w:rPr>
                                <w:b/>
                                <w:bCs/>
                                <w:sz w:val="16"/>
                                <w:szCs w:val="16"/>
                              </w:rPr>
                            </w:pPr>
                            <w:r>
                              <w:rPr>
                                <w:noProof/>
                              </w:rPr>
                              <w:drawing>
                                <wp:inline distT="0" distB="0" distL="0" distR="0" wp14:anchorId="357733A5" wp14:editId="2AA781C2">
                                  <wp:extent cx="5735728" cy="5728447"/>
                                  <wp:effectExtent l="0" t="0" r="0" b="5715"/>
                                  <wp:docPr id="2920302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03029" name="Graphic 1"/>
                                          <pic:cNvPicPr/>
                                        </pic:nvPicPr>
                                        <pic:blipFill>
                                          <a:blip r:embed="rId10">
                                            <a:extLst>
                                              <a:ext uri="{96DAC541-7B7A-43D3-8B79-37D633B846F1}">
                                                <asvg:svgBlip xmlns:asvg="http://schemas.microsoft.com/office/drawing/2016/SVG/main" r:embed="rId11"/>
                                              </a:ext>
                                            </a:extLst>
                                          </a:blip>
                                          <a:stretch>
                                            <a:fillRect/>
                                          </a:stretch>
                                        </pic:blipFill>
                                        <pic:spPr>
                                          <a:xfrm>
                                            <a:off x="0" y="0"/>
                                            <a:ext cx="5747934" cy="5740637"/>
                                          </a:xfrm>
                                          <a:prstGeom prst="rect">
                                            <a:avLst/>
                                          </a:prstGeom>
                                        </pic:spPr>
                                      </pic:pic>
                                    </a:graphicData>
                                  </a:graphic>
                                </wp:inline>
                              </w:drawing>
                            </w:r>
                          </w:p>
                          <w:p w14:paraId="4377A6C8" w14:textId="2AF8EB24" w:rsidR="00D85592" w:rsidRPr="00B760CE" w:rsidRDefault="00D21406" w:rsidP="00B760CE">
                            <w:pPr>
                              <w:pStyle w:val="Caption"/>
                              <w:spacing w:after="0"/>
                              <w:jc w:val="both"/>
                              <w:rPr>
                                <w:b/>
                                <w:bCs/>
                                <w:i w:val="0"/>
                                <w:iCs w:val="0"/>
                                <w:color w:val="0A2F41" w:themeColor="accent1" w:themeShade="80"/>
                                <w:sz w:val="16"/>
                                <w:szCs w:val="16"/>
                              </w:rPr>
                            </w:pPr>
                            <w:r w:rsidRPr="00DA3A6D">
                              <w:rPr>
                                <w:b/>
                                <w:bCs/>
                                <w:i w:val="0"/>
                                <w:iCs w:val="0"/>
                                <w:color w:val="0A2F41" w:themeColor="accent1" w:themeShade="80"/>
                                <w:sz w:val="16"/>
                                <w:szCs w:val="16"/>
                              </w:rPr>
                              <w:t xml:space="preserve">Supplementary Fig. </w:t>
                            </w:r>
                            <w:r w:rsidR="00487F3E">
                              <w:rPr>
                                <w:b/>
                                <w:bCs/>
                                <w:i w:val="0"/>
                                <w:iCs w:val="0"/>
                                <w:color w:val="0A2F41" w:themeColor="accent1" w:themeShade="80"/>
                                <w:sz w:val="16"/>
                                <w:szCs w:val="16"/>
                              </w:rPr>
                              <w:t>S</w:t>
                            </w:r>
                            <w:r w:rsidR="00395723" w:rsidRPr="00DA3A6D">
                              <w:rPr>
                                <w:b/>
                                <w:bCs/>
                                <w:i w:val="0"/>
                                <w:iCs w:val="0"/>
                                <w:color w:val="0A2F41" w:themeColor="accent1" w:themeShade="80"/>
                                <w:sz w:val="16"/>
                                <w:szCs w:val="16"/>
                              </w:rPr>
                              <w:t>4</w:t>
                            </w:r>
                            <w:r w:rsidRPr="00DA3A6D">
                              <w:rPr>
                                <w:b/>
                                <w:bCs/>
                                <w:i w:val="0"/>
                                <w:iCs w:val="0"/>
                                <w:color w:val="0A2F41" w:themeColor="accent1" w:themeShade="80"/>
                                <w:sz w:val="16"/>
                                <w:szCs w:val="16"/>
                              </w:rPr>
                              <w:t xml:space="preserve"> </w:t>
                            </w:r>
                            <w:proofErr w:type="gramStart"/>
                            <w:r w:rsidR="00DC7A5F">
                              <w:rPr>
                                <w:b/>
                                <w:bCs/>
                                <w:i w:val="0"/>
                                <w:iCs w:val="0"/>
                                <w:color w:val="0A2F41" w:themeColor="accent1" w:themeShade="80"/>
                                <w:sz w:val="16"/>
                                <w:szCs w:val="16"/>
                              </w:rPr>
                              <w:t>M</w:t>
                            </w:r>
                            <w:r w:rsidR="00A70F98" w:rsidRPr="00DA3A6D">
                              <w:rPr>
                                <w:b/>
                                <w:bCs/>
                                <w:i w:val="0"/>
                                <w:iCs w:val="0"/>
                                <w:color w:val="0A2F41" w:themeColor="accent1" w:themeShade="80"/>
                                <w:sz w:val="16"/>
                                <w:szCs w:val="16"/>
                              </w:rPr>
                              <w:t>ulti-channel</w:t>
                            </w:r>
                            <w:proofErr w:type="gramEnd"/>
                            <w:r w:rsidR="00D85592" w:rsidRPr="00DA3A6D">
                              <w:rPr>
                                <w:b/>
                                <w:bCs/>
                                <w:i w:val="0"/>
                                <w:iCs w:val="0"/>
                                <w:color w:val="0A2F41" w:themeColor="accent1" w:themeShade="80"/>
                                <w:sz w:val="16"/>
                                <w:szCs w:val="16"/>
                              </w:rPr>
                              <w:t xml:space="preserve"> iEEG HFO detection in CA recordings.</w:t>
                            </w:r>
                            <w:r w:rsidR="00B760CE">
                              <w:rPr>
                                <w:b/>
                                <w:bCs/>
                                <w:i w:val="0"/>
                                <w:iCs w:val="0"/>
                                <w:color w:val="0A2F41" w:themeColor="accent1" w:themeShade="80"/>
                                <w:sz w:val="16"/>
                                <w:szCs w:val="16"/>
                              </w:rPr>
                              <w:t xml:space="preserve"> </w:t>
                            </w:r>
                            <w:r w:rsidR="00D85592" w:rsidRPr="00D85592">
                              <w:rPr>
                                <w:b/>
                                <w:bCs/>
                                <w:i w:val="0"/>
                                <w:iCs w:val="0"/>
                                <w:sz w:val="16"/>
                                <w:szCs w:val="16"/>
                              </w:rPr>
                              <w:t>(A)</w:t>
                            </w:r>
                            <w:r w:rsidR="00D85592" w:rsidRPr="00D85592">
                              <w:rPr>
                                <w:i w:val="0"/>
                                <w:iCs w:val="0"/>
                                <w:sz w:val="16"/>
                                <w:szCs w:val="16"/>
                              </w:rPr>
                              <w:t xml:space="preserve"> Fifteen seconds of multi-channel iEEG recorded with CA. </w:t>
                            </w:r>
                            <w:r w:rsidR="00D85592" w:rsidRPr="00D85592">
                              <w:rPr>
                                <w:b/>
                                <w:bCs/>
                                <w:i w:val="0"/>
                                <w:iCs w:val="0"/>
                                <w:sz w:val="16"/>
                                <w:szCs w:val="16"/>
                              </w:rPr>
                              <w:t>(B)</w:t>
                            </w:r>
                            <w:r w:rsidR="00D85592" w:rsidRPr="00D85592">
                              <w:rPr>
                                <w:i w:val="0"/>
                                <w:iCs w:val="0"/>
                                <w:sz w:val="16"/>
                                <w:szCs w:val="16"/>
                              </w:rPr>
                              <w:t xml:space="preserve"> HFO-filtered data in the &gt;80 Hz band, with detected HFOs marked using red dashed purple transparent boxes. HFO events are clearly captured in the filtered data, demonstrating effective detection across channels with minimal masking from background activity.</w:t>
                            </w:r>
                          </w:p>
                          <w:p w14:paraId="5ED1E626" w14:textId="60462E5B" w:rsidR="00D21406" w:rsidRPr="00B87511" w:rsidRDefault="00D21406" w:rsidP="00D85592">
                            <w:pPr>
                              <w:pStyle w:val="Caption"/>
                              <w:spacing w:after="0"/>
                              <w:rPr>
                                <w:b/>
                                <w:bCs/>
                                <w:i w:val="0"/>
                                <w:iCs w:val="0"/>
                                <w:sz w:val="16"/>
                                <w:szCs w:val="16"/>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44F95A2F" id="_x0000_s1029" type="#_x0000_t202" style="position:absolute;left:0;text-align:left;margin-left:-2.15pt;margin-top:0;width:466.85pt;height:9in;z-index:2516869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" stroked="f">
                <v:textbox>
                  <w:txbxContent>
                    <w:p w14:paraId="1C5F1FF1" w14:textId="77777777" w:rsidR="00D21406" w:rsidRPr="00B87511" w:rsidRDefault="00D21406" w:rsidP="00D21406">
                      <w:pPr>
                        <w:keepNext/>
                        <w:jc w:val="center"/>
                        <w:rPr>
                          <w:b/>
                          <w:bCs/>
                          <w:sz w:val="16"/>
                          <w:szCs w:val="16"/>
                        </w:rPr>
                      </w:pPr>
                      <w:r>
                        <w:rPr>
                          <w:noProof/>
                        </w:rPr>
                        <w:drawing>
                          <wp:inline distT="0" distB="0" distL="0" distR="0" wp14:anchorId="357733A5" wp14:editId="2AA781C2">
                            <wp:extent cx="5735728" cy="5728447"/>
                            <wp:effectExtent l="0" t="0" r="0" b="5715"/>
                            <wp:docPr id="2920302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03029" name="Graphic 1"/>
                                    <pic:cNvPicPr/>
                                  </pic:nvPicPr>
                                  <pic:blipFill>
                                    <a:blip r:embed="rId10">
                                      <a:extLst>
                                        <a:ext uri="{96DAC541-7B7A-43D3-8B79-37D633B846F1}">
                                          <asvg:svgBlip xmlns:asvg="http://schemas.microsoft.com/office/drawing/2016/SVG/main" r:embed="rId11"/>
                                        </a:ext>
                                      </a:extLst>
                                    </a:blip>
                                    <a:stretch>
                                      <a:fillRect/>
                                    </a:stretch>
                                  </pic:blipFill>
                                  <pic:spPr>
                                    <a:xfrm>
                                      <a:off x="0" y="0"/>
                                      <a:ext cx="5747934" cy="5740637"/>
                                    </a:xfrm>
                                    <a:prstGeom prst="rect">
                                      <a:avLst/>
                                    </a:prstGeom>
                                  </pic:spPr>
                                </pic:pic>
                              </a:graphicData>
                            </a:graphic>
                          </wp:inline>
                        </w:drawing>
                      </w:r>
                    </w:p>
                    <w:p w14:paraId="4377A6C8" w14:textId="2AF8EB24" w:rsidR="00D85592" w:rsidRPr="00B760CE" w:rsidRDefault="00D21406" w:rsidP="00B760CE">
                      <w:pPr>
                        <w:pStyle w:val="Caption"/>
                        <w:spacing w:after="0"/>
                        <w:jc w:val="both"/>
                        <w:rPr>
                          <w:b/>
                          <w:bCs/>
                          <w:i w:val="0"/>
                          <w:iCs w:val="0"/>
                          <w:color w:val="0A2F41" w:themeColor="accent1" w:themeShade="80"/>
                          <w:sz w:val="16"/>
                          <w:szCs w:val="16"/>
                        </w:rPr>
                      </w:pPr>
                      <w:r w:rsidRPr="00DA3A6D">
                        <w:rPr>
                          <w:b/>
                          <w:bCs/>
                          <w:i w:val="0"/>
                          <w:iCs w:val="0"/>
                          <w:color w:val="0A2F41" w:themeColor="accent1" w:themeShade="80"/>
                          <w:sz w:val="16"/>
                          <w:szCs w:val="16"/>
                        </w:rPr>
                        <w:t xml:space="preserve">Supplementary Fig. </w:t>
                      </w:r>
                      <w:r w:rsidR="00487F3E">
                        <w:rPr>
                          <w:b/>
                          <w:bCs/>
                          <w:i w:val="0"/>
                          <w:iCs w:val="0"/>
                          <w:color w:val="0A2F41" w:themeColor="accent1" w:themeShade="80"/>
                          <w:sz w:val="16"/>
                          <w:szCs w:val="16"/>
                        </w:rPr>
                        <w:t>S</w:t>
                      </w:r>
                      <w:r w:rsidR="00395723" w:rsidRPr="00DA3A6D">
                        <w:rPr>
                          <w:b/>
                          <w:bCs/>
                          <w:i w:val="0"/>
                          <w:iCs w:val="0"/>
                          <w:color w:val="0A2F41" w:themeColor="accent1" w:themeShade="80"/>
                          <w:sz w:val="16"/>
                          <w:szCs w:val="16"/>
                        </w:rPr>
                        <w:t>4</w:t>
                      </w:r>
                      <w:r w:rsidRPr="00DA3A6D">
                        <w:rPr>
                          <w:b/>
                          <w:bCs/>
                          <w:i w:val="0"/>
                          <w:iCs w:val="0"/>
                          <w:color w:val="0A2F41" w:themeColor="accent1" w:themeShade="80"/>
                          <w:sz w:val="16"/>
                          <w:szCs w:val="16"/>
                        </w:rPr>
                        <w:t xml:space="preserve"> </w:t>
                      </w:r>
                      <w:proofErr w:type="gramStart"/>
                      <w:r w:rsidR="00DC7A5F">
                        <w:rPr>
                          <w:b/>
                          <w:bCs/>
                          <w:i w:val="0"/>
                          <w:iCs w:val="0"/>
                          <w:color w:val="0A2F41" w:themeColor="accent1" w:themeShade="80"/>
                          <w:sz w:val="16"/>
                          <w:szCs w:val="16"/>
                        </w:rPr>
                        <w:t>M</w:t>
                      </w:r>
                      <w:r w:rsidR="00A70F98" w:rsidRPr="00DA3A6D">
                        <w:rPr>
                          <w:b/>
                          <w:bCs/>
                          <w:i w:val="0"/>
                          <w:iCs w:val="0"/>
                          <w:color w:val="0A2F41" w:themeColor="accent1" w:themeShade="80"/>
                          <w:sz w:val="16"/>
                          <w:szCs w:val="16"/>
                        </w:rPr>
                        <w:t>ulti-channel</w:t>
                      </w:r>
                      <w:proofErr w:type="gramEnd"/>
                      <w:r w:rsidR="00D85592" w:rsidRPr="00DA3A6D">
                        <w:rPr>
                          <w:b/>
                          <w:bCs/>
                          <w:i w:val="0"/>
                          <w:iCs w:val="0"/>
                          <w:color w:val="0A2F41" w:themeColor="accent1" w:themeShade="80"/>
                          <w:sz w:val="16"/>
                          <w:szCs w:val="16"/>
                        </w:rPr>
                        <w:t xml:space="preserve"> iEEG HFO detection in CA recordings.</w:t>
                      </w:r>
                      <w:r w:rsidR="00B760CE">
                        <w:rPr>
                          <w:b/>
                          <w:bCs/>
                          <w:i w:val="0"/>
                          <w:iCs w:val="0"/>
                          <w:color w:val="0A2F41" w:themeColor="accent1" w:themeShade="80"/>
                          <w:sz w:val="16"/>
                          <w:szCs w:val="16"/>
                        </w:rPr>
                        <w:t xml:space="preserve"> </w:t>
                      </w:r>
                      <w:r w:rsidR="00D85592" w:rsidRPr="00D85592">
                        <w:rPr>
                          <w:b/>
                          <w:bCs/>
                          <w:i w:val="0"/>
                          <w:iCs w:val="0"/>
                          <w:sz w:val="16"/>
                          <w:szCs w:val="16"/>
                        </w:rPr>
                        <w:t>(A)</w:t>
                      </w:r>
                      <w:r w:rsidR="00D85592" w:rsidRPr="00D85592">
                        <w:rPr>
                          <w:i w:val="0"/>
                          <w:iCs w:val="0"/>
                          <w:sz w:val="16"/>
                          <w:szCs w:val="16"/>
                        </w:rPr>
                        <w:t xml:space="preserve"> Fifteen seconds of multi-channel iEEG recorded with CA. </w:t>
                      </w:r>
                      <w:r w:rsidR="00D85592" w:rsidRPr="00D85592">
                        <w:rPr>
                          <w:b/>
                          <w:bCs/>
                          <w:i w:val="0"/>
                          <w:iCs w:val="0"/>
                          <w:sz w:val="16"/>
                          <w:szCs w:val="16"/>
                        </w:rPr>
                        <w:t>(B)</w:t>
                      </w:r>
                      <w:r w:rsidR="00D85592" w:rsidRPr="00D85592">
                        <w:rPr>
                          <w:i w:val="0"/>
                          <w:iCs w:val="0"/>
                          <w:sz w:val="16"/>
                          <w:szCs w:val="16"/>
                        </w:rPr>
                        <w:t xml:space="preserve"> HFO-filtered data in the &gt;80 Hz band, with detected HFOs marked using red dashed purple transparent boxes. HFO events are clearly captured in the filtered data, demonstrating effective detection across channels with minimal masking from background activity.</w:t>
                      </w:r>
                    </w:p>
                    <w:p w14:paraId="5ED1E626" w14:textId="60462E5B" w:rsidR="00D21406" w:rsidRPr="00B87511" w:rsidRDefault="00D21406" w:rsidP="00D85592">
                      <w:pPr>
                        <w:pStyle w:val="Caption"/>
                        <w:spacing w:after="0"/>
                        <w:rPr>
                          <w:b/>
                          <w:bCs/>
                          <w:i w:val="0"/>
                          <w:iCs w:val="0"/>
                          <w:sz w:val="16"/>
                          <w:szCs w:val="16"/>
                        </w:rPr>
                      </w:pPr>
                    </w:p>
                  </w:txbxContent>
                </v:textbox>
                <w10:wrap type="square" anchorx="margin"/>
              </v:shape>
            </w:pict>
          </mc:Fallback>
        </mc:AlternateContent>
      </w:r>
    </w:p>
    <w:p w14:paraId="16610756" w14:textId="2AA08542" w:rsidR="00D21406" w:rsidRDefault="00F10CD0" w:rsidP="00F10CD0">
      <w:pPr>
        <w:jc w:val="both"/>
        <w:rPr>
          <w:sz w:val="20"/>
          <w:szCs w:val="20"/>
        </w:rPr>
      </w:pPr>
      <w:r w:rsidRPr="00846005">
        <w:rPr>
          <w:noProof/>
        </w:rPr>
        <w:lastRenderedPageBreak/>
        <mc:AlternateContent>
          <mc:Choice Requires="wps">
            <w:drawing>
              <wp:anchor distT="0" distB="0" distL="114300" distR="114300" simplePos="0" relativeHeight="251693056" behindDoc="0" locked="0" layoutInCell="1" allowOverlap="1" wp14:anchorId="68E4A920" wp14:editId="2E105C2A">
                <wp:simplePos x="0" y="0"/>
                <wp:positionH relativeFrom="margin">
                  <wp:align>left</wp:align>
                </wp:positionH>
                <wp:positionV relativeFrom="paragraph">
                  <wp:posOffset>12065</wp:posOffset>
                </wp:positionV>
                <wp:extent cx="5928995" cy="8214360"/>
                <wp:effectExtent l="0" t="0" r="0" b="0"/>
                <wp:wrapSquare wrapText="bothSides"/>
                <wp:docPr id="2124654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995" cy="8214360"/>
                        </a:xfrm>
                        <a:prstGeom prst="rect">
                          <a:avLst/>
                        </a:prstGeom>
                        <a:solidFill>
                          <a:srgbClr val="FFFFFF"/>
                        </a:solidFill>
                        <a:ln w="9525">
                          <a:noFill/>
                          <a:miter lim="800000"/>
                          <a:headEnd/>
                          <a:tailEnd/>
                        </a:ln>
                      </wps:spPr>
                      <wps:txbx>
                        <w:txbxContent>
                          <w:p w14:paraId="04AE5B3D" w14:textId="77777777" w:rsidR="00AA4C61" w:rsidRPr="00B87511" w:rsidRDefault="00AA4C61" w:rsidP="00AA4C61">
                            <w:pPr>
                              <w:keepNext/>
                              <w:jc w:val="center"/>
                              <w:rPr>
                                <w:b/>
                                <w:bCs/>
                                <w:sz w:val="16"/>
                                <w:szCs w:val="16"/>
                              </w:rPr>
                            </w:pPr>
                            <w:r>
                              <w:rPr>
                                <w:noProof/>
                              </w:rPr>
                              <w:drawing>
                                <wp:inline distT="0" distB="0" distL="0" distR="0" wp14:anchorId="3E6619EA" wp14:editId="2AB1C689">
                                  <wp:extent cx="5737224" cy="3359973"/>
                                  <wp:effectExtent l="0" t="0" r="0" b="0"/>
                                  <wp:docPr id="6770200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020071" name="Graphic 1"/>
                                          <pic:cNvPicPr/>
                                        </pic:nvPicPr>
                                        <pic:blipFill>
                                          <a:blip r:embed="rId12">
                                            <a:extLst>
                                              <a:ext uri="{28A0092B-C50C-407E-A947-70E740481C1C}">
                                                <a14:useLocalDpi xmlns:a14="http://schemas.microsoft.com/office/drawing/2010/main" val="0"/>
                                              </a:ext>
                                            </a:extLst>
                                          </a:blip>
                                          <a:stretch>
                                            <a:fillRect/>
                                          </a:stretch>
                                        </pic:blipFill>
                                        <pic:spPr>
                                          <a:xfrm>
                                            <a:off x="0" y="0"/>
                                            <a:ext cx="5737224" cy="3359973"/>
                                          </a:xfrm>
                                          <a:prstGeom prst="rect">
                                            <a:avLst/>
                                          </a:prstGeom>
                                        </pic:spPr>
                                      </pic:pic>
                                    </a:graphicData>
                                  </a:graphic>
                                </wp:inline>
                              </w:drawing>
                            </w:r>
                          </w:p>
                          <w:p w14:paraId="7A1C0904" w14:textId="64E602F4" w:rsidR="00AA4C61" w:rsidRPr="00B760CE" w:rsidRDefault="00AA4C61" w:rsidP="00B760CE">
                            <w:pPr>
                              <w:pStyle w:val="Caption"/>
                              <w:spacing w:after="0"/>
                              <w:jc w:val="both"/>
                              <w:rPr>
                                <w:b/>
                                <w:bCs/>
                                <w:i w:val="0"/>
                                <w:iCs w:val="0"/>
                                <w:color w:val="0A2F41" w:themeColor="accent1" w:themeShade="80"/>
                                <w:sz w:val="16"/>
                                <w:szCs w:val="16"/>
                              </w:rPr>
                            </w:pPr>
                            <w:r w:rsidRPr="00DA3A6D">
                              <w:rPr>
                                <w:b/>
                                <w:bCs/>
                                <w:i w:val="0"/>
                                <w:iCs w:val="0"/>
                                <w:color w:val="0A2F41" w:themeColor="accent1" w:themeShade="80"/>
                                <w:sz w:val="16"/>
                                <w:szCs w:val="16"/>
                              </w:rPr>
                              <w:t xml:space="preserve">Supplementary Fig. </w:t>
                            </w:r>
                            <w:r w:rsidR="00487F3E">
                              <w:rPr>
                                <w:b/>
                                <w:bCs/>
                                <w:i w:val="0"/>
                                <w:iCs w:val="0"/>
                                <w:color w:val="0A2F41" w:themeColor="accent1" w:themeShade="80"/>
                                <w:sz w:val="16"/>
                                <w:szCs w:val="16"/>
                              </w:rPr>
                              <w:t>S</w:t>
                            </w:r>
                            <w:r w:rsidR="00395723" w:rsidRPr="00DA3A6D">
                              <w:rPr>
                                <w:b/>
                                <w:bCs/>
                                <w:i w:val="0"/>
                                <w:iCs w:val="0"/>
                                <w:color w:val="0A2F41" w:themeColor="accent1" w:themeShade="80"/>
                                <w:sz w:val="16"/>
                                <w:szCs w:val="16"/>
                              </w:rPr>
                              <w:t>5</w:t>
                            </w:r>
                            <w:r w:rsidRPr="00DA3A6D">
                              <w:rPr>
                                <w:b/>
                                <w:bCs/>
                                <w:i w:val="0"/>
                                <w:iCs w:val="0"/>
                                <w:color w:val="0A2F41" w:themeColor="accent1" w:themeShade="80"/>
                                <w:sz w:val="16"/>
                                <w:szCs w:val="16"/>
                              </w:rPr>
                              <w:t xml:space="preserve"> HFO rates and detection performance across anatomical regions.</w:t>
                            </w:r>
                            <w:r w:rsidR="00B760CE">
                              <w:rPr>
                                <w:b/>
                                <w:bCs/>
                                <w:i w:val="0"/>
                                <w:iCs w:val="0"/>
                                <w:color w:val="0A2F41" w:themeColor="accent1" w:themeShade="80"/>
                                <w:sz w:val="16"/>
                                <w:szCs w:val="16"/>
                              </w:rPr>
                              <w:t xml:space="preserve"> </w:t>
                            </w:r>
                            <w:r w:rsidRPr="00242D5E">
                              <w:rPr>
                                <w:b/>
                                <w:bCs/>
                                <w:i w:val="0"/>
                                <w:iCs w:val="0"/>
                                <w:sz w:val="16"/>
                                <w:szCs w:val="16"/>
                              </w:rPr>
                              <w:t>(A)</w:t>
                            </w:r>
                            <w:r w:rsidRPr="00242D5E">
                              <w:rPr>
                                <w:i w:val="0"/>
                                <w:iCs w:val="0"/>
                                <w:sz w:val="16"/>
                                <w:szCs w:val="16"/>
                              </w:rPr>
                              <w:t xml:space="preserve"> Boxplots of normalized HFO rates across SOZ, EP, and oSOZ contacts for initial HFOs, rHFOs, and eliminated pHFOs, shown separately for BIC and CA recordings. Rates were normalized by the total number of channels within each anatomical category, allowing direct comparison across recording systems.</w:t>
                            </w:r>
                            <w:r>
                              <w:rPr>
                                <w:i w:val="0"/>
                                <w:iCs w:val="0"/>
                                <w:sz w:val="16"/>
                                <w:szCs w:val="16"/>
                              </w:rPr>
                              <w:t xml:space="preserve"> </w:t>
                            </w:r>
                            <w:r w:rsidRPr="00242D5E">
                              <w:rPr>
                                <w:b/>
                                <w:bCs/>
                                <w:i w:val="0"/>
                                <w:iCs w:val="0"/>
                                <w:sz w:val="16"/>
                                <w:szCs w:val="16"/>
                              </w:rPr>
                              <w:t>(B)</w:t>
                            </w:r>
                            <w:r w:rsidRPr="00242D5E">
                              <w:rPr>
                                <w:i w:val="0"/>
                                <w:iCs w:val="0"/>
                                <w:sz w:val="16"/>
                                <w:szCs w:val="16"/>
                              </w:rPr>
                              <w:t xml:space="preserve"> Mean sensitivity and specificity for initial HFO detection, with BIC in green and CA in purple, summarizing detection performance across all subjects.</w:t>
                            </w:r>
                            <w:r>
                              <w:rPr>
                                <w:i w:val="0"/>
                                <w:iCs w:val="0"/>
                                <w:sz w:val="16"/>
                                <w:szCs w:val="16"/>
                              </w:rPr>
                              <w:t xml:space="preserve"> </w:t>
                            </w:r>
                            <w:r w:rsidRPr="00242D5E">
                              <w:rPr>
                                <w:b/>
                                <w:bCs/>
                                <w:i w:val="0"/>
                                <w:iCs w:val="0"/>
                                <w:sz w:val="16"/>
                                <w:szCs w:val="16"/>
                              </w:rPr>
                              <w:t>(C)</w:t>
                            </w:r>
                            <w:r w:rsidRPr="00242D5E">
                              <w:rPr>
                                <w:i w:val="0"/>
                                <w:iCs w:val="0"/>
                                <w:sz w:val="16"/>
                                <w:szCs w:val="16"/>
                              </w:rPr>
                              <w:t xml:space="preserve"> Mean sensitivity and specificity for rHFO detection after denoising, with BIC in green and CA in purple, illustrating improved detection performance for high-frequency events post-denoising.</w:t>
                            </w:r>
                          </w:p>
                          <w:p w14:paraId="2092E4F4" w14:textId="77777777" w:rsidR="00AA4C61" w:rsidRPr="00B87511" w:rsidRDefault="00AA4C61" w:rsidP="00AA4C61">
                            <w:pPr>
                              <w:pStyle w:val="Caption"/>
                              <w:spacing w:after="0"/>
                              <w:rPr>
                                <w:b/>
                                <w:bCs/>
                                <w:i w:val="0"/>
                                <w:iCs w:val="0"/>
                                <w:sz w:val="16"/>
                                <w:szCs w:val="16"/>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8E4A920" id="_x0000_s1030" type="#_x0000_t202" style="position:absolute;left:0;text-align:left;margin-left:0;margin-top:.95pt;width:466.85pt;height:646.8pt;z-index:2516930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" stroked="f">
                <v:textbox>
                  <w:txbxContent>
                    <w:p w14:paraId="04AE5B3D" w14:textId="77777777" w:rsidR="00AA4C61" w:rsidRPr="00B87511" w:rsidRDefault="00AA4C61" w:rsidP="00AA4C61">
                      <w:pPr>
                        <w:keepNext/>
                        <w:jc w:val="center"/>
                        <w:rPr>
                          <w:b/>
                          <w:bCs/>
                          <w:sz w:val="16"/>
                          <w:szCs w:val="16"/>
                        </w:rPr>
                      </w:pPr>
                      <w:r>
                        <w:rPr>
                          <w:noProof/>
                        </w:rPr>
                        <w:drawing>
                          <wp:inline distT="0" distB="0" distL="0" distR="0" wp14:anchorId="3E6619EA" wp14:editId="2AB1C689">
                            <wp:extent cx="5737224" cy="3359973"/>
                            <wp:effectExtent l="0" t="0" r="0" b="0"/>
                            <wp:docPr id="6770200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020071" name="Graphic 1"/>
                                    <pic:cNvPicPr/>
                                  </pic:nvPicPr>
                                  <pic:blipFill>
                                    <a:blip r:embed="rId12">
                                      <a:extLst>
                                        <a:ext uri="{28A0092B-C50C-407E-A947-70E740481C1C}">
                                          <a14:useLocalDpi xmlns:a14="http://schemas.microsoft.com/office/drawing/2010/main" val="0"/>
                                        </a:ext>
                                      </a:extLst>
                                    </a:blip>
                                    <a:stretch>
                                      <a:fillRect/>
                                    </a:stretch>
                                  </pic:blipFill>
                                  <pic:spPr>
                                    <a:xfrm>
                                      <a:off x="0" y="0"/>
                                      <a:ext cx="5737224" cy="3359973"/>
                                    </a:xfrm>
                                    <a:prstGeom prst="rect">
                                      <a:avLst/>
                                    </a:prstGeom>
                                  </pic:spPr>
                                </pic:pic>
                              </a:graphicData>
                            </a:graphic>
                          </wp:inline>
                        </w:drawing>
                      </w:r>
                    </w:p>
                    <w:p w14:paraId="7A1C0904" w14:textId="64E602F4" w:rsidR="00AA4C61" w:rsidRPr="00B760CE" w:rsidRDefault="00AA4C61" w:rsidP="00B760CE">
                      <w:pPr>
                        <w:pStyle w:val="Caption"/>
                        <w:spacing w:after="0"/>
                        <w:jc w:val="both"/>
                        <w:rPr>
                          <w:b/>
                          <w:bCs/>
                          <w:i w:val="0"/>
                          <w:iCs w:val="0"/>
                          <w:color w:val="0A2F41" w:themeColor="accent1" w:themeShade="80"/>
                          <w:sz w:val="16"/>
                          <w:szCs w:val="16"/>
                        </w:rPr>
                      </w:pPr>
                      <w:r w:rsidRPr="00DA3A6D">
                        <w:rPr>
                          <w:b/>
                          <w:bCs/>
                          <w:i w:val="0"/>
                          <w:iCs w:val="0"/>
                          <w:color w:val="0A2F41" w:themeColor="accent1" w:themeShade="80"/>
                          <w:sz w:val="16"/>
                          <w:szCs w:val="16"/>
                        </w:rPr>
                        <w:t xml:space="preserve">Supplementary Fig. </w:t>
                      </w:r>
                      <w:r w:rsidR="00487F3E">
                        <w:rPr>
                          <w:b/>
                          <w:bCs/>
                          <w:i w:val="0"/>
                          <w:iCs w:val="0"/>
                          <w:color w:val="0A2F41" w:themeColor="accent1" w:themeShade="80"/>
                          <w:sz w:val="16"/>
                          <w:szCs w:val="16"/>
                        </w:rPr>
                        <w:t>S</w:t>
                      </w:r>
                      <w:r w:rsidR="00395723" w:rsidRPr="00DA3A6D">
                        <w:rPr>
                          <w:b/>
                          <w:bCs/>
                          <w:i w:val="0"/>
                          <w:iCs w:val="0"/>
                          <w:color w:val="0A2F41" w:themeColor="accent1" w:themeShade="80"/>
                          <w:sz w:val="16"/>
                          <w:szCs w:val="16"/>
                        </w:rPr>
                        <w:t>5</w:t>
                      </w:r>
                      <w:r w:rsidRPr="00DA3A6D">
                        <w:rPr>
                          <w:b/>
                          <w:bCs/>
                          <w:i w:val="0"/>
                          <w:iCs w:val="0"/>
                          <w:color w:val="0A2F41" w:themeColor="accent1" w:themeShade="80"/>
                          <w:sz w:val="16"/>
                          <w:szCs w:val="16"/>
                        </w:rPr>
                        <w:t xml:space="preserve"> HFO rates and detection performance across anatomical regions.</w:t>
                      </w:r>
                      <w:r w:rsidR="00B760CE">
                        <w:rPr>
                          <w:b/>
                          <w:bCs/>
                          <w:i w:val="0"/>
                          <w:iCs w:val="0"/>
                          <w:color w:val="0A2F41" w:themeColor="accent1" w:themeShade="80"/>
                          <w:sz w:val="16"/>
                          <w:szCs w:val="16"/>
                        </w:rPr>
                        <w:t xml:space="preserve"> </w:t>
                      </w:r>
                      <w:r w:rsidRPr="00242D5E">
                        <w:rPr>
                          <w:b/>
                          <w:bCs/>
                          <w:i w:val="0"/>
                          <w:iCs w:val="0"/>
                          <w:sz w:val="16"/>
                          <w:szCs w:val="16"/>
                        </w:rPr>
                        <w:t>(A)</w:t>
                      </w:r>
                      <w:r w:rsidRPr="00242D5E">
                        <w:rPr>
                          <w:i w:val="0"/>
                          <w:iCs w:val="0"/>
                          <w:sz w:val="16"/>
                          <w:szCs w:val="16"/>
                        </w:rPr>
                        <w:t xml:space="preserve"> Boxplots of normalized HFO rates across SOZ, EP, and oSOZ contacts for initial HFOs, rHFOs, and eliminated pHFOs, shown separately for BIC and CA recordings. Rates were normalized by the total number of channels within each anatomical category, allowing direct comparison across recording systems.</w:t>
                      </w:r>
                      <w:r>
                        <w:rPr>
                          <w:i w:val="0"/>
                          <w:iCs w:val="0"/>
                          <w:sz w:val="16"/>
                          <w:szCs w:val="16"/>
                        </w:rPr>
                        <w:t xml:space="preserve"> </w:t>
                      </w:r>
                      <w:r w:rsidRPr="00242D5E">
                        <w:rPr>
                          <w:b/>
                          <w:bCs/>
                          <w:i w:val="0"/>
                          <w:iCs w:val="0"/>
                          <w:sz w:val="16"/>
                          <w:szCs w:val="16"/>
                        </w:rPr>
                        <w:t>(B)</w:t>
                      </w:r>
                      <w:r w:rsidRPr="00242D5E">
                        <w:rPr>
                          <w:i w:val="0"/>
                          <w:iCs w:val="0"/>
                          <w:sz w:val="16"/>
                          <w:szCs w:val="16"/>
                        </w:rPr>
                        <w:t xml:space="preserve"> Mean sensitivity and specificity for initial HFO detection, with BIC in green and CA in purple, summarizing detection performance across all subjects.</w:t>
                      </w:r>
                      <w:r>
                        <w:rPr>
                          <w:i w:val="0"/>
                          <w:iCs w:val="0"/>
                          <w:sz w:val="16"/>
                          <w:szCs w:val="16"/>
                        </w:rPr>
                        <w:t xml:space="preserve"> </w:t>
                      </w:r>
                      <w:r w:rsidRPr="00242D5E">
                        <w:rPr>
                          <w:b/>
                          <w:bCs/>
                          <w:i w:val="0"/>
                          <w:iCs w:val="0"/>
                          <w:sz w:val="16"/>
                          <w:szCs w:val="16"/>
                        </w:rPr>
                        <w:t>(C)</w:t>
                      </w:r>
                      <w:r w:rsidRPr="00242D5E">
                        <w:rPr>
                          <w:i w:val="0"/>
                          <w:iCs w:val="0"/>
                          <w:sz w:val="16"/>
                          <w:szCs w:val="16"/>
                        </w:rPr>
                        <w:t xml:space="preserve"> Mean sensitivity and specificity for rHFO detection after denoising, with BIC in green and CA in purple, illustrating improved detection performance for high-frequency events post-denoising.</w:t>
                      </w:r>
                    </w:p>
                    <w:p w14:paraId="2092E4F4" w14:textId="77777777" w:rsidR="00AA4C61" w:rsidRPr="00B87511" w:rsidRDefault="00AA4C61" w:rsidP="00AA4C61">
                      <w:pPr>
                        <w:pStyle w:val="Caption"/>
                        <w:spacing w:after="0"/>
                        <w:rPr>
                          <w:b/>
                          <w:bCs/>
                          <w:i w:val="0"/>
                          <w:iCs w:val="0"/>
                          <w:sz w:val="16"/>
                          <w:szCs w:val="16"/>
                        </w:rPr>
                      </w:pPr>
                    </w:p>
                  </w:txbxContent>
                </v:textbox>
                <w10:wrap type="square" anchorx="margin"/>
              </v:shape>
            </w:pict>
          </mc:Fallback>
        </mc:AlternateContent>
      </w:r>
    </w:p>
    <w:p w14:paraId="0DF51ACF" w14:textId="521B1A33" w:rsidR="00AA4C61" w:rsidRDefault="00AA4C61" w:rsidP="00AF1735">
      <w:pPr>
        <w:jc w:val="both"/>
        <w:rPr>
          <w:sz w:val="20"/>
          <w:szCs w:val="20"/>
        </w:rPr>
      </w:pPr>
      <w:r w:rsidRPr="00846005">
        <w:rPr>
          <w:noProof/>
        </w:rPr>
        <w:lastRenderedPageBreak/>
        <mc:AlternateContent>
          <mc:Choice Requires="wps">
            <w:drawing>
              <wp:anchor distT="0" distB="0" distL="114300" distR="114300" simplePos="0" relativeHeight="251695104" behindDoc="0" locked="0" layoutInCell="1" allowOverlap="1" wp14:anchorId="0C785B96" wp14:editId="59CF0713">
                <wp:simplePos x="0" y="0"/>
                <wp:positionH relativeFrom="margin">
                  <wp:align>left</wp:align>
                </wp:positionH>
                <wp:positionV relativeFrom="paragraph">
                  <wp:posOffset>330</wp:posOffset>
                </wp:positionV>
                <wp:extent cx="5928995" cy="8221345"/>
                <wp:effectExtent l="0" t="0" r="0" b="8255"/>
                <wp:wrapSquare wrapText="bothSides"/>
                <wp:docPr id="1071029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995" cy="8221362"/>
                        </a:xfrm>
                        <a:prstGeom prst="rect">
                          <a:avLst/>
                        </a:prstGeom>
                        <a:solidFill>
                          <a:srgbClr val="FFFFFF"/>
                        </a:solidFill>
                        <a:ln w="9525">
                          <a:noFill/>
                          <a:miter lim="800000"/>
                          <a:headEnd/>
                          <a:tailEnd/>
                        </a:ln>
                      </wps:spPr>
                      <wps:txbx>
                        <w:txbxContent>
                          <w:p w14:paraId="0CE0ECD4" w14:textId="65645DE8" w:rsidR="00AA4C61" w:rsidRPr="00B87511" w:rsidRDefault="00AA4C61" w:rsidP="00AA4C61">
                            <w:pPr>
                              <w:keepNext/>
                              <w:jc w:val="center"/>
                              <w:rPr>
                                <w:b/>
                                <w:bCs/>
                                <w:sz w:val="16"/>
                                <w:szCs w:val="16"/>
                              </w:rPr>
                            </w:pPr>
                            <w:r>
                              <w:rPr>
                                <w:noProof/>
                              </w:rPr>
                              <w:drawing>
                                <wp:inline distT="0" distB="0" distL="0" distR="0" wp14:anchorId="3992FCC2" wp14:editId="57EB7540">
                                  <wp:extent cx="4970218" cy="7032629"/>
                                  <wp:effectExtent l="0" t="0" r="1905" b="0"/>
                                  <wp:docPr id="94088006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880069" name="Picture 1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970218" cy="7032629"/>
                                          </a:xfrm>
                                          <a:prstGeom prst="rect">
                                            <a:avLst/>
                                          </a:prstGeom>
                                          <a:noFill/>
                                          <a:ln>
                                            <a:noFill/>
                                          </a:ln>
                                        </pic:spPr>
                                      </pic:pic>
                                    </a:graphicData>
                                  </a:graphic>
                                </wp:inline>
                              </w:drawing>
                            </w:r>
                          </w:p>
                          <w:p w14:paraId="26646ED6" w14:textId="5981219A" w:rsidR="00AA4C61" w:rsidRPr="00B760CE" w:rsidRDefault="00AA4C61" w:rsidP="00B760CE">
                            <w:pPr>
                              <w:pStyle w:val="Caption"/>
                              <w:spacing w:after="0"/>
                              <w:jc w:val="both"/>
                              <w:rPr>
                                <w:b/>
                                <w:bCs/>
                                <w:i w:val="0"/>
                                <w:iCs w:val="0"/>
                                <w:color w:val="0A2F41" w:themeColor="accent1" w:themeShade="80"/>
                                <w:sz w:val="16"/>
                                <w:szCs w:val="16"/>
                              </w:rPr>
                            </w:pPr>
                            <w:r w:rsidRPr="00DA3A6D">
                              <w:rPr>
                                <w:b/>
                                <w:bCs/>
                                <w:i w:val="0"/>
                                <w:iCs w:val="0"/>
                                <w:color w:val="0A2F41" w:themeColor="accent1" w:themeShade="80"/>
                                <w:sz w:val="16"/>
                                <w:szCs w:val="16"/>
                              </w:rPr>
                              <w:t xml:space="preserve">Supplementary Fig. </w:t>
                            </w:r>
                            <w:r w:rsidR="00487F3E">
                              <w:rPr>
                                <w:b/>
                                <w:bCs/>
                                <w:i w:val="0"/>
                                <w:iCs w:val="0"/>
                                <w:color w:val="0A2F41" w:themeColor="accent1" w:themeShade="80"/>
                                <w:sz w:val="16"/>
                                <w:szCs w:val="16"/>
                              </w:rPr>
                              <w:t>S</w:t>
                            </w:r>
                            <w:r w:rsidR="00395723" w:rsidRPr="00DA3A6D">
                              <w:rPr>
                                <w:b/>
                                <w:bCs/>
                                <w:i w:val="0"/>
                                <w:iCs w:val="0"/>
                                <w:color w:val="0A2F41" w:themeColor="accent1" w:themeShade="80"/>
                                <w:sz w:val="16"/>
                                <w:szCs w:val="16"/>
                              </w:rPr>
                              <w:t>6</w:t>
                            </w:r>
                            <w:r w:rsidRPr="00DA3A6D">
                              <w:rPr>
                                <w:b/>
                                <w:bCs/>
                                <w:i w:val="0"/>
                                <w:iCs w:val="0"/>
                                <w:color w:val="0A2F41" w:themeColor="accent1" w:themeShade="80"/>
                                <w:sz w:val="16"/>
                                <w:szCs w:val="16"/>
                              </w:rPr>
                              <w:t xml:space="preserve"> </w:t>
                            </w:r>
                            <w:r w:rsidR="00A13501" w:rsidRPr="00DA3A6D">
                              <w:rPr>
                                <w:b/>
                                <w:bCs/>
                                <w:i w:val="0"/>
                                <w:iCs w:val="0"/>
                                <w:color w:val="0A2F41" w:themeColor="accent1" w:themeShade="80"/>
                                <w:sz w:val="16"/>
                                <w:szCs w:val="16"/>
                              </w:rPr>
                              <w:t>Channel-wise total event counts ranked by HFO - BIC recordings.</w:t>
                            </w:r>
                            <w:r w:rsidR="00B760CE">
                              <w:rPr>
                                <w:b/>
                                <w:bCs/>
                                <w:i w:val="0"/>
                                <w:iCs w:val="0"/>
                                <w:color w:val="0A2F41" w:themeColor="accent1" w:themeShade="80"/>
                                <w:sz w:val="16"/>
                                <w:szCs w:val="16"/>
                              </w:rPr>
                              <w:t xml:space="preserve"> </w:t>
                            </w:r>
                            <w:r w:rsidR="00A13501" w:rsidRPr="00A13501">
                              <w:rPr>
                                <w:i w:val="0"/>
                                <w:iCs w:val="0"/>
                                <w:sz w:val="16"/>
                                <w:szCs w:val="16"/>
                              </w:rPr>
                              <w:t>Bar plots show the total number of detected events over 24 hours for each channel, ranked from highest to lowest rate, for all 10 subjects (P1–P10) recorded with the BIC system. Bars are color-coded by anatomical category: SOZ contacts in red, EP contacts in yellow, and oSOZ contacts in gray. The dashed vertical line at K = 10 indicates the cutoff. The top-ranked channels are consistently dominated by SOZ and EP contacts across subjects (except P9, which was a</w:t>
                            </w:r>
                            <w:r w:rsidR="003A36B2">
                              <w:rPr>
                                <w:i w:val="0"/>
                                <w:iCs w:val="0"/>
                                <w:sz w:val="16"/>
                                <w:szCs w:val="16"/>
                              </w:rPr>
                              <w:t>n</w:t>
                            </w:r>
                            <w:r w:rsidR="00A13501" w:rsidRPr="00A13501">
                              <w:rPr>
                                <w:i w:val="0"/>
                                <w:iCs w:val="0"/>
                                <w:sz w:val="16"/>
                                <w:szCs w:val="16"/>
                              </w:rPr>
                              <w:t xml:space="preserve"> </w:t>
                            </w:r>
                            <w:r w:rsidR="00BA7B5A" w:rsidRPr="00BA7B5A">
                              <w:rPr>
                                <w:i w:val="0"/>
                                <w:iCs w:val="0"/>
                                <w:sz w:val="16"/>
                                <w:szCs w:val="16"/>
                              </w:rPr>
                              <w:t>uncertain-localization</w:t>
                            </w:r>
                            <w:r w:rsidR="00BA7B5A" w:rsidRPr="00BA7B5A">
                              <w:rPr>
                                <w:sz w:val="16"/>
                                <w:szCs w:val="16"/>
                              </w:rPr>
                              <w:t xml:space="preserve"> </w:t>
                            </w:r>
                            <w:r w:rsidR="00A13501" w:rsidRPr="00A13501">
                              <w:rPr>
                                <w:i w:val="0"/>
                                <w:iCs w:val="0"/>
                                <w:sz w:val="16"/>
                                <w:szCs w:val="16"/>
                              </w:rPr>
                              <w:t>case), supporting the spatial concordance between rHFO-rich channels and clinically defined epileptogenic regions. Panel labels (P1–P10) identify individual subjects.</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C785B96" id="_x0000_s1031" type="#_x0000_t202" style="position:absolute;left:0;text-align:left;margin-left:0;margin-top:.05pt;width:466.85pt;height:647.35pt;z-index:2516951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" stroked="f">
                <v:textbox>
                  <w:txbxContent>
                    <w:p w14:paraId="0CE0ECD4" w14:textId="65645DE8" w:rsidR="00AA4C61" w:rsidRPr="00B87511" w:rsidRDefault="00AA4C61" w:rsidP="00AA4C61">
                      <w:pPr>
                        <w:keepNext/>
                        <w:jc w:val="center"/>
                        <w:rPr>
                          <w:b/>
                          <w:bCs/>
                          <w:sz w:val="16"/>
                          <w:szCs w:val="16"/>
                        </w:rPr>
                      </w:pPr>
                      <w:r>
                        <w:rPr>
                          <w:noProof/>
                        </w:rPr>
                        <w:drawing>
                          <wp:inline distT="0" distB="0" distL="0" distR="0" wp14:anchorId="3992FCC2" wp14:editId="57EB7540">
                            <wp:extent cx="4970218" cy="7032629"/>
                            <wp:effectExtent l="0" t="0" r="1905" b="0"/>
                            <wp:docPr id="94088006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880069" name="Picture 1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970218" cy="7032629"/>
                                    </a:xfrm>
                                    <a:prstGeom prst="rect">
                                      <a:avLst/>
                                    </a:prstGeom>
                                    <a:noFill/>
                                    <a:ln>
                                      <a:noFill/>
                                    </a:ln>
                                  </pic:spPr>
                                </pic:pic>
                              </a:graphicData>
                            </a:graphic>
                          </wp:inline>
                        </w:drawing>
                      </w:r>
                    </w:p>
                    <w:p w14:paraId="26646ED6" w14:textId="5981219A" w:rsidR="00AA4C61" w:rsidRPr="00B760CE" w:rsidRDefault="00AA4C61" w:rsidP="00B760CE">
                      <w:pPr>
                        <w:pStyle w:val="Caption"/>
                        <w:spacing w:after="0"/>
                        <w:jc w:val="both"/>
                        <w:rPr>
                          <w:b/>
                          <w:bCs/>
                          <w:i w:val="0"/>
                          <w:iCs w:val="0"/>
                          <w:color w:val="0A2F41" w:themeColor="accent1" w:themeShade="80"/>
                          <w:sz w:val="16"/>
                          <w:szCs w:val="16"/>
                        </w:rPr>
                      </w:pPr>
                      <w:r w:rsidRPr="00DA3A6D">
                        <w:rPr>
                          <w:b/>
                          <w:bCs/>
                          <w:i w:val="0"/>
                          <w:iCs w:val="0"/>
                          <w:color w:val="0A2F41" w:themeColor="accent1" w:themeShade="80"/>
                          <w:sz w:val="16"/>
                          <w:szCs w:val="16"/>
                        </w:rPr>
                        <w:t xml:space="preserve">Supplementary Fig. </w:t>
                      </w:r>
                      <w:r w:rsidR="00487F3E">
                        <w:rPr>
                          <w:b/>
                          <w:bCs/>
                          <w:i w:val="0"/>
                          <w:iCs w:val="0"/>
                          <w:color w:val="0A2F41" w:themeColor="accent1" w:themeShade="80"/>
                          <w:sz w:val="16"/>
                          <w:szCs w:val="16"/>
                        </w:rPr>
                        <w:t>S</w:t>
                      </w:r>
                      <w:r w:rsidR="00395723" w:rsidRPr="00DA3A6D">
                        <w:rPr>
                          <w:b/>
                          <w:bCs/>
                          <w:i w:val="0"/>
                          <w:iCs w:val="0"/>
                          <w:color w:val="0A2F41" w:themeColor="accent1" w:themeShade="80"/>
                          <w:sz w:val="16"/>
                          <w:szCs w:val="16"/>
                        </w:rPr>
                        <w:t>6</w:t>
                      </w:r>
                      <w:r w:rsidRPr="00DA3A6D">
                        <w:rPr>
                          <w:b/>
                          <w:bCs/>
                          <w:i w:val="0"/>
                          <w:iCs w:val="0"/>
                          <w:color w:val="0A2F41" w:themeColor="accent1" w:themeShade="80"/>
                          <w:sz w:val="16"/>
                          <w:szCs w:val="16"/>
                        </w:rPr>
                        <w:t xml:space="preserve"> </w:t>
                      </w:r>
                      <w:r w:rsidR="00A13501" w:rsidRPr="00DA3A6D">
                        <w:rPr>
                          <w:b/>
                          <w:bCs/>
                          <w:i w:val="0"/>
                          <w:iCs w:val="0"/>
                          <w:color w:val="0A2F41" w:themeColor="accent1" w:themeShade="80"/>
                          <w:sz w:val="16"/>
                          <w:szCs w:val="16"/>
                        </w:rPr>
                        <w:t>Channel-wise total event counts ranked by HFO - BIC recordings.</w:t>
                      </w:r>
                      <w:r w:rsidR="00B760CE">
                        <w:rPr>
                          <w:b/>
                          <w:bCs/>
                          <w:i w:val="0"/>
                          <w:iCs w:val="0"/>
                          <w:color w:val="0A2F41" w:themeColor="accent1" w:themeShade="80"/>
                          <w:sz w:val="16"/>
                          <w:szCs w:val="16"/>
                        </w:rPr>
                        <w:t xml:space="preserve"> </w:t>
                      </w:r>
                      <w:r w:rsidR="00A13501" w:rsidRPr="00A13501">
                        <w:rPr>
                          <w:i w:val="0"/>
                          <w:iCs w:val="0"/>
                          <w:sz w:val="16"/>
                          <w:szCs w:val="16"/>
                        </w:rPr>
                        <w:t>Bar plots show the total number of detected events over 24 hours for each channel, ranked from highest to lowest rate, for all 10 subjects (P1–P10) recorded with the BIC system. Bars are color-coded by anatomical category: SOZ contacts in red, EP contacts in yellow, and oSOZ contacts in gray. The dashed vertical line at K = 10 indicates the cutoff. The top-ranked channels are consistently dominated by SOZ and EP contacts across subjects (except P9, which was a</w:t>
                      </w:r>
                      <w:r w:rsidR="003A36B2">
                        <w:rPr>
                          <w:i w:val="0"/>
                          <w:iCs w:val="0"/>
                          <w:sz w:val="16"/>
                          <w:szCs w:val="16"/>
                        </w:rPr>
                        <w:t>n</w:t>
                      </w:r>
                      <w:r w:rsidR="00A13501" w:rsidRPr="00A13501">
                        <w:rPr>
                          <w:i w:val="0"/>
                          <w:iCs w:val="0"/>
                          <w:sz w:val="16"/>
                          <w:szCs w:val="16"/>
                        </w:rPr>
                        <w:t xml:space="preserve"> </w:t>
                      </w:r>
                      <w:r w:rsidR="00BA7B5A" w:rsidRPr="00BA7B5A">
                        <w:rPr>
                          <w:i w:val="0"/>
                          <w:iCs w:val="0"/>
                          <w:sz w:val="16"/>
                          <w:szCs w:val="16"/>
                        </w:rPr>
                        <w:t>uncertain-localization</w:t>
                      </w:r>
                      <w:r w:rsidR="00BA7B5A" w:rsidRPr="00BA7B5A">
                        <w:rPr>
                          <w:sz w:val="16"/>
                          <w:szCs w:val="16"/>
                        </w:rPr>
                        <w:t xml:space="preserve"> </w:t>
                      </w:r>
                      <w:r w:rsidR="00A13501" w:rsidRPr="00A13501">
                        <w:rPr>
                          <w:i w:val="0"/>
                          <w:iCs w:val="0"/>
                          <w:sz w:val="16"/>
                          <w:szCs w:val="16"/>
                        </w:rPr>
                        <w:t>case), supporting the spatial concordance between rHFO-rich channels and clinically defined epileptogenic regions. Panel labels (P1–P10) identify individual subjects.</w:t>
                      </w:r>
                    </w:p>
                  </w:txbxContent>
                </v:textbox>
                <w10:wrap type="square" anchorx="margin"/>
              </v:shape>
            </w:pict>
          </mc:Fallback>
        </mc:AlternateContent>
      </w:r>
    </w:p>
    <w:p w14:paraId="0870FE03" w14:textId="46EECE1D" w:rsidR="00395723" w:rsidRDefault="00395723" w:rsidP="002D6EAC">
      <w:pPr>
        <w:jc w:val="both"/>
        <w:rPr>
          <w:sz w:val="20"/>
          <w:szCs w:val="20"/>
        </w:rPr>
      </w:pPr>
      <w:r w:rsidRPr="00846005">
        <w:rPr>
          <w:noProof/>
        </w:rPr>
        <w:lastRenderedPageBreak/>
        <mc:AlternateContent>
          <mc:Choice Requires="wps">
            <w:drawing>
              <wp:anchor distT="0" distB="0" distL="114300" distR="114300" simplePos="0" relativeHeight="251701248" behindDoc="0" locked="0" layoutInCell="1" allowOverlap="1" wp14:anchorId="52661C14" wp14:editId="32501A89">
                <wp:simplePos x="0" y="0"/>
                <wp:positionH relativeFrom="margin">
                  <wp:posOffset>0</wp:posOffset>
                </wp:positionH>
                <wp:positionV relativeFrom="paragraph">
                  <wp:posOffset>8890</wp:posOffset>
                </wp:positionV>
                <wp:extent cx="5928995" cy="8217535"/>
                <wp:effectExtent l="0" t="0" r="0" b="0"/>
                <wp:wrapSquare wrapText="bothSides"/>
                <wp:docPr id="12941427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995" cy="8217725"/>
                        </a:xfrm>
                        <a:prstGeom prst="rect">
                          <a:avLst/>
                        </a:prstGeom>
                        <a:solidFill>
                          <a:srgbClr val="FFFFFF"/>
                        </a:solidFill>
                        <a:ln w="9525">
                          <a:noFill/>
                          <a:miter lim="800000"/>
                          <a:headEnd/>
                          <a:tailEnd/>
                        </a:ln>
                      </wps:spPr>
                      <wps:txbx>
                        <w:txbxContent>
                          <w:p w14:paraId="03DEC908" w14:textId="77777777" w:rsidR="00395723" w:rsidRPr="00B87511" w:rsidRDefault="00395723" w:rsidP="00395723">
                            <w:pPr>
                              <w:keepNext/>
                              <w:jc w:val="center"/>
                              <w:rPr>
                                <w:b/>
                                <w:bCs/>
                                <w:sz w:val="16"/>
                                <w:szCs w:val="16"/>
                              </w:rPr>
                            </w:pPr>
                            <w:r>
                              <w:rPr>
                                <w:noProof/>
                              </w:rPr>
                              <w:drawing>
                                <wp:inline distT="0" distB="0" distL="0" distR="0" wp14:anchorId="074C0CE5" wp14:editId="0712E098">
                                  <wp:extent cx="5020098" cy="7021633"/>
                                  <wp:effectExtent l="0" t="0" r="9525" b="8255"/>
                                  <wp:docPr id="209185893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858931" name="Picture 13"/>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020098" cy="7021633"/>
                                          </a:xfrm>
                                          <a:prstGeom prst="rect">
                                            <a:avLst/>
                                          </a:prstGeom>
                                          <a:noFill/>
                                          <a:ln>
                                            <a:noFill/>
                                          </a:ln>
                                        </pic:spPr>
                                      </pic:pic>
                                    </a:graphicData>
                                  </a:graphic>
                                </wp:inline>
                              </w:drawing>
                            </w:r>
                          </w:p>
                          <w:p w14:paraId="77F0BF0D" w14:textId="09847768" w:rsidR="00395723" w:rsidRPr="00B760CE" w:rsidRDefault="00395723" w:rsidP="00B760CE">
                            <w:pPr>
                              <w:pStyle w:val="Caption"/>
                              <w:spacing w:after="0"/>
                              <w:jc w:val="both"/>
                              <w:rPr>
                                <w:b/>
                                <w:bCs/>
                                <w:color w:val="0A2F41" w:themeColor="accent1" w:themeShade="80"/>
                                <w:sz w:val="16"/>
                                <w:szCs w:val="16"/>
                              </w:rPr>
                            </w:pPr>
                            <w:r w:rsidRPr="00DA3A6D">
                              <w:rPr>
                                <w:b/>
                                <w:bCs/>
                                <w:i w:val="0"/>
                                <w:iCs w:val="0"/>
                                <w:color w:val="0A2F41" w:themeColor="accent1" w:themeShade="80"/>
                                <w:sz w:val="16"/>
                                <w:szCs w:val="16"/>
                              </w:rPr>
                              <w:t xml:space="preserve">Supplementary Fig. </w:t>
                            </w:r>
                            <w:r w:rsidR="00487F3E">
                              <w:rPr>
                                <w:b/>
                                <w:bCs/>
                                <w:i w:val="0"/>
                                <w:iCs w:val="0"/>
                                <w:color w:val="0A2F41" w:themeColor="accent1" w:themeShade="80"/>
                                <w:sz w:val="16"/>
                                <w:szCs w:val="16"/>
                              </w:rPr>
                              <w:t>S</w:t>
                            </w:r>
                            <w:r w:rsidRPr="00DA3A6D">
                              <w:rPr>
                                <w:b/>
                                <w:bCs/>
                                <w:i w:val="0"/>
                                <w:iCs w:val="0"/>
                                <w:color w:val="0A2F41" w:themeColor="accent1" w:themeShade="80"/>
                                <w:sz w:val="16"/>
                                <w:szCs w:val="16"/>
                              </w:rPr>
                              <w:t>7 Channel-wise total event counts ranked by HFO — CA recordings.</w:t>
                            </w:r>
                            <w:r w:rsidR="00B760CE">
                              <w:rPr>
                                <w:b/>
                                <w:bCs/>
                                <w:color w:val="0A2F41" w:themeColor="accent1" w:themeShade="80"/>
                                <w:sz w:val="16"/>
                                <w:szCs w:val="16"/>
                              </w:rPr>
                              <w:t xml:space="preserve"> </w:t>
                            </w:r>
                            <w:r w:rsidRPr="00A13501">
                              <w:rPr>
                                <w:i w:val="0"/>
                                <w:iCs w:val="0"/>
                                <w:sz w:val="16"/>
                                <w:szCs w:val="16"/>
                              </w:rPr>
                              <w:t xml:space="preserve">Bar plots show the total number of detected events over 24 hours for each channel, ranked from highest to lowest rate, for all 10 subjects (P1–P10) recorded with the CA (Natus Quantum) system. Bars are color-coded by anatomical category: SOZ contacts in red, EP contacts in yellow, and oSOZ contacts in gray. The dashed vertical line at K = 10 indicates the cutoff. The top-ranked channels are consistently dominated by SOZ and EP contacts across subjects (except P9, which was </w:t>
                            </w:r>
                            <w:r w:rsidR="00BA7B5A" w:rsidRPr="00BA7B5A">
                              <w:rPr>
                                <w:i w:val="0"/>
                                <w:iCs w:val="0"/>
                                <w:sz w:val="16"/>
                                <w:szCs w:val="16"/>
                              </w:rPr>
                              <w:t>uncertain-localization</w:t>
                            </w:r>
                            <w:r w:rsidR="00BA7B5A" w:rsidRPr="00BA7B5A">
                              <w:rPr>
                                <w:sz w:val="16"/>
                                <w:szCs w:val="16"/>
                              </w:rPr>
                              <w:t xml:space="preserve"> </w:t>
                            </w:r>
                            <w:r w:rsidRPr="00A13501">
                              <w:rPr>
                                <w:i w:val="0"/>
                                <w:iCs w:val="0"/>
                                <w:sz w:val="16"/>
                                <w:szCs w:val="16"/>
                              </w:rPr>
                              <w:t>case), supporting the spatial concordance between rHFO-rich channels and clinically defined epileptogenic regions. Panel labels (P1–P10) identify individual subjects.</w:t>
                            </w:r>
                          </w:p>
                          <w:p w14:paraId="69DE44D7" w14:textId="77777777" w:rsidR="00395723" w:rsidRDefault="00395723" w:rsidP="00395723">
                            <w:pPr>
                              <w:pStyle w:val="Caption"/>
                              <w:spacing w:after="0"/>
                              <w:rPr>
                                <w:b/>
                                <w:bCs/>
                                <w:i w:val="0"/>
                                <w:iCs w:val="0"/>
                                <w:sz w:val="16"/>
                                <w:szCs w:val="16"/>
                              </w:rPr>
                            </w:pPr>
                          </w:p>
                          <w:p w14:paraId="0F03D456" w14:textId="77777777" w:rsidR="00395723" w:rsidRPr="00B87511" w:rsidRDefault="00395723" w:rsidP="00395723">
                            <w:pPr>
                              <w:pStyle w:val="Caption"/>
                              <w:spacing w:after="0"/>
                              <w:rPr>
                                <w:b/>
                                <w:bCs/>
                                <w:i w:val="0"/>
                                <w:iCs w:val="0"/>
                                <w:sz w:val="16"/>
                                <w:szCs w:val="16"/>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2661C14" id="_x0000_s1032" type="#_x0000_t202" style="position:absolute;left:0;text-align:left;margin-left:0;margin-top:.7pt;width:466.85pt;height:647.05pt;z-index:2517012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" stroked="f">
                <v:textbox>
                  <w:txbxContent>
                    <w:p w14:paraId="03DEC908" w14:textId="77777777" w:rsidR="00395723" w:rsidRPr="00B87511" w:rsidRDefault="00395723" w:rsidP="00395723">
                      <w:pPr>
                        <w:keepNext/>
                        <w:jc w:val="center"/>
                        <w:rPr>
                          <w:b/>
                          <w:bCs/>
                          <w:sz w:val="16"/>
                          <w:szCs w:val="16"/>
                        </w:rPr>
                      </w:pPr>
                      <w:r>
                        <w:rPr>
                          <w:noProof/>
                        </w:rPr>
                        <w:drawing>
                          <wp:inline distT="0" distB="0" distL="0" distR="0" wp14:anchorId="074C0CE5" wp14:editId="0712E098">
                            <wp:extent cx="5020098" cy="7021633"/>
                            <wp:effectExtent l="0" t="0" r="9525" b="8255"/>
                            <wp:docPr id="209185893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858931" name="Picture 13"/>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020098" cy="7021633"/>
                                    </a:xfrm>
                                    <a:prstGeom prst="rect">
                                      <a:avLst/>
                                    </a:prstGeom>
                                    <a:noFill/>
                                    <a:ln>
                                      <a:noFill/>
                                    </a:ln>
                                  </pic:spPr>
                                </pic:pic>
                              </a:graphicData>
                            </a:graphic>
                          </wp:inline>
                        </w:drawing>
                      </w:r>
                    </w:p>
                    <w:p w14:paraId="77F0BF0D" w14:textId="09847768" w:rsidR="00395723" w:rsidRPr="00B760CE" w:rsidRDefault="00395723" w:rsidP="00B760CE">
                      <w:pPr>
                        <w:pStyle w:val="Caption"/>
                        <w:spacing w:after="0"/>
                        <w:jc w:val="both"/>
                        <w:rPr>
                          <w:b/>
                          <w:bCs/>
                          <w:color w:val="0A2F41" w:themeColor="accent1" w:themeShade="80"/>
                          <w:sz w:val="16"/>
                          <w:szCs w:val="16"/>
                        </w:rPr>
                      </w:pPr>
                      <w:r w:rsidRPr="00DA3A6D">
                        <w:rPr>
                          <w:b/>
                          <w:bCs/>
                          <w:i w:val="0"/>
                          <w:iCs w:val="0"/>
                          <w:color w:val="0A2F41" w:themeColor="accent1" w:themeShade="80"/>
                          <w:sz w:val="16"/>
                          <w:szCs w:val="16"/>
                        </w:rPr>
                        <w:t xml:space="preserve">Supplementary Fig. </w:t>
                      </w:r>
                      <w:r w:rsidR="00487F3E">
                        <w:rPr>
                          <w:b/>
                          <w:bCs/>
                          <w:i w:val="0"/>
                          <w:iCs w:val="0"/>
                          <w:color w:val="0A2F41" w:themeColor="accent1" w:themeShade="80"/>
                          <w:sz w:val="16"/>
                          <w:szCs w:val="16"/>
                        </w:rPr>
                        <w:t>S</w:t>
                      </w:r>
                      <w:r w:rsidRPr="00DA3A6D">
                        <w:rPr>
                          <w:b/>
                          <w:bCs/>
                          <w:i w:val="0"/>
                          <w:iCs w:val="0"/>
                          <w:color w:val="0A2F41" w:themeColor="accent1" w:themeShade="80"/>
                          <w:sz w:val="16"/>
                          <w:szCs w:val="16"/>
                        </w:rPr>
                        <w:t>7 Channel-wise total event counts ranked by HFO — CA recordings.</w:t>
                      </w:r>
                      <w:r w:rsidR="00B760CE">
                        <w:rPr>
                          <w:b/>
                          <w:bCs/>
                          <w:color w:val="0A2F41" w:themeColor="accent1" w:themeShade="80"/>
                          <w:sz w:val="16"/>
                          <w:szCs w:val="16"/>
                        </w:rPr>
                        <w:t xml:space="preserve"> </w:t>
                      </w:r>
                      <w:r w:rsidRPr="00A13501">
                        <w:rPr>
                          <w:i w:val="0"/>
                          <w:iCs w:val="0"/>
                          <w:sz w:val="16"/>
                          <w:szCs w:val="16"/>
                        </w:rPr>
                        <w:t xml:space="preserve">Bar plots show the total number of detected events over 24 hours for each channel, ranked from highest to lowest rate, for all 10 subjects (P1–P10) recorded with the CA (Natus Quantum) system. Bars are color-coded by anatomical category: SOZ contacts in red, EP contacts in yellow, and oSOZ contacts in gray. The dashed vertical line at K = 10 indicates the cutoff. The top-ranked channels are consistently dominated by SOZ and EP contacts across subjects (except P9, which was </w:t>
                      </w:r>
                      <w:r w:rsidR="00BA7B5A" w:rsidRPr="00BA7B5A">
                        <w:rPr>
                          <w:i w:val="0"/>
                          <w:iCs w:val="0"/>
                          <w:sz w:val="16"/>
                          <w:szCs w:val="16"/>
                        </w:rPr>
                        <w:t>uncertain-localization</w:t>
                      </w:r>
                      <w:r w:rsidR="00BA7B5A" w:rsidRPr="00BA7B5A">
                        <w:rPr>
                          <w:sz w:val="16"/>
                          <w:szCs w:val="16"/>
                        </w:rPr>
                        <w:t xml:space="preserve"> </w:t>
                      </w:r>
                      <w:r w:rsidRPr="00A13501">
                        <w:rPr>
                          <w:i w:val="0"/>
                          <w:iCs w:val="0"/>
                          <w:sz w:val="16"/>
                          <w:szCs w:val="16"/>
                        </w:rPr>
                        <w:t>case), supporting the spatial concordance between rHFO-rich channels and clinically defined epileptogenic regions. Panel labels (P1–P10) identify individual subjects.</w:t>
                      </w:r>
                    </w:p>
                    <w:p w14:paraId="69DE44D7" w14:textId="77777777" w:rsidR="00395723" w:rsidRDefault="00395723" w:rsidP="00395723">
                      <w:pPr>
                        <w:pStyle w:val="Caption"/>
                        <w:spacing w:after="0"/>
                        <w:rPr>
                          <w:b/>
                          <w:bCs/>
                          <w:i w:val="0"/>
                          <w:iCs w:val="0"/>
                          <w:sz w:val="16"/>
                          <w:szCs w:val="16"/>
                        </w:rPr>
                      </w:pPr>
                    </w:p>
                    <w:p w14:paraId="0F03D456" w14:textId="77777777" w:rsidR="00395723" w:rsidRPr="00B87511" w:rsidRDefault="00395723" w:rsidP="00395723">
                      <w:pPr>
                        <w:pStyle w:val="Caption"/>
                        <w:spacing w:after="0"/>
                        <w:rPr>
                          <w:b/>
                          <w:bCs/>
                          <w:i w:val="0"/>
                          <w:iCs w:val="0"/>
                          <w:sz w:val="16"/>
                          <w:szCs w:val="16"/>
                        </w:rPr>
                      </w:pPr>
                    </w:p>
                  </w:txbxContent>
                </v:textbox>
                <w10:wrap type="square" anchorx="margin"/>
              </v:shape>
            </w:pict>
          </mc:Fallback>
        </mc:AlternateContent>
      </w:r>
    </w:p>
    <w:p w14:paraId="0A875B39" w14:textId="48127DCD" w:rsidR="00D21406" w:rsidRPr="00846005" w:rsidRDefault="00AA4C61" w:rsidP="002D6EAC">
      <w:pPr>
        <w:jc w:val="both"/>
        <w:rPr>
          <w:sz w:val="20"/>
          <w:szCs w:val="20"/>
        </w:rPr>
      </w:pPr>
      <w:r w:rsidRPr="00846005">
        <w:rPr>
          <w:noProof/>
        </w:rPr>
        <w:lastRenderedPageBreak/>
        <mc:AlternateContent>
          <mc:Choice Requires="wps">
            <w:drawing>
              <wp:anchor distT="0" distB="0" distL="114300" distR="114300" simplePos="0" relativeHeight="251697152" behindDoc="0" locked="0" layoutInCell="1" allowOverlap="1" wp14:anchorId="03BC8A4F" wp14:editId="4620E951">
                <wp:simplePos x="0" y="0"/>
                <wp:positionH relativeFrom="margin">
                  <wp:align>right</wp:align>
                </wp:positionH>
                <wp:positionV relativeFrom="paragraph">
                  <wp:posOffset>577</wp:posOffset>
                </wp:positionV>
                <wp:extent cx="5928995" cy="8217535"/>
                <wp:effectExtent l="0" t="0" r="0" b="0"/>
                <wp:wrapSquare wrapText="bothSides"/>
                <wp:docPr id="10082608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995" cy="8217725"/>
                        </a:xfrm>
                        <a:prstGeom prst="rect">
                          <a:avLst/>
                        </a:prstGeom>
                        <a:solidFill>
                          <a:srgbClr val="FFFFFF"/>
                        </a:solidFill>
                        <a:ln w="9525">
                          <a:noFill/>
                          <a:miter lim="800000"/>
                          <a:headEnd/>
                          <a:tailEnd/>
                        </a:ln>
                      </wps:spPr>
                      <wps:txbx>
                        <w:txbxContent>
                          <w:p w14:paraId="1BC62723" w14:textId="05E7764C" w:rsidR="00AA4C61" w:rsidRPr="00B87511" w:rsidRDefault="00395723" w:rsidP="00AA4C61">
                            <w:pPr>
                              <w:keepNext/>
                              <w:jc w:val="center"/>
                              <w:rPr>
                                <w:b/>
                                <w:bCs/>
                                <w:sz w:val="16"/>
                                <w:szCs w:val="16"/>
                              </w:rPr>
                            </w:pPr>
                            <w:r>
                              <w:rPr>
                                <w:noProof/>
                              </w:rPr>
                              <w:drawing>
                                <wp:inline distT="0" distB="0" distL="0" distR="0" wp14:anchorId="33A6B2AC" wp14:editId="09CCE514">
                                  <wp:extent cx="5516605" cy="2269052"/>
                                  <wp:effectExtent l="0" t="0" r="8255" b="0"/>
                                  <wp:docPr id="114830575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05757" name="Picture 15"/>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525198" cy="2272586"/>
                                          </a:xfrm>
                                          <a:prstGeom prst="rect">
                                            <a:avLst/>
                                          </a:prstGeom>
                                          <a:noFill/>
                                          <a:ln>
                                            <a:noFill/>
                                          </a:ln>
                                        </pic:spPr>
                                      </pic:pic>
                                    </a:graphicData>
                                  </a:graphic>
                                </wp:inline>
                              </w:drawing>
                            </w:r>
                          </w:p>
                          <w:p w14:paraId="4C8E765A" w14:textId="36E9F44F" w:rsidR="00AA4C61" w:rsidRPr="00B760CE" w:rsidRDefault="00EE482C" w:rsidP="00B760CE">
                            <w:pPr>
                              <w:pStyle w:val="Caption"/>
                              <w:spacing w:after="0"/>
                              <w:jc w:val="both"/>
                              <w:rPr>
                                <w:b/>
                                <w:bCs/>
                                <w:i w:val="0"/>
                                <w:iCs w:val="0"/>
                                <w:color w:val="0A2F41" w:themeColor="accent1" w:themeShade="80"/>
                                <w:sz w:val="16"/>
                                <w:szCs w:val="16"/>
                              </w:rPr>
                            </w:pPr>
                            <w:r w:rsidRPr="00DA3A6D">
                              <w:rPr>
                                <w:b/>
                                <w:bCs/>
                                <w:i w:val="0"/>
                                <w:iCs w:val="0"/>
                                <w:color w:val="0A2F41" w:themeColor="accent1" w:themeShade="80"/>
                                <w:sz w:val="16"/>
                                <w:szCs w:val="16"/>
                              </w:rPr>
                              <w:t xml:space="preserve">Supplementary Fig. </w:t>
                            </w:r>
                            <w:r w:rsidR="00487F3E">
                              <w:rPr>
                                <w:b/>
                                <w:bCs/>
                                <w:i w:val="0"/>
                                <w:iCs w:val="0"/>
                                <w:color w:val="0A2F41" w:themeColor="accent1" w:themeShade="80"/>
                                <w:sz w:val="16"/>
                                <w:szCs w:val="16"/>
                              </w:rPr>
                              <w:t>S</w:t>
                            </w:r>
                            <w:r w:rsidRPr="00DA3A6D">
                              <w:rPr>
                                <w:b/>
                                <w:bCs/>
                                <w:i w:val="0"/>
                                <w:iCs w:val="0"/>
                                <w:color w:val="0A2F41" w:themeColor="accent1" w:themeShade="80"/>
                                <w:sz w:val="16"/>
                                <w:szCs w:val="16"/>
                              </w:rPr>
                              <w:t xml:space="preserve">8. </w:t>
                            </w:r>
                            <w:r w:rsidRPr="00EE482C">
                              <w:rPr>
                                <w:b/>
                                <w:bCs/>
                                <w:i w:val="0"/>
                                <w:iCs w:val="0"/>
                                <w:color w:val="0A2F41" w:themeColor="accent1" w:themeShade="80"/>
                                <w:sz w:val="16"/>
                                <w:szCs w:val="16"/>
                              </w:rPr>
                              <w:t xml:space="preserve">Coverage of SOZ and </w:t>
                            </w:r>
                            <w:r>
                              <w:rPr>
                                <w:b/>
                                <w:bCs/>
                                <w:i w:val="0"/>
                                <w:iCs w:val="0"/>
                                <w:color w:val="0A2F41" w:themeColor="accent1" w:themeShade="80"/>
                                <w:sz w:val="16"/>
                                <w:szCs w:val="16"/>
                              </w:rPr>
                              <w:t>EP</w:t>
                            </w:r>
                            <w:r w:rsidRPr="00EE482C">
                              <w:rPr>
                                <w:b/>
                                <w:bCs/>
                                <w:i w:val="0"/>
                                <w:iCs w:val="0"/>
                                <w:color w:val="0A2F41" w:themeColor="accent1" w:themeShade="80"/>
                                <w:sz w:val="16"/>
                                <w:szCs w:val="16"/>
                              </w:rPr>
                              <w:t xml:space="preserve"> regions using channels ranked by HFO rate.</w:t>
                            </w:r>
                            <w:r w:rsidR="00B760CE">
                              <w:rPr>
                                <w:b/>
                                <w:bCs/>
                                <w:i w:val="0"/>
                                <w:iCs w:val="0"/>
                                <w:color w:val="0A2F41" w:themeColor="accent1" w:themeShade="80"/>
                                <w:sz w:val="16"/>
                                <w:szCs w:val="16"/>
                              </w:rPr>
                              <w:t xml:space="preserve"> </w:t>
                            </w:r>
                            <w:r w:rsidRPr="0038797E">
                              <w:rPr>
                                <w:b/>
                                <w:bCs/>
                                <w:i w:val="0"/>
                                <w:iCs w:val="0"/>
                                <w:color w:val="0A2F41" w:themeColor="accent1" w:themeShade="80"/>
                                <w:sz w:val="16"/>
                                <w:szCs w:val="16"/>
                              </w:rPr>
                              <w:t>(A)</w:t>
                            </w:r>
                            <w:r w:rsidRPr="00EE482C">
                              <w:rPr>
                                <w:i w:val="0"/>
                                <w:iCs w:val="0"/>
                                <w:color w:val="0A2F41" w:themeColor="accent1" w:themeShade="80"/>
                                <w:sz w:val="16"/>
                                <w:szCs w:val="16"/>
                              </w:rPr>
                              <w:t xml:space="preserve"> Percentage of </w:t>
                            </w:r>
                            <w:r>
                              <w:rPr>
                                <w:i w:val="0"/>
                                <w:iCs w:val="0"/>
                                <w:color w:val="0A2F41" w:themeColor="accent1" w:themeShade="80"/>
                                <w:sz w:val="16"/>
                                <w:szCs w:val="16"/>
                              </w:rPr>
                              <w:t>SOZ</w:t>
                            </w:r>
                            <w:r w:rsidRPr="00EE482C">
                              <w:rPr>
                                <w:i w:val="0"/>
                                <w:iCs w:val="0"/>
                                <w:color w:val="0A2F41" w:themeColor="accent1" w:themeShade="80"/>
                                <w:sz w:val="16"/>
                                <w:szCs w:val="16"/>
                              </w:rPr>
                              <w:t xml:space="preserve"> regions identified as a function of the top-ranked contacts, sorted by descending HFO rate, for the Brain Interchange system (BIC, green) and the clinical amplifier (CA, purple). Both systems reached 80% SOZ coverage using the top k = 10 contacts.</w:t>
                            </w:r>
                            <w:r w:rsidR="0038797E">
                              <w:rPr>
                                <w:i w:val="0"/>
                                <w:iCs w:val="0"/>
                                <w:color w:val="0A2F41" w:themeColor="accent1" w:themeShade="80"/>
                                <w:sz w:val="16"/>
                                <w:szCs w:val="16"/>
                              </w:rPr>
                              <w:t xml:space="preserve"> </w:t>
                            </w:r>
                            <w:r w:rsidRPr="0038797E">
                              <w:rPr>
                                <w:b/>
                                <w:bCs/>
                                <w:i w:val="0"/>
                                <w:iCs w:val="0"/>
                                <w:color w:val="0A2F41" w:themeColor="accent1" w:themeShade="80"/>
                                <w:sz w:val="16"/>
                                <w:szCs w:val="16"/>
                              </w:rPr>
                              <w:t>(B)</w:t>
                            </w:r>
                            <w:r w:rsidRPr="00EE482C">
                              <w:rPr>
                                <w:i w:val="0"/>
                                <w:iCs w:val="0"/>
                                <w:color w:val="0A2F41" w:themeColor="accent1" w:themeShade="80"/>
                                <w:sz w:val="16"/>
                                <w:szCs w:val="16"/>
                              </w:rPr>
                              <w:t xml:space="preserve"> Percentage of </w:t>
                            </w:r>
                            <w:r>
                              <w:rPr>
                                <w:i w:val="0"/>
                                <w:iCs w:val="0"/>
                                <w:color w:val="0A2F41" w:themeColor="accent1" w:themeShade="80"/>
                                <w:sz w:val="16"/>
                                <w:szCs w:val="16"/>
                              </w:rPr>
                              <w:t>EP</w:t>
                            </w:r>
                            <w:r w:rsidRPr="00EE482C">
                              <w:rPr>
                                <w:i w:val="0"/>
                                <w:iCs w:val="0"/>
                                <w:color w:val="0A2F41" w:themeColor="accent1" w:themeShade="80"/>
                                <w:sz w:val="16"/>
                                <w:szCs w:val="16"/>
                              </w:rPr>
                              <w:t xml:space="preserve"> regions identified using the same ranking. The CA reached 80% EP coverage at k = 9 contacts, while the BIC reached the same coverage at k = 11 contacts. Shaded regions indicate variability across subjects.</w:t>
                            </w:r>
                          </w:p>
                          <w:p w14:paraId="30A5AF7A" w14:textId="77777777" w:rsidR="00AA4C61" w:rsidRPr="00B87511" w:rsidRDefault="00AA4C61" w:rsidP="00AA4C61">
                            <w:pPr>
                              <w:pStyle w:val="Caption"/>
                              <w:spacing w:after="0"/>
                              <w:rPr>
                                <w:b/>
                                <w:bCs/>
                                <w:i w:val="0"/>
                                <w:iCs w:val="0"/>
                                <w:sz w:val="16"/>
                                <w:szCs w:val="16"/>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3BC8A4F" id="_x0000_s1033" type="#_x0000_t202" style="position:absolute;left:0;text-align:left;margin-left:415.65pt;margin-top:.05pt;width:466.85pt;height:647.05pt;z-index:25169715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" stroked="f">
                <v:textbox>
                  <w:txbxContent>
                    <w:p w14:paraId="1BC62723" w14:textId="05E7764C" w:rsidR="00AA4C61" w:rsidRPr="00B87511" w:rsidRDefault="00395723" w:rsidP="00AA4C61">
                      <w:pPr>
                        <w:keepNext/>
                        <w:jc w:val="center"/>
                        <w:rPr>
                          <w:b/>
                          <w:bCs/>
                          <w:sz w:val="16"/>
                          <w:szCs w:val="16"/>
                        </w:rPr>
                      </w:pPr>
                      <w:r>
                        <w:rPr>
                          <w:noProof/>
                        </w:rPr>
                        <w:drawing>
                          <wp:inline distT="0" distB="0" distL="0" distR="0" wp14:anchorId="33A6B2AC" wp14:editId="09CCE514">
                            <wp:extent cx="5516605" cy="2269052"/>
                            <wp:effectExtent l="0" t="0" r="8255" b="0"/>
                            <wp:docPr id="114830575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05757" name="Picture 15"/>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525198" cy="2272586"/>
                                    </a:xfrm>
                                    <a:prstGeom prst="rect">
                                      <a:avLst/>
                                    </a:prstGeom>
                                    <a:noFill/>
                                    <a:ln>
                                      <a:noFill/>
                                    </a:ln>
                                  </pic:spPr>
                                </pic:pic>
                              </a:graphicData>
                            </a:graphic>
                          </wp:inline>
                        </w:drawing>
                      </w:r>
                    </w:p>
                    <w:p w14:paraId="4C8E765A" w14:textId="36E9F44F" w:rsidR="00AA4C61" w:rsidRPr="00B760CE" w:rsidRDefault="00EE482C" w:rsidP="00B760CE">
                      <w:pPr>
                        <w:pStyle w:val="Caption"/>
                        <w:spacing w:after="0"/>
                        <w:jc w:val="both"/>
                        <w:rPr>
                          <w:b/>
                          <w:bCs/>
                          <w:i w:val="0"/>
                          <w:iCs w:val="0"/>
                          <w:color w:val="0A2F41" w:themeColor="accent1" w:themeShade="80"/>
                          <w:sz w:val="16"/>
                          <w:szCs w:val="16"/>
                        </w:rPr>
                      </w:pPr>
                      <w:r w:rsidRPr="00DA3A6D">
                        <w:rPr>
                          <w:b/>
                          <w:bCs/>
                          <w:i w:val="0"/>
                          <w:iCs w:val="0"/>
                          <w:color w:val="0A2F41" w:themeColor="accent1" w:themeShade="80"/>
                          <w:sz w:val="16"/>
                          <w:szCs w:val="16"/>
                        </w:rPr>
                        <w:t xml:space="preserve">Supplementary Fig. </w:t>
                      </w:r>
                      <w:r w:rsidR="00487F3E">
                        <w:rPr>
                          <w:b/>
                          <w:bCs/>
                          <w:i w:val="0"/>
                          <w:iCs w:val="0"/>
                          <w:color w:val="0A2F41" w:themeColor="accent1" w:themeShade="80"/>
                          <w:sz w:val="16"/>
                          <w:szCs w:val="16"/>
                        </w:rPr>
                        <w:t>S</w:t>
                      </w:r>
                      <w:r w:rsidRPr="00DA3A6D">
                        <w:rPr>
                          <w:b/>
                          <w:bCs/>
                          <w:i w:val="0"/>
                          <w:iCs w:val="0"/>
                          <w:color w:val="0A2F41" w:themeColor="accent1" w:themeShade="80"/>
                          <w:sz w:val="16"/>
                          <w:szCs w:val="16"/>
                        </w:rPr>
                        <w:t xml:space="preserve">8. </w:t>
                      </w:r>
                      <w:r w:rsidRPr="00EE482C">
                        <w:rPr>
                          <w:b/>
                          <w:bCs/>
                          <w:i w:val="0"/>
                          <w:iCs w:val="0"/>
                          <w:color w:val="0A2F41" w:themeColor="accent1" w:themeShade="80"/>
                          <w:sz w:val="16"/>
                          <w:szCs w:val="16"/>
                        </w:rPr>
                        <w:t xml:space="preserve">Coverage of SOZ and </w:t>
                      </w:r>
                      <w:r>
                        <w:rPr>
                          <w:b/>
                          <w:bCs/>
                          <w:i w:val="0"/>
                          <w:iCs w:val="0"/>
                          <w:color w:val="0A2F41" w:themeColor="accent1" w:themeShade="80"/>
                          <w:sz w:val="16"/>
                          <w:szCs w:val="16"/>
                        </w:rPr>
                        <w:t>EP</w:t>
                      </w:r>
                      <w:r w:rsidRPr="00EE482C">
                        <w:rPr>
                          <w:b/>
                          <w:bCs/>
                          <w:i w:val="0"/>
                          <w:iCs w:val="0"/>
                          <w:color w:val="0A2F41" w:themeColor="accent1" w:themeShade="80"/>
                          <w:sz w:val="16"/>
                          <w:szCs w:val="16"/>
                        </w:rPr>
                        <w:t xml:space="preserve"> regions using channels ranked by HFO rate.</w:t>
                      </w:r>
                      <w:r w:rsidR="00B760CE">
                        <w:rPr>
                          <w:b/>
                          <w:bCs/>
                          <w:i w:val="0"/>
                          <w:iCs w:val="0"/>
                          <w:color w:val="0A2F41" w:themeColor="accent1" w:themeShade="80"/>
                          <w:sz w:val="16"/>
                          <w:szCs w:val="16"/>
                        </w:rPr>
                        <w:t xml:space="preserve"> </w:t>
                      </w:r>
                      <w:r w:rsidRPr="0038797E">
                        <w:rPr>
                          <w:b/>
                          <w:bCs/>
                          <w:i w:val="0"/>
                          <w:iCs w:val="0"/>
                          <w:color w:val="0A2F41" w:themeColor="accent1" w:themeShade="80"/>
                          <w:sz w:val="16"/>
                          <w:szCs w:val="16"/>
                        </w:rPr>
                        <w:t>(A)</w:t>
                      </w:r>
                      <w:r w:rsidRPr="00EE482C">
                        <w:rPr>
                          <w:i w:val="0"/>
                          <w:iCs w:val="0"/>
                          <w:color w:val="0A2F41" w:themeColor="accent1" w:themeShade="80"/>
                          <w:sz w:val="16"/>
                          <w:szCs w:val="16"/>
                        </w:rPr>
                        <w:t xml:space="preserve"> Percentage of </w:t>
                      </w:r>
                      <w:r>
                        <w:rPr>
                          <w:i w:val="0"/>
                          <w:iCs w:val="0"/>
                          <w:color w:val="0A2F41" w:themeColor="accent1" w:themeShade="80"/>
                          <w:sz w:val="16"/>
                          <w:szCs w:val="16"/>
                        </w:rPr>
                        <w:t>SOZ</w:t>
                      </w:r>
                      <w:r w:rsidRPr="00EE482C">
                        <w:rPr>
                          <w:i w:val="0"/>
                          <w:iCs w:val="0"/>
                          <w:color w:val="0A2F41" w:themeColor="accent1" w:themeShade="80"/>
                          <w:sz w:val="16"/>
                          <w:szCs w:val="16"/>
                        </w:rPr>
                        <w:t xml:space="preserve"> regions identified as a function of the top-ranked contacts, sorted by descending HFO rate, for the Brain Interchange system (BIC, green) and the clinical amplifier (CA, purple). Both systems reached 80% SOZ coverage using the top k = 10 contacts.</w:t>
                      </w:r>
                      <w:r w:rsidR="0038797E">
                        <w:rPr>
                          <w:i w:val="0"/>
                          <w:iCs w:val="0"/>
                          <w:color w:val="0A2F41" w:themeColor="accent1" w:themeShade="80"/>
                          <w:sz w:val="16"/>
                          <w:szCs w:val="16"/>
                        </w:rPr>
                        <w:t xml:space="preserve"> </w:t>
                      </w:r>
                      <w:r w:rsidRPr="0038797E">
                        <w:rPr>
                          <w:b/>
                          <w:bCs/>
                          <w:i w:val="0"/>
                          <w:iCs w:val="0"/>
                          <w:color w:val="0A2F41" w:themeColor="accent1" w:themeShade="80"/>
                          <w:sz w:val="16"/>
                          <w:szCs w:val="16"/>
                        </w:rPr>
                        <w:t>(B)</w:t>
                      </w:r>
                      <w:r w:rsidRPr="00EE482C">
                        <w:rPr>
                          <w:i w:val="0"/>
                          <w:iCs w:val="0"/>
                          <w:color w:val="0A2F41" w:themeColor="accent1" w:themeShade="80"/>
                          <w:sz w:val="16"/>
                          <w:szCs w:val="16"/>
                        </w:rPr>
                        <w:t xml:space="preserve"> Percentage of </w:t>
                      </w:r>
                      <w:r>
                        <w:rPr>
                          <w:i w:val="0"/>
                          <w:iCs w:val="0"/>
                          <w:color w:val="0A2F41" w:themeColor="accent1" w:themeShade="80"/>
                          <w:sz w:val="16"/>
                          <w:szCs w:val="16"/>
                        </w:rPr>
                        <w:t>EP</w:t>
                      </w:r>
                      <w:r w:rsidRPr="00EE482C">
                        <w:rPr>
                          <w:i w:val="0"/>
                          <w:iCs w:val="0"/>
                          <w:color w:val="0A2F41" w:themeColor="accent1" w:themeShade="80"/>
                          <w:sz w:val="16"/>
                          <w:szCs w:val="16"/>
                        </w:rPr>
                        <w:t xml:space="preserve"> regions identified using the same ranking. The CA reached 80% EP coverage at k = 9 contacts, while the BIC reached the same coverage at k = 11 contacts. Shaded regions indicate variability across subjects.</w:t>
                      </w:r>
                    </w:p>
                    <w:p w14:paraId="30A5AF7A" w14:textId="77777777" w:rsidR="00AA4C61" w:rsidRPr="00B87511" w:rsidRDefault="00AA4C61" w:rsidP="00AA4C61">
                      <w:pPr>
                        <w:pStyle w:val="Caption"/>
                        <w:spacing w:after="0"/>
                        <w:rPr>
                          <w:b/>
                          <w:bCs/>
                          <w:i w:val="0"/>
                          <w:iCs w:val="0"/>
                          <w:sz w:val="16"/>
                          <w:szCs w:val="16"/>
                        </w:rPr>
                      </w:pPr>
                    </w:p>
                  </w:txbxContent>
                </v:textbox>
                <w10:wrap type="square" anchorx="margin"/>
              </v:shape>
            </w:pict>
          </mc:Fallback>
        </mc:AlternateContent>
      </w:r>
    </w:p>
    <w:sectPr w:rsidR="00D21406" w:rsidRPr="008460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6912"/>
    <w:multiLevelType w:val="multilevel"/>
    <w:tmpl w:val="70BA2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3D78CD"/>
    <w:multiLevelType w:val="hybridMultilevel"/>
    <w:tmpl w:val="5C3020A4"/>
    <w:lvl w:ilvl="0" w:tplc="A0A44BC6">
      <w:start w:val="1"/>
      <w:numFmt w:val="upperLetter"/>
      <w:lvlText w:val="(%1)"/>
      <w:lvlJc w:val="left"/>
      <w:pPr>
        <w:tabs>
          <w:tab w:val="num" w:pos="720"/>
        </w:tabs>
        <w:ind w:left="720" w:hanging="360"/>
      </w:pPr>
    </w:lvl>
    <w:lvl w:ilvl="1" w:tplc="4008E7C6" w:tentative="1">
      <w:start w:val="1"/>
      <w:numFmt w:val="upperLetter"/>
      <w:lvlText w:val="(%2)"/>
      <w:lvlJc w:val="left"/>
      <w:pPr>
        <w:tabs>
          <w:tab w:val="num" w:pos="1440"/>
        </w:tabs>
        <w:ind w:left="1440" w:hanging="360"/>
      </w:pPr>
    </w:lvl>
    <w:lvl w:ilvl="2" w:tplc="45F8973C" w:tentative="1">
      <w:start w:val="1"/>
      <w:numFmt w:val="upperLetter"/>
      <w:lvlText w:val="(%3)"/>
      <w:lvlJc w:val="left"/>
      <w:pPr>
        <w:tabs>
          <w:tab w:val="num" w:pos="2160"/>
        </w:tabs>
        <w:ind w:left="2160" w:hanging="360"/>
      </w:pPr>
    </w:lvl>
    <w:lvl w:ilvl="3" w:tplc="6CD800C6" w:tentative="1">
      <w:start w:val="1"/>
      <w:numFmt w:val="upperLetter"/>
      <w:lvlText w:val="(%4)"/>
      <w:lvlJc w:val="left"/>
      <w:pPr>
        <w:tabs>
          <w:tab w:val="num" w:pos="2880"/>
        </w:tabs>
        <w:ind w:left="2880" w:hanging="360"/>
      </w:pPr>
    </w:lvl>
    <w:lvl w:ilvl="4" w:tplc="E69CB420" w:tentative="1">
      <w:start w:val="1"/>
      <w:numFmt w:val="upperLetter"/>
      <w:lvlText w:val="(%5)"/>
      <w:lvlJc w:val="left"/>
      <w:pPr>
        <w:tabs>
          <w:tab w:val="num" w:pos="3600"/>
        </w:tabs>
        <w:ind w:left="3600" w:hanging="360"/>
      </w:pPr>
    </w:lvl>
    <w:lvl w:ilvl="5" w:tplc="CBBC9B1A" w:tentative="1">
      <w:start w:val="1"/>
      <w:numFmt w:val="upperLetter"/>
      <w:lvlText w:val="(%6)"/>
      <w:lvlJc w:val="left"/>
      <w:pPr>
        <w:tabs>
          <w:tab w:val="num" w:pos="4320"/>
        </w:tabs>
        <w:ind w:left="4320" w:hanging="360"/>
      </w:pPr>
    </w:lvl>
    <w:lvl w:ilvl="6" w:tplc="E1C6EBCC" w:tentative="1">
      <w:start w:val="1"/>
      <w:numFmt w:val="upperLetter"/>
      <w:lvlText w:val="(%7)"/>
      <w:lvlJc w:val="left"/>
      <w:pPr>
        <w:tabs>
          <w:tab w:val="num" w:pos="5040"/>
        </w:tabs>
        <w:ind w:left="5040" w:hanging="360"/>
      </w:pPr>
    </w:lvl>
    <w:lvl w:ilvl="7" w:tplc="84E84E48" w:tentative="1">
      <w:start w:val="1"/>
      <w:numFmt w:val="upperLetter"/>
      <w:lvlText w:val="(%8)"/>
      <w:lvlJc w:val="left"/>
      <w:pPr>
        <w:tabs>
          <w:tab w:val="num" w:pos="5760"/>
        </w:tabs>
        <w:ind w:left="5760" w:hanging="360"/>
      </w:pPr>
    </w:lvl>
    <w:lvl w:ilvl="8" w:tplc="AA2E33B0" w:tentative="1">
      <w:start w:val="1"/>
      <w:numFmt w:val="upperLetter"/>
      <w:lvlText w:val="(%9)"/>
      <w:lvlJc w:val="left"/>
      <w:pPr>
        <w:tabs>
          <w:tab w:val="num" w:pos="6480"/>
        </w:tabs>
        <w:ind w:left="6480" w:hanging="360"/>
      </w:pPr>
    </w:lvl>
  </w:abstractNum>
  <w:abstractNum w:abstractNumId="2" w15:restartNumberingAfterBreak="0">
    <w:nsid w:val="7FC45CF2"/>
    <w:multiLevelType w:val="hybridMultilevel"/>
    <w:tmpl w:val="0F5A4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8987085">
    <w:abstractNumId w:val="2"/>
  </w:num>
  <w:num w:numId="2" w16cid:durableId="1408261281">
    <w:abstractNumId w:val="0"/>
  </w:num>
  <w:num w:numId="3" w16cid:durableId="656618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QzNzQyNDE1NTI1NDBT0lEKTi0uzszPAykwrAUAmAKW/SwAAAA="/>
  </w:docVars>
  <w:rsids>
    <w:rsidRoot w:val="004C5664"/>
    <w:rsid w:val="000034D5"/>
    <w:rsid w:val="00004E0E"/>
    <w:rsid w:val="00005B84"/>
    <w:rsid w:val="000065C5"/>
    <w:rsid w:val="00007B7B"/>
    <w:rsid w:val="00014802"/>
    <w:rsid w:val="00015AAB"/>
    <w:rsid w:val="00023BC1"/>
    <w:rsid w:val="00025FBD"/>
    <w:rsid w:val="000320BD"/>
    <w:rsid w:val="00032471"/>
    <w:rsid w:val="0004407B"/>
    <w:rsid w:val="00046578"/>
    <w:rsid w:val="00051842"/>
    <w:rsid w:val="00052461"/>
    <w:rsid w:val="00066BF2"/>
    <w:rsid w:val="000709D3"/>
    <w:rsid w:val="00071232"/>
    <w:rsid w:val="00072489"/>
    <w:rsid w:val="0007734C"/>
    <w:rsid w:val="00087A03"/>
    <w:rsid w:val="00093A1F"/>
    <w:rsid w:val="000952B5"/>
    <w:rsid w:val="000970A6"/>
    <w:rsid w:val="00097DAF"/>
    <w:rsid w:val="000A1245"/>
    <w:rsid w:val="000A475F"/>
    <w:rsid w:val="000B108D"/>
    <w:rsid w:val="000B2816"/>
    <w:rsid w:val="000B2A38"/>
    <w:rsid w:val="000B2BA7"/>
    <w:rsid w:val="000B3435"/>
    <w:rsid w:val="000B45E4"/>
    <w:rsid w:val="000B62ED"/>
    <w:rsid w:val="000C634B"/>
    <w:rsid w:val="000D08A7"/>
    <w:rsid w:val="000D5AF1"/>
    <w:rsid w:val="000D717D"/>
    <w:rsid w:val="000D789B"/>
    <w:rsid w:val="000D7D23"/>
    <w:rsid w:val="000F184C"/>
    <w:rsid w:val="000F2658"/>
    <w:rsid w:val="000F33B5"/>
    <w:rsid w:val="000F3F05"/>
    <w:rsid w:val="000F41D3"/>
    <w:rsid w:val="0011268B"/>
    <w:rsid w:val="00115631"/>
    <w:rsid w:val="00121D2A"/>
    <w:rsid w:val="00121E40"/>
    <w:rsid w:val="00126F74"/>
    <w:rsid w:val="0012783D"/>
    <w:rsid w:val="00130128"/>
    <w:rsid w:val="0013277E"/>
    <w:rsid w:val="00132904"/>
    <w:rsid w:val="0013491B"/>
    <w:rsid w:val="00141E68"/>
    <w:rsid w:val="00150C35"/>
    <w:rsid w:val="0015140E"/>
    <w:rsid w:val="001547FD"/>
    <w:rsid w:val="0015555E"/>
    <w:rsid w:val="00155B95"/>
    <w:rsid w:val="0015666E"/>
    <w:rsid w:val="00156BE8"/>
    <w:rsid w:val="0016272C"/>
    <w:rsid w:val="00162782"/>
    <w:rsid w:val="0016278C"/>
    <w:rsid w:val="00165202"/>
    <w:rsid w:val="001655DF"/>
    <w:rsid w:val="001660B6"/>
    <w:rsid w:val="00167B51"/>
    <w:rsid w:val="00167F2C"/>
    <w:rsid w:val="00173E4F"/>
    <w:rsid w:val="0017463E"/>
    <w:rsid w:val="001752E4"/>
    <w:rsid w:val="00176331"/>
    <w:rsid w:val="00176EC4"/>
    <w:rsid w:val="00184CBE"/>
    <w:rsid w:val="001922C2"/>
    <w:rsid w:val="00194F83"/>
    <w:rsid w:val="00195626"/>
    <w:rsid w:val="001A4881"/>
    <w:rsid w:val="001B16A1"/>
    <w:rsid w:val="001C0649"/>
    <w:rsid w:val="001D4E0C"/>
    <w:rsid w:val="001D68CB"/>
    <w:rsid w:val="001E0503"/>
    <w:rsid w:val="001E39D5"/>
    <w:rsid w:val="001E4114"/>
    <w:rsid w:val="001E52FE"/>
    <w:rsid w:val="001F0BF8"/>
    <w:rsid w:val="001F17B7"/>
    <w:rsid w:val="001F24ED"/>
    <w:rsid w:val="001F5325"/>
    <w:rsid w:val="001F5DC1"/>
    <w:rsid w:val="001F6CF8"/>
    <w:rsid w:val="002007B2"/>
    <w:rsid w:val="002046B2"/>
    <w:rsid w:val="002049DD"/>
    <w:rsid w:val="002061F4"/>
    <w:rsid w:val="00210E83"/>
    <w:rsid w:val="00212AAD"/>
    <w:rsid w:val="00213126"/>
    <w:rsid w:val="0021531D"/>
    <w:rsid w:val="0022317F"/>
    <w:rsid w:val="0022321B"/>
    <w:rsid w:val="00224DCA"/>
    <w:rsid w:val="00231FD8"/>
    <w:rsid w:val="00234ACC"/>
    <w:rsid w:val="00235ED5"/>
    <w:rsid w:val="0023681A"/>
    <w:rsid w:val="0023713F"/>
    <w:rsid w:val="00240C51"/>
    <w:rsid w:val="00241AF6"/>
    <w:rsid w:val="00241E19"/>
    <w:rsid w:val="00242D5E"/>
    <w:rsid w:val="00245770"/>
    <w:rsid w:val="00245AB7"/>
    <w:rsid w:val="00246838"/>
    <w:rsid w:val="00247DB8"/>
    <w:rsid w:val="00254EEA"/>
    <w:rsid w:val="002563DD"/>
    <w:rsid w:val="00257EA2"/>
    <w:rsid w:val="00262B4B"/>
    <w:rsid w:val="002659F2"/>
    <w:rsid w:val="00266E0C"/>
    <w:rsid w:val="00267640"/>
    <w:rsid w:val="00271981"/>
    <w:rsid w:val="00273532"/>
    <w:rsid w:val="00275CA3"/>
    <w:rsid w:val="002815EC"/>
    <w:rsid w:val="00285102"/>
    <w:rsid w:val="00290E70"/>
    <w:rsid w:val="00291849"/>
    <w:rsid w:val="002950D9"/>
    <w:rsid w:val="002953C7"/>
    <w:rsid w:val="002A07E7"/>
    <w:rsid w:val="002A0D36"/>
    <w:rsid w:val="002A0E6C"/>
    <w:rsid w:val="002A11A9"/>
    <w:rsid w:val="002A1249"/>
    <w:rsid w:val="002A5D13"/>
    <w:rsid w:val="002B33CB"/>
    <w:rsid w:val="002B4886"/>
    <w:rsid w:val="002B6A6F"/>
    <w:rsid w:val="002B7217"/>
    <w:rsid w:val="002C1A68"/>
    <w:rsid w:val="002D1CEC"/>
    <w:rsid w:val="002D6EAC"/>
    <w:rsid w:val="002E0147"/>
    <w:rsid w:val="002E1CD3"/>
    <w:rsid w:val="002E1E18"/>
    <w:rsid w:val="002E2B73"/>
    <w:rsid w:val="002F0141"/>
    <w:rsid w:val="0030075B"/>
    <w:rsid w:val="00300E10"/>
    <w:rsid w:val="003017C2"/>
    <w:rsid w:val="00303261"/>
    <w:rsid w:val="00307EF1"/>
    <w:rsid w:val="00310612"/>
    <w:rsid w:val="00313C15"/>
    <w:rsid w:val="00314BC9"/>
    <w:rsid w:val="003216D8"/>
    <w:rsid w:val="00324359"/>
    <w:rsid w:val="00325082"/>
    <w:rsid w:val="00325FDD"/>
    <w:rsid w:val="0032624D"/>
    <w:rsid w:val="003270BF"/>
    <w:rsid w:val="00332AF7"/>
    <w:rsid w:val="003344F9"/>
    <w:rsid w:val="00334CB0"/>
    <w:rsid w:val="00336505"/>
    <w:rsid w:val="003430D2"/>
    <w:rsid w:val="00343586"/>
    <w:rsid w:val="00346651"/>
    <w:rsid w:val="003477FD"/>
    <w:rsid w:val="003525F2"/>
    <w:rsid w:val="003529EB"/>
    <w:rsid w:val="00353575"/>
    <w:rsid w:val="00353EEF"/>
    <w:rsid w:val="00362083"/>
    <w:rsid w:val="0036596D"/>
    <w:rsid w:val="00367C13"/>
    <w:rsid w:val="00367FD0"/>
    <w:rsid w:val="003702AC"/>
    <w:rsid w:val="00372E06"/>
    <w:rsid w:val="00372ECC"/>
    <w:rsid w:val="00372FE2"/>
    <w:rsid w:val="003809CD"/>
    <w:rsid w:val="00382127"/>
    <w:rsid w:val="0038797E"/>
    <w:rsid w:val="003949F8"/>
    <w:rsid w:val="00395723"/>
    <w:rsid w:val="003A1D50"/>
    <w:rsid w:val="003A26F3"/>
    <w:rsid w:val="003A2D1B"/>
    <w:rsid w:val="003A36B2"/>
    <w:rsid w:val="003A5D07"/>
    <w:rsid w:val="003A6BE9"/>
    <w:rsid w:val="003A758F"/>
    <w:rsid w:val="003B1BDD"/>
    <w:rsid w:val="003C12F1"/>
    <w:rsid w:val="003C12FC"/>
    <w:rsid w:val="003C2203"/>
    <w:rsid w:val="003C2C19"/>
    <w:rsid w:val="003C5035"/>
    <w:rsid w:val="003C68E3"/>
    <w:rsid w:val="003C7693"/>
    <w:rsid w:val="003D00E5"/>
    <w:rsid w:val="003D04AD"/>
    <w:rsid w:val="003D5652"/>
    <w:rsid w:val="003D5ECA"/>
    <w:rsid w:val="003D74A4"/>
    <w:rsid w:val="003E344B"/>
    <w:rsid w:val="003E3FFB"/>
    <w:rsid w:val="003E6E8D"/>
    <w:rsid w:val="003F6305"/>
    <w:rsid w:val="004029DF"/>
    <w:rsid w:val="00403092"/>
    <w:rsid w:val="004048D5"/>
    <w:rsid w:val="00406C2F"/>
    <w:rsid w:val="00410DD5"/>
    <w:rsid w:val="00416D0D"/>
    <w:rsid w:val="00421C20"/>
    <w:rsid w:val="00422AED"/>
    <w:rsid w:val="00423738"/>
    <w:rsid w:val="00423AAA"/>
    <w:rsid w:val="00423B6B"/>
    <w:rsid w:val="00442E01"/>
    <w:rsid w:val="00451160"/>
    <w:rsid w:val="0045141B"/>
    <w:rsid w:val="004542BD"/>
    <w:rsid w:val="00454559"/>
    <w:rsid w:val="004560BF"/>
    <w:rsid w:val="00476497"/>
    <w:rsid w:val="00480689"/>
    <w:rsid w:val="00480C33"/>
    <w:rsid w:val="00481B8A"/>
    <w:rsid w:val="004821B6"/>
    <w:rsid w:val="004821DF"/>
    <w:rsid w:val="00482C16"/>
    <w:rsid w:val="00484A08"/>
    <w:rsid w:val="00487F3E"/>
    <w:rsid w:val="004916F4"/>
    <w:rsid w:val="00491A15"/>
    <w:rsid w:val="0049525F"/>
    <w:rsid w:val="00495F76"/>
    <w:rsid w:val="00496D19"/>
    <w:rsid w:val="004A371F"/>
    <w:rsid w:val="004B0C96"/>
    <w:rsid w:val="004B1225"/>
    <w:rsid w:val="004B32EA"/>
    <w:rsid w:val="004B469A"/>
    <w:rsid w:val="004B5291"/>
    <w:rsid w:val="004B5F6A"/>
    <w:rsid w:val="004C42DA"/>
    <w:rsid w:val="004C5664"/>
    <w:rsid w:val="004C762F"/>
    <w:rsid w:val="004D0D7A"/>
    <w:rsid w:val="004D3684"/>
    <w:rsid w:val="004D6748"/>
    <w:rsid w:val="004E239D"/>
    <w:rsid w:val="004E453E"/>
    <w:rsid w:val="004E5248"/>
    <w:rsid w:val="004E6DA6"/>
    <w:rsid w:val="004F563F"/>
    <w:rsid w:val="004F6B30"/>
    <w:rsid w:val="004F72F4"/>
    <w:rsid w:val="005000CB"/>
    <w:rsid w:val="00501D8D"/>
    <w:rsid w:val="005052C7"/>
    <w:rsid w:val="0051354D"/>
    <w:rsid w:val="00513EE9"/>
    <w:rsid w:val="00516835"/>
    <w:rsid w:val="00524504"/>
    <w:rsid w:val="00525EA3"/>
    <w:rsid w:val="00526D2C"/>
    <w:rsid w:val="005275CA"/>
    <w:rsid w:val="0053153A"/>
    <w:rsid w:val="005330F6"/>
    <w:rsid w:val="00536CEA"/>
    <w:rsid w:val="005376E6"/>
    <w:rsid w:val="005378CC"/>
    <w:rsid w:val="00542B1F"/>
    <w:rsid w:val="005525B0"/>
    <w:rsid w:val="00554629"/>
    <w:rsid w:val="005561F5"/>
    <w:rsid w:val="00556A0E"/>
    <w:rsid w:val="00556F03"/>
    <w:rsid w:val="00562107"/>
    <w:rsid w:val="005627B3"/>
    <w:rsid w:val="00562CD2"/>
    <w:rsid w:val="00563F2B"/>
    <w:rsid w:val="00564627"/>
    <w:rsid w:val="0056593B"/>
    <w:rsid w:val="00566417"/>
    <w:rsid w:val="00571876"/>
    <w:rsid w:val="005762C3"/>
    <w:rsid w:val="00583751"/>
    <w:rsid w:val="00583752"/>
    <w:rsid w:val="00583845"/>
    <w:rsid w:val="005839CB"/>
    <w:rsid w:val="00586163"/>
    <w:rsid w:val="005906FB"/>
    <w:rsid w:val="00591650"/>
    <w:rsid w:val="00593627"/>
    <w:rsid w:val="005970E2"/>
    <w:rsid w:val="005A3731"/>
    <w:rsid w:val="005A5D8F"/>
    <w:rsid w:val="005A5F6F"/>
    <w:rsid w:val="005A7A0C"/>
    <w:rsid w:val="005B1676"/>
    <w:rsid w:val="005C416E"/>
    <w:rsid w:val="005C5BDD"/>
    <w:rsid w:val="005D2B38"/>
    <w:rsid w:val="005D3981"/>
    <w:rsid w:val="005D6385"/>
    <w:rsid w:val="005E491F"/>
    <w:rsid w:val="005F189D"/>
    <w:rsid w:val="005F2C30"/>
    <w:rsid w:val="005F454E"/>
    <w:rsid w:val="005F458B"/>
    <w:rsid w:val="005F76A4"/>
    <w:rsid w:val="005F7718"/>
    <w:rsid w:val="006008AF"/>
    <w:rsid w:val="006021FF"/>
    <w:rsid w:val="006027CD"/>
    <w:rsid w:val="00602964"/>
    <w:rsid w:val="00604BFA"/>
    <w:rsid w:val="0061147C"/>
    <w:rsid w:val="00611E26"/>
    <w:rsid w:val="0061368C"/>
    <w:rsid w:val="00613B02"/>
    <w:rsid w:val="006149B3"/>
    <w:rsid w:val="00616993"/>
    <w:rsid w:val="0064413E"/>
    <w:rsid w:val="006465E5"/>
    <w:rsid w:val="0064784B"/>
    <w:rsid w:val="006509E0"/>
    <w:rsid w:val="00651C22"/>
    <w:rsid w:val="00654069"/>
    <w:rsid w:val="00665914"/>
    <w:rsid w:val="00667060"/>
    <w:rsid w:val="00671023"/>
    <w:rsid w:val="006727D7"/>
    <w:rsid w:val="00673CDB"/>
    <w:rsid w:val="0067760B"/>
    <w:rsid w:val="0068192E"/>
    <w:rsid w:val="00682F77"/>
    <w:rsid w:val="0069081B"/>
    <w:rsid w:val="006910E3"/>
    <w:rsid w:val="00692B06"/>
    <w:rsid w:val="00693FB4"/>
    <w:rsid w:val="00694246"/>
    <w:rsid w:val="00695041"/>
    <w:rsid w:val="00696847"/>
    <w:rsid w:val="006A4F3F"/>
    <w:rsid w:val="006A75AE"/>
    <w:rsid w:val="006B0BAD"/>
    <w:rsid w:val="006C257F"/>
    <w:rsid w:val="006C3187"/>
    <w:rsid w:val="006C3DB7"/>
    <w:rsid w:val="006C7BD5"/>
    <w:rsid w:val="006C7D9F"/>
    <w:rsid w:val="006D21C1"/>
    <w:rsid w:val="006D3AF2"/>
    <w:rsid w:val="006D3FFA"/>
    <w:rsid w:val="006D44A4"/>
    <w:rsid w:val="006D4F9A"/>
    <w:rsid w:val="006D56C5"/>
    <w:rsid w:val="006E0888"/>
    <w:rsid w:val="006E1A97"/>
    <w:rsid w:val="006E24C3"/>
    <w:rsid w:val="006E2A0C"/>
    <w:rsid w:val="006E42C7"/>
    <w:rsid w:val="006E4477"/>
    <w:rsid w:val="006F1D88"/>
    <w:rsid w:val="006F491D"/>
    <w:rsid w:val="006F55A8"/>
    <w:rsid w:val="006F5A20"/>
    <w:rsid w:val="00701640"/>
    <w:rsid w:val="0070193B"/>
    <w:rsid w:val="00712726"/>
    <w:rsid w:val="0071525E"/>
    <w:rsid w:val="00716056"/>
    <w:rsid w:val="00723D7D"/>
    <w:rsid w:val="00734D82"/>
    <w:rsid w:val="0073599C"/>
    <w:rsid w:val="0074405B"/>
    <w:rsid w:val="0074769D"/>
    <w:rsid w:val="0075640B"/>
    <w:rsid w:val="00757E74"/>
    <w:rsid w:val="00761B8C"/>
    <w:rsid w:val="007623EF"/>
    <w:rsid w:val="00763A58"/>
    <w:rsid w:val="0077013B"/>
    <w:rsid w:val="007701A2"/>
    <w:rsid w:val="0077488D"/>
    <w:rsid w:val="00776ABC"/>
    <w:rsid w:val="00777658"/>
    <w:rsid w:val="00777F01"/>
    <w:rsid w:val="007853BE"/>
    <w:rsid w:val="007A72DE"/>
    <w:rsid w:val="007B3528"/>
    <w:rsid w:val="007B3ECE"/>
    <w:rsid w:val="007B64AB"/>
    <w:rsid w:val="007B6835"/>
    <w:rsid w:val="007B78C1"/>
    <w:rsid w:val="007C0D81"/>
    <w:rsid w:val="007C2012"/>
    <w:rsid w:val="007C5474"/>
    <w:rsid w:val="007C6756"/>
    <w:rsid w:val="007D01CB"/>
    <w:rsid w:val="007D1BEF"/>
    <w:rsid w:val="007D242D"/>
    <w:rsid w:val="007D2FA6"/>
    <w:rsid w:val="007D3FEB"/>
    <w:rsid w:val="007E26FD"/>
    <w:rsid w:val="007E3A76"/>
    <w:rsid w:val="007F4986"/>
    <w:rsid w:val="00805C6C"/>
    <w:rsid w:val="0080769C"/>
    <w:rsid w:val="00810900"/>
    <w:rsid w:val="0081293B"/>
    <w:rsid w:val="00812E74"/>
    <w:rsid w:val="0081314E"/>
    <w:rsid w:val="0081319F"/>
    <w:rsid w:val="00814325"/>
    <w:rsid w:val="008214E9"/>
    <w:rsid w:val="00823164"/>
    <w:rsid w:val="008247B3"/>
    <w:rsid w:val="008265BA"/>
    <w:rsid w:val="0082671D"/>
    <w:rsid w:val="00827DE4"/>
    <w:rsid w:val="00834894"/>
    <w:rsid w:val="00842654"/>
    <w:rsid w:val="00846005"/>
    <w:rsid w:val="00847B43"/>
    <w:rsid w:val="00847C83"/>
    <w:rsid w:val="00853106"/>
    <w:rsid w:val="00854B09"/>
    <w:rsid w:val="00860B26"/>
    <w:rsid w:val="008705E6"/>
    <w:rsid w:val="008743FA"/>
    <w:rsid w:val="008765D3"/>
    <w:rsid w:val="00881722"/>
    <w:rsid w:val="008821DD"/>
    <w:rsid w:val="00882679"/>
    <w:rsid w:val="00884B06"/>
    <w:rsid w:val="00887A65"/>
    <w:rsid w:val="008945C4"/>
    <w:rsid w:val="008A3B29"/>
    <w:rsid w:val="008A4DA4"/>
    <w:rsid w:val="008A5127"/>
    <w:rsid w:val="008A61C5"/>
    <w:rsid w:val="008B01CE"/>
    <w:rsid w:val="008B1BA8"/>
    <w:rsid w:val="008B2A73"/>
    <w:rsid w:val="008B6E4F"/>
    <w:rsid w:val="008C1DD8"/>
    <w:rsid w:val="008C4C1F"/>
    <w:rsid w:val="008C6035"/>
    <w:rsid w:val="008C656A"/>
    <w:rsid w:val="008D0B91"/>
    <w:rsid w:val="008E04E4"/>
    <w:rsid w:val="008E1E1E"/>
    <w:rsid w:val="008E2987"/>
    <w:rsid w:val="008E2BA1"/>
    <w:rsid w:val="008E5EAB"/>
    <w:rsid w:val="008E6180"/>
    <w:rsid w:val="008E726D"/>
    <w:rsid w:val="008E7DE7"/>
    <w:rsid w:val="008F27A2"/>
    <w:rsid w:val="008F52E5"/>
    <w:rsid w:val="008F6B75"/>
    <w:rsid w:val="00900B81"/>
    <w:rsid w:val="0090764A"/>
    <w:rsid w:val="009176C1"/>
    <w:rsid w:val="00923720"/>
    <w:rsid w:val="00930E4A"/>
    <w:rsid w:val="00934EE3"/>
    <w:rsid w:val="0093665F"/>
    <w:rsid w:val="00937BC6"/>
    <w:rsid w:val="009404AB"/>
    <w:rsid w:val="00941CCB"/>
    <w:rsid w:val="00942B2D"/>
    <w:rsid w:val="009433C3"/>
    <w:rsid w:val="00943537"/>
    <w:rsid w:val="00944053"/>
    <w:rsid w:val="0095244C"/>
    <w:rsid w:val="00954B02"/>
    <w:rsid w:val="00954D89"/>
    <w:rsid w:val="00964848"/>
    <w:rsid w:val="0096701A"/>
    <w:rsid w:val="0097006F"/>
    <w:rsid w:val="00972316"/>
    <w:rsid w:val="009729E9"/>
    <w:rsid w:val="009733F1"/>
    <w:rsid w:val="00976C90"/>
    <w:rsid w:val="00980487"/>
    <w:rsid w:val="009829B9"/>
    <w:rsid w:val="0098305D"/>
    <w:rsid w:val="0098456D"/>
    <w:rsid w:val="00985128"/>
    <w:rsid w:val="009910C3"/>
    <w:rsid w:val="0099186C"/>
    <w:rsid w:val="00991AD3"/>
    <w:rsid w:val="00995062"/>
    <w:rsid w:val="009A5EAC"/>
    <w:rsid w:val="009B0046"/>
    <w:rsid w:val="009B73F9"/>
    <w:rsid w:val="009B7B0D"/>
    <w:rsid w:val="009C1E4F"/>
    <w:rsid w:val="009C3357"/>
    <w:rsid w:val="009C43C9"/>
    <w:rsid w:val="009C5880"/>
    <w:rsid w:val="009C5E55"/>
    <w:rsid w:val="009C6AE7"/>
    <w:rsid w:val="009D5C5D"/>
    <w:rsid w:val="009D7EF7"/>
    <w:rsid w:val="009E10F4"/>
    <w:rsid w:val="009E1D8B"/>
    <w:rsid w:val="009E3314"/>
    <w:rsid w:val="009E7B03"/>
    <w:rsid w:val="009F4617"/>
    <w:rsid w:val="009F5E5D"/>
    <w:rsid w:val="00A00F63"/>
    <w:rsid w:val="00A048B1"/>
    <w:rsid w:val="00A10DF1"/>
    <w:rsid w:val="00A13501"/>
    <w:rsid w:val="00A17991"/>
    <w:rsid w:val="00A20DF4"/>
    <w:rsid w:val="00A24840"/>
    <w:rsid w:val="00A35BA8"/>
    <w:rsid w:val="00A43DA4"/>
    <w:rsid w:val="00A45BF7"/>
    <w:rsid w:val="00A47DE0"/>
    <w:rsid w:val="00A511B6"/>
    <w:rsid w:val="00A54C74"/>
    <w:rsid w:val="00A5662C"/>
    <w:rsid w:val="00A60715"/>
    <w:rsid w:val="00A62784"/>
    <w:rsid w:val="00A66FCF"/>
    <w:rsid w:val="00A67169"/>
    <w:rsid w:val="00A70F98"/>
    <w:rsid w:val="00A724FC"/>
    <w:rsid w:val="00A72E64"/>
    <w:rsid w:val="00A77D21"/>
    <w:rsid w:val="00A81C68"/>
    <w:rsid w:val="00A847E4"/>
    <w:rsid w:val="00A84CC5"/>
    <w:rsid w:val="00A90B14"/>
    <w:rsid w:val="00A9170C"/>
    <w:rsid w:val="00A95014"/>
    <w:rsid w:val="00A96C99"/>
    <w:rsid w:val="00AA1633"/>
    <w:rsid w:val="00AA4A76"/>
    <w:rsid w:val="00AA4C61"/>
    <w:rsid w:val="00AA5CEE"/>
    <w:rsid w:val="00AA71AC"/>
    <w:rsid w:val="00AB0143"/>
    <w:rsid w:val="00AB2563"/>
    <w:rsid w:val="00AB4F9B"/>
    <w:rsid w:val="00AB4FFA"/>
    <w:rsid w:val="00AB5351"/>
    <w:rsid w:val="00AC1F80"/>
    <w:rsid w:val="00AC2435"/>
    <w:rsid w:val="00AC6798"/>
    <w:rsid w:val="00AD0603"/>
    <w:rsid w:val="00AD1CEE"/>
    <w:rsid w:val="00AE678E"/>
    <w:rsid w:val="00AF0FD3"/>
    <w:rsid w:val="00AF1735"/>
    <w:rsid w:val="00AF6B12"/>
    <w:rsid w:val="00B02090"/>
    <w:rsid w:val="00B03B76"/>
    <w:rsid w:val="00B04217"/>
    <w:rsid w:val="00B06BD6"/>
    <w:rsid w:val="00B10B90"/>
    <w:rsid w:val="00B11671"/>
    <w:rsid w:val="00B135E2"/>
    <w:rsid w:val="00B13F95"/>
    <w:rsid w:val="00B22ED8"/>
    <w:rsid w:val="00B25ECA"/>
    <w:rsid w:val="00B30F4E"/>
    <w:rsid w:val="00B3491B"/>
    <w:rsid w:val="00B36D8A"/>
    <w:rsid w:val="00B4340B"/>
    <w:rsid w:val="00B50401"/>
    <w:rsid w:val="00B51B51"/>
    <w:rsid w:val="00B541B8"/>
    <w:rsid w:val="00B54D93"/>
    <w:rsid w:val="00B570D0"/>
    <w:rsid w:val="00B57EB9"/>
    <w:rsid w:val="00B62A3A"/>
    <w:rsid w:val="00B71003"/>
    <w:rsid w:val="00B760CE"/>
    <w:rsid w:val="00B76787"/>
    <w:rsid w:val="00B840C5"/>
    <w:rsid w:val="00B87511"/>
    <w:rsid w:val="00BA2FE7"/>
    <w:rsid w:val="00BA527A"/>
    <w:rsid w:val="00BA7B5A"/>
    <w:rsid w:val="00BA7F33"/>
    <w:rsid w:val="00BB6A85"/>
    <w:rsid w:val="00BB7FC4"/>
    <w:rsid w:val="00BC3E9F"/>
    <w:rsid w:val="00BC501E"/>
    <w:rsid w:val="00BC7B76"/>
    <w:rsid w:val="00BD0407"/>
    <w:rsid w:val="00BD2269"/>
    <w:rsid w:val="00BD5648"/>
    <w:rsid w:val="00BD569B"/>
    <w:rsid w:val="00BF05FB"/>
    <w:rsid w:val="00BF2648"/>
    <w:rsid w:val="00BF2BD2"/>
    <w:rsid w:val="00BF6A01"/>
    <w:rsid w:val="00C017FD"/>
    <w:rsid w:val="00C01F1A"/>
    <w:rsid w:val="00C02895"/>
    <w:rsid w:val="00C055B1"/>
    <w:rsid w:val="00C05E70"/>
    <w:rsid w:val="00C07F05"/>
    <w:rsid w:val="00C1358A"/>
    <w:rsid w:val="00C233BD"/>
    <w:rsid w:val="00C25E07"/>
    <w:rsid w:val="00C309F1"/>
    <w:rsid w:val="00C32BB0"/>
    <w:rsid w:val="00C3437E"/>
    <w:rsid w:val="00C42A65"/>
    <w:rsid w:val="00C45CA7"/>
    <w:rsid w:val="00C46E58"/>
    <w:rsid w:val="00C502B1"/>
    <w:rsid w:val="00C50E6D"/>
    <w:rsid w:val="00C536EB"/>
    <w:rsid w:val="00C71692"/>
    <w:rsid w:val="00C7440D"/>
    <w:rsid w:val="00C811D7"/>
    <w:rsid w:val="00C973E3"/>
    <w:rsid w:val="00CA09CC"/>
    <w:rsid w:val="00CA0A58"/>
    <w:rsid w:val="00CA3180"/>
    <w:rsid w:val="00CB0C2D"/>
    <w:rsid w:val="00CB15F6"/>
    <w:rsid w:val="00CB5FBD"/>
    <w:rsid w:val="00CC2417"/>
    <w:rsid w:val="00CC5021"/>
    <w:rsid w:val="00CC78B3"/>
    <w:rsid w:val="00CD0914"/>
    <w:rsid w:val="00CD240F"/>
    <w:rsid w:val="00CD2BB6"/>
    <w:rsid w:val="00CD7641"/>
    <w:rsid w:val="00CE545C"/>
    <w:rsid w:val="00CF52D2"/>
    <w:rsid w:val="00CF6F5B"/>
    <w:rsid w:val="00D02CFB"/>
    <w:rsid w:val="00D042AF"/>
    <w:rsid w:val="00D110DE"/>
    <w:rsid w:val="00D13F00"/>
    <w:rsid w:val="00D15A82"/>
    <w:rsid w:val="00D17890"/>
    <w:rsid w:val="00D200D9"/>
    <w:rsid w:val="00D21406"/>
    <w:rsid w:val="00D2236C"/>
    <w:rsid w:val="00D30B02"/>
    <w:rsid w:val="00D31751"/>
    <w:rsid w:val="00D31C43"/>
    <w:rsid w:val="00D32276"/>
    <w:rsid w:val="00D32769"/>
    <w:rsid w:val="00D339D4"/>
    <w:rsid w:val="00D34E78"/>
    <w:rsid w:val="00D357F7"/>
    <w:rsid w:val="00D42D42"/>
    <w:rsid w:val="00D43074"/>
    <w:rsid w:val="00D43FD3"/>
    <w:rsid w:val="00D519E2"/>
    <w:rsid w:val="00D52359"/>
    <w:rsid w:val="00D56F7F"/>
    <w:rsid w:val="00D609C8"/>
    <w:rsid w:val="00D60CBF"/>
    <w:rsid w:val="00D64A35"/>
    <w:rsid w:val="00D650D5"/>
    <w:rsid w:val="00D656F9"/>
    <w:rsid w:val="00D71B2B"/>
    <w:rsid w:val="00D71D1F"/>
    <w:rsid w:val="00D73D33"/>
    <w:rsid w:val="00D778B0"/>
    <w:rsid w:val="00D8195D"/>
    <w:rsid w:val="00D82844"/>
    <w:rsid w:val="00D83B39"/>
    <w:rsid w:val="00D8419E"/>
    <w:rsid w:val="00D85592"/>
    <w:rsid w:val="00D87C6C"/>
    <w:rsid w:val="00D93F5F"/>
    <w:rsid w:val="00D9609F"/>
    <w:rsid w:val="00DA3A6D"/>
    <w:rsid w:val="00DB0C4E"/>
    <w:rsid w:val="00DB1011"/>
    <w:rsid w:val="00DB284A"/>
    <w:rsid w:val="00DB463E"/>
    <w:rsid w:val="00DB540C"/>
    <w:rsid w:val="00DC095E"/>
    <w:rsid w:val="00DC15F9"/>
    <w:rsid w:val="00DC3998"/>
    <w:rsid w:val="00DC7A5F"/>
    <w:rsid w:val="00DD1A19"/>
    <w:rsid w:val="00DD21D6"/>
    <w:rsid w:val="00DD460A"/>
    <w:rsid w:val="00DE2BA1"/>
    <w:rsid w:val="00DE6B74"/>
    <w:rsid w:val="00DF1E46"/>
    <w:rsid w:val="00DF2D9F"/>
    <w:rsid w:val="00DF4AF2"/>
    <w:rsid w:val="00DF593C"/>
    <w:rsid w:val="00E01ADE"/>
    <w:rsid w:val="00E025B3"/>
    <w:rsid w:val="00E04E5B"/>
    <w:rsid w:val="00E05707"/>
    <w:rsid w:val="00E064CF"/>
    <w:rsid w:val="00E070AA"/>
    <w:rsid w:val="00E11A0C"/>
    <w:rsid w:val="00E13E3B"/>
    <w:rsid w:val="00E16A83"/>
    <w:rsid w:val="00E207E2"/>
    <w:rsid w:val="00E2472B"/>
    <w:rsid w:val="00E24DE2"/>
    <w:rsid w:val="00E30030"/>
    <w:rsid w:val="00E32514"/>
    <w:rsid w:val="00E367E4"/>
    <w:rsid w:val="00E44972"/>
    <w:rsid w:val="00E44AA9"/>
    <w:rsid w:val="00E46F1D"/>
    <w:rsid w:val="00E51307"/>
    <w:rsid w:val="00E51CC1"/>
    <w:rsid w:val="00E52A1E"/>
    <w:rsid w:val="00E617E3"/>
    <w:rsid w:val="00E6236E"/>
    <w:rsid w:val="00E710E0"/>
    <w:rsid w:val="00E76747"/>
    <w:rsid w:val="00E775CD"/>
    <w:rsid w:val="00E779B7"/>
    <w:rsid w:val="00E87FAD"/>
    <w:rsid w:val="00E9079C"/>
    <w:rsid w:val="00E91144"/>
    <w:rsid w:val="00E924A0"/>
    <w:rsid w:val="00E92E0D"/>
    <w:rsid w:val="00EA0B23"/>
    <w:rsid w:val="00EB61C0"/>
    <w:rsid w:val="00EC107F"/>
    <w:rsid w:val="00EC2E6F"/>
    <w:rsid w:val="00EC469B"/>
    <w:rsid w:val="00EC5AE9"/>
    <w:rsid w:val="00EC763E"/>
    <w:rsid w:val="00ED40E4"/>
    <w:rsid w:val="00ED55AA"/>
    <w:rsid w:val="00ED5713"/>
    <w:rsid w:val="00EE42C0"/>
    <w:rsid w:val="00EE482C"/>
    <w:rsid w:val="00EE4C14"/>
    <w:rsid w:val="00EF2106"/>
    <w:rsid w:val="00F01B2C"/>
    <w:rsid w:val="00F02FBE"/>
    <w:rsid w:val="00F06E91"/>
    <w:rsid w:val="00F10CD0"/>
    <w:rsid w:val="00F11D3A"/>
    <w:rsid w:val="00F1472E"/>
    <w:rsid w:val="00F200CA"/>
    <w:rsid w:val="00F20B4E"/>
    <w:rsid w:val="00F2221B"/>
    <w:rsid w:val="00F23CA4"/>
    <w:rsid w:val="00F24450"/>
    <w:rsid w:val="00F25186"/>
    <w:rsid w:val="00F25A44"/>
    <w:rsid w:val="00F25FA0"/>
    <w:rsid w:val="00F2627B"/>
    <w:rsid w:val="00F31275"/>
    <w:rsid w:val="00F3164E"/>
    <w:rsid w:val="00F33583"/>
    <w:rsid w:val="00F341D8"/>
    <w:rsid w:val="00F41E48"/>
    <w:rsid w:val="00F43D94"/>
    <w:rsid w:val="00F44647"/>
    <w:rsid w:val="00F4629F"/>
    <w:rsid w:val="00F52B15"/>
    <w:rsid w:val="00F55718"/>
    <w:rsid w:val="00F568E8"/>
    <w:rsid w:val="00F6190F"/>
    <w:rsid w:val="00F61AFE"/>
    <w:rsid w:val="00F63F81"/>
    <w:rsid w:val="00F6507E"/>
    <w:rsid w:val="00F70E2F"/>
    <w:rsid w:val="00F717DC"/>
    <w:rsid w:val="00F74027"/>
    <w:rsid w:val="00F74BF6"/>
    <w:rsid w:val="00F775D2"/>
    <w:rsid w:val="00F82F52"/>
    <w:rsid w:val="00F83195"/>
    <w:rsid w:val="00F83CA8"/>
    <w:rsid w:val="00F92964"/>
    <w:rsid w:val="00F9347D"/>
    <w:rsid w:val="00F947E5"/>
    <w:rsid w:val="00F95840"/>
    <w:rsid w:val="00FA10FC"/>
    <w:rsid w:val="00FA1EEF"/>
    <w:rsid w:val="00FA63B1"/>
    <w:rsid w:val="00FA681D"/>
    <w:rsid w:val="00FB2A01"/>
    <w:rsid w:val="00FC1A4E"/>
    <w:rsid w:val="00FC2020"/>
    <w:rsid w:val="00FC3DFD"/>
    <w:rsid w:val="00FC4A13"/>
    <w:rsid w:val="00FC5557"/>
    <w:rsid w:val="00FD5C63"/>
    <w:rsid w:val="00FE02F6"/>
    <w:rsid w:val="00FE1B25"/>
    <w:rsid w:val="00FE265D"/>
    <w:rsid w:val="00FE3097"/>
    <w:rsid w:val="00FE417D"/>
    <w:rsid w:val="00FF52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7E4E7"/>
  <w14:defaultImageDpi w14:val="32767"/>
  <w15:chartTrackingRefBased/>
  <w15:docId w15:val="{FA0B2F00-B14D-447B-B8D0-FD04247C6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126"/>
  </w:style>
  <w:style w:type="paragraph" w:styleId="Heading1">
    <w:name w:val="heading 1"/>
    <w:basedOn w:val="Normal"/>
    <w:next w:val="Normal"/>
    <w:link w:val="Heading1Char"/>
    <w:uiPriority w:val="9"/>
    <w:qFormat/>
    <w:rsid w:val="004C56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C56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C56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56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56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56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56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56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56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6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C56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C56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56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56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56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56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56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5664"/>
    <w:rPr>
      <w:rFonts w:eastAsiaTheme="majorEastAsia" w:cstheme="majorBidi"/>
      <w:color w:val="272727" w:themeColor="text1" w:themeTint="D8"/>
    </w:rPr>
  </w:style>
  <w:style w:type="paragraph" w:styleId="Title">
    <w:name w:val="Title"/>
    <w:basedOn w:val="Normal"/>
    <w:next w:val="Normal"/>
    <w:link w:val="TitleChar"/>
    <w:uiPriority w:val="10"/>
    <w:qFormat/>
    <w:rsid w:val="004C56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6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56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56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5664"/>
    <w:pPr>
      <w:spacing w:before="160"/>
      <w:jc w:val="center"/>
    </w:pPr>
    <w:rPr>
      <w:i/>
      <w:iCs/>
      <w:color w:val="404040" w:themeColor="text1" w:themeTint="BF"/>
    </w:rPr>
  </w:style>
  <w:style w:type="character" w:customStyle="1" w:styleId="QuoteChar">
    <w:name w:val="Quote Char"/>
    <w:basedOn w:val="DefaultParagraphFont"/>
    <w:link w:val="Quote"/>
    <w:uiPriority w:val="29"/>
    <w:rsid w:val="004C5664"/>
    <w:rPr>
      <w:i/>
      <w:iCs/>
      <w:color w:val="404040" w:themeColor="text1" w:themeTint="BF"/>
    </w:rPr>
  </w:style>
  <w:style w:type="paragraph" w:styleId="ListParagraph">
    <w:name w:val="List Paragraph"/>
    <w:basedOn w:val="Normal"/>
    <w:uiPriority w:val="34"/>
    <w:qFormat/>
    <w:rsid w:val="004C5664"/>
    <w:pPr>
      <w:ind w:left="720"/>
      <w:contextualSpacing/>
    </w:pPr>
  </w:style>
  <w:style w:type="character" w:styleId="IntenseEmphasis">
    <w:name w:val="Intense Emphasis"/>
    <w:basedOn w:val="DefaultParagraphFont"/>
    <w:uiPriority w:val="21"/>
    <w:qFormat/>
    <w:rsid w:val="004C5664"/>
    <w:rPr>
      <w:i/>
      <w:iCs/>
      <w:color w:val="0F4761" w:themeColor="accent1" w:themeShade="BF"/>
    </w:rPr>
  </w:style>
  <w:style w:type="paragraph" w:styleId="IntenseQuote">
    <w:name w:val="Intense Quote"/>
    <w:basedOn w:val="Normal"/>
    <w:next w:val="Normal"/>
    <w:link w:val="IntenseQuoteChar"/>
    <w:uiPriority w:val="30"/>
    <w:qFormat/>
    <w:rsid w:val="004C56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5664"/>
    <w:rPr>
      <w:i/>
      <w:iCs/>
      <w:color w:val="0F4761" w:themeColor="accent1" w:themeShade="BF"/>
    </w:rPr>
  </w:style>
  <w:style w:type="character" w:styleId="IntenseReference">
    <w:name w:val="Intense Reference"/>
    <w:basedOn w:val="DefaultParagraphFont"/>
    <w:uiPriority w:val="32"/>
    <w:qFormat/>
    <w:rsid w:val="004C5664"/>
    <w:rPr>
      <w:b/>
      <w:bCs/>
      <w:smallCaps/>
      <w:color w:val="0F4761" w:themeColor="accent1" w:themeShade="BF"/>
      <w:spacing w:val="5"/>
    </w:rPr>
  </w:style>
  <w:style w:type="character" w:styleId="Hyperlink">
    <w:name w:val="Hyperlink"/>
    <w:basedOn w:val="DefaultParagraphFont"/>
    <w:uiPriority w:val="99"/>
    <w:unhideWhenUsed/>
    <w:rsid w:val="00FC4A13"/>
    <w:rPr>
      <w:color w:val="467886" w:themeColor="hyperlink"/>
      <w:u w:val="single"/>
    </w:rPr>
  </w:style>
  <w:style w:type="paragraph" w:styleId="Caption">
    <w:name w:val="caption"/>
    <w:basedOn w:val="Normal"/>
    <w:next w:val="Normal"/>
    <w:uiPriority w:val="35"/>
    <w:unhideWhenUsed/>
    <w:qFormat/>
    <w:rsid w:val="00442E01"/>
    <w:pPr>
      <w:spacing w:after="200" w:line="240" w:lineRule="auto"/>
    </w:pPr>
    <w:rPr>
      <w:i/>
      <w:iCs/>
      <w:color w:val="0E2841" w:themeColor="text2"/>
      <w:sz w:val="18"/>
      <w:szCs w:val="18"/>
    </w:rPr>
  </w:style>
  <w:style w:type="paragraph" w:styleId="NormalWeb">
    <w:name w:val="Normal (Web)"/>
    <w:basedOn w:val="Normal"/>
    <w:uiPriority w:val="99"/>
    <w:semiHidden/>
    <w:unhideWhenUsed/>
    <w:rsid w:val="006C7D9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F11D3A"/>
    <w:pPr>
      <w:spacing w:after="0" w:line="240" w:lineRule="auto"/>
    </w:pPr>
  </w:style>
  <w:style w:type="character" w:styleId="CommentReference">
    <w:name w:val="annotation reference"/>
    <w:basedOn w:val="DefaultParagraphFont"/>
    <w:uiPriority w:val="99"/>
    <w:semiHidden/>
    <w:unhideWhenUsed/>
    <w:rsid w:val="00F11D3A"/>
    <w:rPr>
      <w:sz w:val="16"/>
      <w:szCs w:val="16"/>
    </w:rPr>
  </w:style>
  <w:style w:type="paragraph" w:styleId="CommentText">
    <w:name w:val="annotation text"/>
    <w:basedOn w:val="Normal"/>
    <w:link w:val="CommentTextChar"/>
    <w:uiPriority w:val="99"/>
    <w:unhideWhenUsed/>
    <w:rsid w:val="00F11D3A"/>
    <w:pPr>
      <w:spacing w:line="240" w:lineRule="auto"/>
    </w:pPr>
    <w:rPr>
      <w:sz w:val="20"/>
      <w:szCs w:val="20"/>
    </w:rPr>
  </w:style>
  <w:style w:type="character" w:customStyle="1" w:styleId="CommentTextChar">
    <w:name w:val="Comment Text Char"/>
    <w:basedOn w:val="DefaultParagraphFont"/>
    <w:link w:val="CommentText"/>
    <w:uiPriority w:val="99"/>
    <w:rsid w:val="00F11D3A"/>
    <w:rPr>
      <w:sz w:val="20"/>
      <w:szCs w:val="20"/>
    </w:rPr>
  </w:style>
  <w:style w:type="paragraph" w:styleId="CommentSubject">
    <w:name w:val="annotation subject"/>
    <w:basedOn w:val="CommentText"/>
    <w:next w:val="CommentText"/>
    <w:link w:val="CommentSubjectChar"/>
    <w:uiPriority w:val="99"/>
    <w:semiHidden/>
    <w:unhideWhenUsed/>
    <w:rsid w:val="00F11D3A"/>
    <w:rPr>
      <w:b/>
      <w:bCs/>
    </w:rPr>
  </w:style>
  <w:style w:type="character" w:customStyle="1" w:styleId="CommentSubjectChar">
    <w:name w:val="Comment Subject Char"/>
    <w:basedOn w:val="CommentTextChar"/>
    <w:link w:val="CommentSubject"/>
    <w:uiPriority w:val="99"/>
    <w:semiHidden/>
    <w:rsid w:val="00F11D3A"/>
    <w:rPr>
      <w:b/>
      <w:bCs/>
      <w:sz w:val="20"/>
      <w:szCs w:val="20"/>
    </w:rPr>
  </w:style>
  <w:style w:type="paragraph" w:styleId="Bibliography">
    <w:name w:val="Bibliography"/>
    <w:basedOn w:val="Normal"/>
    <w:next w:val="Normal"/>
    <w:uiPriority w:val="37"/>
    <w:unhideWhenUsed/>
    <w:rsid w:val="00FC2020"/>
  </w:style>
  <w:style w:type="character" w:styleId="PlaceholderText">
    <w:name w:val="Placeholder Text"/>
    <w:basedOn w:val="DefaultParagraphFont"/>
    <w:uiPriority w:val="99"/>
    <w:semiHidden/>
    <w:rsid w:val="00234ACC"/>
    <w:rPr>
      <w:color w:val="666666"/>
    </w:rPr>
  </w:style>
  <w:style w:type="character" w:styleId="UnresolvedMention">
    <w:name w:val="Unresolved Mention"/>
    <w:basedOn w:val="DefaultParagraphFont"/>
    <w:uiPriority w:val="99"/>
    <w:semiHidden/>
    <w:unhideWhenUsed/>
    <w:rsid w:val="006F1D88"/>
    <w:rPr>
      <w:color w:val="605E5C"/>
      <w:shd w:val="clear" w:color="auto" w:fill="E1DFDD"/>
    </w:rPr>
  </w:style>
  <w:style w:type="table" w:styleId="TableGrid">
    <w:name w:val="Table Grid"/>
    <w:basedOn w:val="TableNormal"/>
    <w:uiPriority w:val="39"/>
    <w:rsid w:val="00213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sv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 dockstate="right" visibility="0"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A42AC09D-6786-404B-A6EE-38B1933E937C}">
  <we:reference id="wa104382081" version="1.55.1.0" store="en-US" storeType="OMEX"/>
  <we:alternateReferences>
    <we:reference id="WA104382081" version="1.55.1.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A229E87-DCBE-4FC8-AD23-9C3D2043D005}">
  <we:reference id="ee5ff867-b433-45a8-aa6c-c69d56b7dde7" version="1.2.0.0" store="EXCatalog" storeType="EXCatalog"/>
  <we:alternateReferences>
    <we:reference id="WA104381026"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EEB43-4942-4BC1-BFD9-BE4FF97A7040}">
  <ds:schemaRefs>
    <ds:schemaRef ds:uri="http://schemas.openxmlformats.org/officeDocument/2006/bibliography"/>
  </ds:schemaRefs>
</ds:datastoreItem>
</file>

<file path=docMetadata/LabelInfo.xml><?xml version="1.0" encoding="utf-8"?>
<clbl:labelList xmlns:clbl="http://schemas.microsoft.com/office/2020/mipLabelMetadata">
  <clbl:label id="{990794cc-8ced-4156-9787-a1fbf819c752}" enabled="1" method="Standard" siteId="{a25fff9c-3f63-4fb2-9a8a-d9bdd0321f9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162</Words>
  <Characters>929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Fazli Besheli, Behrang, Ph.D.</dc:creator>
  <cp:keywords/>
  <dc:description/>
  <cp:lastModifiedBy>Ince, Nuri F., Ph.D.</cp:lastModifiedBy>
  <cp:revision>2</cp:revision>
  <cp:lastPrinted>2025-12-17T23:31:00Z</cp:lastPrinted>
  <dcterms:created xsi:type="dcterms:W3CDTF">2026-08-10T20:10:00Z</dcterms:created>
  <dcterms:modified xsi:type="dcterms:W3CDTF">2026-08-10T20:10:00Z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id="1FaLrawF"/&gt;&lt;style id="http://www.zotero.org/styles/nature" hasBibliography="1" bibliographyStyleHasBeenSet="1"/&gt;&lt;prefs&gt;&lt;pref name="fieldType" value="Field"/&gt;&lt;pref name="delayCitationUpdates" value</vt:lpwstr>
  </property>
  <property fmtid="{D5CDD505-2E9C-101B-9397-08002B2CF9AE}" pid="3" name="ZOTERO_PREF_2">
    <vt:lpwstr>="true"/&gt;&lt;pref name="dontAskDelayCitationUpdates" value="true"/&gt;&lt;/prefs&gt;&lt;/data&gt;</vt:lpwstr>
  </property>
</Properties>
</file>