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43355B" w14:textId="77777777" w:rsidR="00BE3C0C" w:rsidRDefault="00000000">
      <w:pPr>
        <w:pStyle w:val="Heading1"/>
      </w:pPr>
      <w:bookmarkStart w:id="0" w:name="matrix-profiling-standard-mps-v1.0"/>
      <w:r>
        <w:t>MATRIX PROFILING STANDARD (MPS) v1.0</w:t>
      </w:r>
    </w:p>
    <w:p w14:paraId="0362BE34" w14:textId="77777777" w:rsidR="00BE3C0C" w:rsidRDefault="00000000">
      <w:pPr>
        <w:pStyle w:val="Heading2"/>
      </w:pPr>
      <w:bookmarkStart w:id="1" w:name="X3ebbd4404e1611ebaabe1d000bab961e557a092"/>
      <w:r>
        <w:t>Dermal Extracellular Matrix Module — LOCKED RUBRIC</w:t>
      </w:r>
    </w:p>
    <w:p w14:paraId="7E2771B5" w14:textId="77777777" w:rsidR="00BE3C0C" w:rsidRDefault="00000000">
      <w:pPr>
        <w:pStyle w:val="FirstParagraph"/>
      </w:pPr>
      <w:r>
        <w:rPr>
          <w:b/>
          <w:bCs/>
        </w:rPr>
        <w:t>Document Type:</w:t>
      </w:r>
      <w:r>
        <w:t xml:space="preserve"> Canonical Scoring Instrument</w:t>
      </w:r>
      <w:r>
        <w:br/>
      </w:r>
      <w:r>
        <w:rPr>
          <w:b/>
          <w:bCs/>
        </w:rPr>
        <w:t>Version:</w:t>
      </w:r>
      <w:r>
        <w:t xml:space="preserve"> 1.0 (Locked)</w:t>
      </w:r>
      <w:r>
        <w:br/>
      </w:r>
      <w:r>
        <w:rPr>
          <w:b/>
          <w:bCs/>
        </w:rPr>
        <w:t>Lock Date:</w:t>
      </w:r>
      <w:r>
        <w:t xml:space="preserve"> 2026-08-09</w:t>
      </w:r>
      <w:r>
        <w:br/>
      </w:r>
      <w:r>
        <w:rPr>
          <w:b/>
          <w:bCs/>
        </w:rPr>
        <w:t>Registration:</w:t>
      </w:r>
      <w:r>
        <w:t xml:space="preserve"> PROSPERO CRD420261464588</w:t>
      </w:r>
      <w:r>
        <w:br/>
      </w:r>
      <w:r>
        <w:rPr>
          <w:b/>
          <w:bCs/>
        </w:rPr>
        <w:t>Architecture:</w:t>
      </w:r>
      <w:r>
        <w:t xml:space="preserve"> Universal Domains + Tissue-Specific Endpoints</w:t>
      </w:r>
      <w:r>
        <w:br/>
      </w:r>
      <w:r>
        <w:rPr>
          <w:b/>
          <w:bCs/>
        </w:rPr>
        <w:t>Status:</w:t>
      </w:r>
      <w:r>
        <w:t xml:space="preserve"> IMMUTABLE — Living systematic review updates dataset only; rubric changes require new version designation (e.g., MPS-Derm v2.0) and shall be reported as separate instruments.</w:t>
      </w:r>
    </w:p>
    <w:p w14:paraId="4A421C06" w14:textId="77777777" w:rsidR="00BE3C0C" w:rsidRDefault="00B716D3">
      <w:r>
        <w:rPr>
          <w:noProof/>
        </w:rPr>
      </w:r>
      <w:r>
        <w:pict w14:anchorId="50C1B738">
          <v:rect id="Horizontal Line 1" o:spid="_x0000_s1039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539E1FA" w14:textId="77777777" w:rsidR="00BE3C0C" w:rsidRDefault="00000000">
      <w:pPr>
        <w:pStyle w:val="Heading2"/>
      </w:pPr>
      <w:bookmarkStart w:id="2" w:name="i.-universal-domain-architecture"/>
      <w:bookmarkEnd w:id="1"/>
      <w:r>
        <w:t>I. UNIVERSAL DOMAIN ARCHITECTURE</w:t>
      </w:r>
    </w:p>
    <w:p w14:paraId="789F1ED1" w14:textId="77777777" w:rsidR="00BE3C0C" w:rsidRDefault="00000000">
      <w:pPr>
        <w:pStyle w:val="FirstParagraph"/>
      </w:pPr>
      <w:r>
        <w:t>The MPS is architected as a two-tier framework. The seven domains are universal biological pillars applicable to any claim of tissue regeneration, derived from the hierarchical requirements of tissue engineering and regenerative medicine:</w:t>
      </w:r>
    </w:p>
    <w:p w14:paraId="0B6E2074" w14:textId="77777777" w:rsidR="00BE3C0C" w:rsidRDefault="00000000">
      <w:pPr>
        <w:pStyle w:val="Compact"/>
        <w:numPr>
          <w:ilvl w:val="0"/>
          <w:numId w:val="12"/>
        </w:numPr>
      </w:pPr>
      <w:r>
        <w:rPr>
          <w:b/>
          <w:bCs/>
        </w:rPr>
        <w:t>Gene Expression</w:t>
      </w:r>
      <w:r>
        <w:t xml:space="preserve"> — Transcriptional commitment to the target phenotype</w:t>
      </w:r>
    </w:p>
    <w:p w14:paraId="1ADFC49B" w14:textId="77777777" w:rsidR="00BE3C0C" w:rsidRDefault="00000000">
      <w:pPr>
        <w:pStyle w:val="Compact"/>
        <w:numPr>
          <w:ilvl w:val="0"/>
          <w:numId w:val="12"/>
        </w:numPr>
      </w:pPr>
      <w:r>
        <w:rPr>
          <w:b/>
          <w:bCs/>
        </w:rPr>
        <w:t>Protein Synthesis</w:t>
      </w:r>
      <w:r>
        <w:t xml:space="preserve"> — Translation and secretion of tissue-specific matrix or functional proteins</w:t>
      </w:r>
    </w:p>
    <w:p w14:paraId="15862635" w14:textId="77777777" w:rsidR="00BE3C0C" w:rsidRDefault="00000000">
      <w:pPr>
        <w:pStyle w:val="Compact"/>
        <w:numPr>
          <w:ilvl w:val="0"/>
          <w:numId w:val="12"/>
        </w:numPr>
      </w:pPr>
      <w:r>
        <w:rPr>
          <w:b/>
          <w:bCs/>
        </w:rPr>
        <w:t>Structural Assembly</w:t>
      </w:r>
      <w:r>
        <w:t xml:space="preserve"> — Supramolecular organization matching native architecture</w:t>
      </w:r>
    </w:p>
    <w:p w14:paraId="5674860F" w14:textId="77777777" w:rsidR="00BE3C0C" w:rsidRDefault="00000000">
      <w:pPr>
        <w:pStyle w:val="Compact"/>
        <w:numPr>
          <w:ilvl w:val="0"/>
          <w:numId w:val="12"/>
        </w:numPr>
      </w:pPr>
      <w:r>
        <w:rPr>
          <w:b/>
          <w:bCs/>
        </w:rPr>
        <w:t>Functional Biomechanics</w:t>
      </w:r>
      <w:r>
        <w:t xml:space="preserve"> — Mechanical properties matching native tissue function</w:t>
      </w:r>
    </w:p>
    <w:p w14:paraId="4F47E03D" w14:textId="77777777" w:rsidR="00BE3C0C" w:rsidRDefault="00000000">
      <w:pPr>
        <w:pStyle w:val="Compact"/>
        <w:numPr>
          <w:ilvl w:val="0"/>
          <w:numId w:val="12"/>
        </w:numPr>
      </w:pPr>
      <w:r>
        <w:rPr>
          <w:b/>
          <w:bCs/>
        </w:rPr>
        <w:t>Homeostatic Regulation</w:t>
      </w:r>
      <w:r>
        <w:t xml:space="preserve"> — Active maintenance of the restored phenotype via balanced remodeling</w:t>
      </w:r>
    </w:p>
    <w:p w14:paraId="1372687E" w14:textId="77777777" w:rsidR="00BE3C0C" w:rsidRDefault="00000000">
      <w:pPr>
        <w:pStyle w:val="Compact"/>
        <w:numPr>
          <w:ilvl w:val="0"/>
          <w:numId w:val="12"/>
        </w:numPr>
      </w:pPr>
      <w:r>
        <w:rPr>
          <w:b/>
          <w:bCs/>
        </w:rPr>
        <w:t>Cellular Rejuvenation</w:t>
      </w:r>
      <w:r>
        <w:t xml:space="preserve"> — Reversal of cellular senescence or functional decline in the resident cell population</w:t>
      </w:r>
    </w:p>
    <w:p w14:paraId="271F6591" w14:textId="77777777" w:rsidR="00BE3C0C" w:rsidRDefault="00000000">
      <w:pPr>
        <w:pStyle w:val="Compact"/>
        <w:numPr>
          <w:ilvl w:val="0"/>
          <w:numId w:val="12"/>
        </w:numPr>
      </w:pPr>
      <w:r>
        <w:rPr>
          <w:b/>
          <w:bCs/>
        </w:rPr>
        <w:t>Epigenetic Reactivation</w:t>
      </w:r>
      <w:r>
        <w:t xml:space="preserve"> — Reversal of age-associated epigenetic silencing or dysregulation</w:t>
      </w:r>
    </w:p>
    <w:p w14:paraId="7A884390" w14:textId="77777777" w:rsidR="00BE3C0C" w:rsidRDefault="00000000">
      <w:pPr>
        <w:pStyle w:val="FirstParagraph"/>
      </w:pPr>
      <w:r>
        <w:lastRenderedPageBreak/>
        <w:t xml:space="preserve">The 22 endpoints below constitute the </w:t>
      </w:r>
      <w:r>
        <w:rPr>
          <w:b/>
          <w:bCs/>
        </w:rPr>
        <w:t>tissue-specific module for dermal extracellular matrix assessment</w:t>
      </w:r>
      <w:r>
        <w:t>. Other tissues (cartilage, bone, tendon, myocardium, etc.) instantiate the same seven domains with tissue-appropriate endpoints, but the evidentiary standard — the requirement for convergent evidence across all seven levels — remains invariant.</w:t>
      </w:r>
    </w:p>
    <w:p w14:paraId="5894EDFC" w14:textId="77777777" w:rsidR="00BE3C0C" w:rsidRDefault="00B716D3">
      <w:r>
        <w:rPr>
          <w:noProof/>
        </w:rPr>
      </w:r>
      <w:r>
        <w:pict w14:anchorId="30FCCC2E">
          <v:rect id="Horizontal Line 2" o:spid="_x0000_s1038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47AD45B" w14:textId="77777777" w:rsidR="00BE3C0C" w:rsidRDefault="00000000">
      <w:pPr>
        <w:pStyle w:val="Heading2"/>
      </w:pPr>
      <w:bookmarkStart w:id="3" w:name="ii.-scoring-philosophy"/>
      <w:bookmarkEnd w:id="2"/>
      <w:r>
        <w:t>II. SCORING PHILOSOPHY</w:t>
      </w:r>
    </w:p>
    <w:p w14:paraId="573191E8" w14:textId="77777777" w:rsidR="00BE3C0C" w:rsidRDefault="00000000">
      <w:pPr>
        <w:pStyle w:val="Compact"/>
        <w:numPr>
          <w:ilvl w:val="0"/>
          <w:numId w:val="13"/>
        </w:numPr>
      </w:pPr>
      <w:r>
        <w:rPr>
          <w:b/>
          <w:bCs/>
        </w:rPr>
        <w:t>0</w:t>
      </w:r>
      <w:r>
        <w:t xml:space="preserve"> = Not assessed, or assessed and not met</w:t>
      </w:r>
    </w:p>
    <w:p w14:paraId="23B74BDF" w14:textId="77777777" w:rsidR="00BE3C0C" w:rsidRDefault="00000000">
      <w:pPr>
        <w:pStyle w:val="Compact"/>
        <w:numPr>
          <w:ilvl w:val="0"/>
          <w:numId w:val="13"/>
        </w:numPr>
      </w:pPr>
      <w:r>
        <w:rPr>
          <w:b/>
          <w:bCs/>
        </w:rPr>
        <w:t>0.5</w:t>
      </w:r>
      <w:r>
        <w:t xml:space="preserve"> = Partial evidence meeting rejuvenation thresholds (qualitative/semi-quantitative histology or immunohistochemistry without densitometry; imaging surrogates)</w:t>
      </w:r>
    </w:p>
    <w:p w14:paraId="49E674A4" w14:textId="77777777" w:rsidR="00BE3C0C" w:rsidRDefault="00000000">
      <w:pPr>
        <w:pStyle w:val="Compact"/>
        <w:numPr>
          <w:ilvl w:val="0"/>
          <w:numId w:val="13"/>
        </w:numPr>
      </w:pPr>
      <w:r>
        <w:rPr>
          <w:b/>
          <w:bCs/>
        </w:rPr>
        <w:t>1.0</w:t>
      </w:r>
      <w:r>
        <w:t xml:space="preserve"> = Full evidence meeting regeneration thresholds with acceptable quantitative assay and statistical validation</w:t>
      </w:r>
    </w:p>
    <w:p w14:paraId="29158E1F" w14:textId="77777777" w:rsidR="00BE3C0C" w:rsidRDefault="00000000">
      <w:pPr>
        <w:pStyle w:val="FirstParagraph"/>
      </w:pPr>
      <w:r>
        <w:rPr>
          <w:b/>
          <w:bCs/>
        </w:rPr>
        <w:t>Full credit (1.0) requires:</w:t>
      </w:r>
      <w:r>
        <w:t xml:space="preserve"> an acceptable quantitative assay (see per-endpoint lists), sample-size justification, appropriate statistical testing, and reporting of effect size or confidence interval.</w:t>
      </w:r>
    </w:p>
    <w:p w14:paraId="3AFA0D3C" w14:textId="77777777" w:rsidR="00BE3C0C" w:rsidRDefault="00000000">
      <w:pPr>
        <w:pStyle w:val="BodyText"/>
      </w:pPr>
      <w:r>
        <w:rPr>
          <w:b/>
          <w:bCs/>
        </w:rPr>
        <w:t>Half credit (0.5) is awarded for:</w:t>
      </w:r>
      <w:r>
        <w:t xml:space="preserve"> histology or immunohistochemistry reported without quantitative densitometry, or semi-quantitative scoring (e.g., immunoreactivity scales).</w:t>
      </w:r>
    </w:p>
    <w:p w14:paraId="25DA85B3" w14:textId="77777777" w:rsidR="00BE3C0C" w:rsidRDefault="00000000">
      <w:pPr>
        <w:pStyle w:val="BodyText"/>
      </w:pPr>
      <w:r>
        <w:rPr>
          <w:b/>
          <w:bCs/>
        </w:rPr>
        <w:t>No credit (0) for:</w:t>
      </w:r>
      <w:r>
        <w:t xml:space="preserve"> subjective clinical scales, photographic assessment, ultrasound imaging surrogates without biomechanical quantitation, or unvalidated surrogate markers.</w:t>
      </w:r>
    </w:p>
    <w:p w14:paraId="4B47E1C5" w14:textId="77777777" w:rsidR="00BE3C0C" w:rsidRDefault="00B716D3">
      <w:r>
        <w:rPr>
          <w:noProof/>
        </w:rPr>
      </w:r>
      <w:r>
        <w:pict w14:anchorId="7393BCDD">
          <v:rect id="Horizontal Line 3" o:spid="_x0000_s1037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FAD0FD2" w14:textId="77777777" w:rsidR="00BE3C0C" w:rsidRDefault="00000000">
      <w:pPr>
        <w:pStyle w:val="Heading2"/>
      </w:pPr>
      <w:bookmarkStart w:id="4" w:name="iii.-the-22-endpoints-dermal-module-v1.0"/>
      <w:bookmarkEnd w:id="3"/>
      <w:r>
        <w:t>III. THE 22 ENDPOINTS — DERMAL MODULE v1.0</w:t>
      </w:r>
    </w:p>
    <w:p w14:paraId="4D44A92E" w14:textId="77777777" w:rsidR="00BE3C0C" w:rsidRDefault="00000000">
      <w:pPr>
        <w:pStyle w:val="Heading3"/>
      </w:pPr>
      <w:bookmarkStart w:id="5" w:name="domain-1-gene-expression-6-endpoints"/>
      <w:r>
        <w:t>DOMAIN 1: GENE EXPRESSION (6 Endpoints)</w:t>
      </w:r>
    </w:p>
    <w:p w14:paraId="5E1B24E6" w14:textId="77777777" w:rsidR="00BE3C0C" w:rsidRDefault="00000000">
      <w:pPr>
        <w:pStyle w:val="Heading4"/>
      </w:pPr>
      <w:bookmarkStart w:id="6" w:name="Xfa49e78c5b06eb5797719144c3052227998665c"/>
      <w:r>
        <w:t>Endpoint 1: Collagen Type I Gene Expression (COL1A1/COL1A2)</w:t>
      </w:r>
    </w:p>
    <w:p w14:paraId="52636791" w14:textId="77777777" w:rsidR="00BE3C0C" w:rsidRDefault="00000000">
      <w:pPr>
        <w:pStyle w:val="Compact"/>
        <w:numPr>
          <w:ilvl w:val="0"/>
          <w:numId w:val="14"/>
        </w:numPr>
      </w:pPr>
      <w:r>
        <w:rPr>
          <w:b/>
          <w:bCs/>
        </w:rPr>
        <w:t>Definition:</w:t>
      </w:r>
      <w:r>
        <w:t xml:space="preserve"> Quantitative evidence of upregulated transcription of collagen type I alpha chains in dermal fibroblasts or tissue explants.</w:t>
      </w:r>
    </w:p>
    <w:p w14:paraId="4A89019D" w14:textId="77777777" w:rsidR="00BE3C0C" w:rsidRDefault="00000000">
      <w:pPr>
        <w:pStyle w:val="Compact"/>
        <w:numPr>
          <w:ilvl w:val="0"/>
          <w:numId w:val="14"/>
        </w:numPr>
      </w:pPr>
      <w:r>
        <w:rPr>
          <w:b/>
          <w:bCs/>
        </w:rPr>
        <w:lastRenderedPageBreak/>
        <w:t>0.5 threshold:</w:t>
      </w:r>
      <w:r>
        <w:t xml:space="preserve"> Detectable COL1A1 mRNA by RT-PCR or in situ hybridization without normalization to housekeeping gene or fold-change calculation.</w:t>
      </w:r>
    </w:p>
    <w:p w14:paraId="050FB902" w14:textId="77777777" w:rsidR="00BE3C0C" w:rsidRDefault="00000000">
      <w:pPr>
        <w:pStyle w:val="Compact"/>
        <w:numPr>
          <w:ilvl w:val="0"/>
          <w:numId w:val="14"/>
        </w:numPr>
      </w:pPr>
      <w:r>
        <w:rPr>
          <w:b/>
          <w:bCs/>
        </w:rPr>
        <w:t>1.0 threshold:</w:t>
      </w:r>
      <w:r>
        <w:t xml:space="preserve"> ≥2-fold increase in COL1A1 mRNA relative to untreated/control, normalized to GAPDH/ACTB/18S, with p &lt; 0.05, measured by qPCR, RNA-seq, or Northern blot.</w:t>
      </w:r>
    </w:p>
    <w:p w14:paraId="47393474" w14:textId="77777777" w:rsidR="00BE3C0C" w:rsidRDefault="00000000">
      <w:pPr>
        <w:pStyle w:val="Compact"/>
        <w:numPr>
          <w:ilvl w:val="0"/>
          <w:numId w:val="14"/>
        </w:numPr>
      </w:pPr>
      <w:r>
        <w:rPr>
          <w:b/>
          <w:bCs/>
        </w:rPr>
        <w:t>Acceptable assays:</w:t>
      </w:r>
      <w:r>
        <w:t xml:space="preserve"> qPCR (SYBR-green or TaqMan with melt-curve verification), RNA-seq (FPKM/TPM with DESeq2/edgeR normalization), ddPCR, NanoString.</w:t>
      </w:r>
    </w:p>
    <w:p w14:paraId="789E1EDA" w14:textId="77777777" w:rsidR="00BE3C0C" w:rsidRDefault="00000000">
      <w:pPr>
        <w:pStyle w:val="Compact"/>
        <w:numPr>
          <w:ilvl w:val="0"/>
          <w:numId w:val="14"/>
        </w:numPr>
      </w:pPr>
      <w:r>
        <w:rPr>
          <w:b/>
          <w:bCs/>
        </w:rPr>
        <w:t>Unacceptable:</w:t>
      </w:r>
      <w:r>
        <w:t xml:space="preserve"> Endpoint PCR without quantitation, in situ hybridization without digital image analysis, microarray without validation.</w:t>
      </w:r>
    </w:p>
    <w:p w14:paraId="651293CB" w14:textId="77777777" w:rsidR="00BE3C0C" w:rsidRDefault="00000000">
      <w:pPr>
        <w:pStyle w:val="Compact"/>
        <w:numPr>
          <w:ilvl w:val="0"/>
          <w:numId w:val="14"/>
        </w:numPr>
      </w:pPr>
      <w:r>
        <w:rPr>
          <w:b/>
          <w:bCs/>
        </w:rPr>
        <w:t>Rationale:</w:t>
      </w:r>
      <w:r>
        <w:t xml:space="preserve"> Collagen I is the principal structural collagen of the dermis. Transcriptional upregulation is the first necessary (but insufficient) step toward matrix restoration.</w:t>
      </w:r>
    </w:p>
    <w:p w14:paraId="14BCC3AA" w14:textId="77777777" w:rsidR="00BE3C0C" w:rsidRDefault="00000000">
      <w:pPr>
        <w:pStyle w:val="Heading4"/>
      </w:pPr>
      <w:bookmarkStart w:id="7" w:name="Xe1134dd42e01fc426543cc29d47d9c76ad05089"/>
      <w:bookmarkEnd w:id="6"/>
      <w:r>
        <w:t>Endpoint 2: Collagen Type III Gene Expression (COL3A1)</w:t>
      </w:r>
    </w:p>
    <w:p w14:paraId="28AB2055" w14:textId="77777777" w:rsidR="00BE3C0C" w:rsidRDefault="00000000">
      <w:pPr>
        <w:pStyle w:val="Compact"/>
        <w:numPr>
          <w:ilvl w:val="0"/>
          <w:numId w:val="15"/>
        </w:numPr>
      </w:pPr>
      <w:r>
        <w:rPr>
          <w:b/>
          <w:bCs/>
        </w:rPr>
        <w:t>Definition:</w:t>
      </w:r>
      <w:r>
        <w:t xml:space="preserve"> Quantitative evidence of upregulated transcription of collagen type III.</w:t>
      </w:r>
    </w:p>
    <w:p w14:paraId="480432F9" w14:textId="77777777" w:rsidR="00BE3C0C" w:rsidRDefault="00000000">
      <w:pPr>
        <w:pStyle w:val="Compact"/>
        <w:numPr>
          <w:ilvl w:val="0"/>
          <w:numId w:val="15"/>
        </w:numPr>
      </w:pPr>
      <w:r>
        <w:rPr>
          <w:b/>
          <w:bCs/>
        </w:rPr>
        <w:t>0.5 threshold:</w:t>
      </w:r>
      <w:r>
        <w:t xml:space="preserve"> Detectable COL3A1 mRNA by non-quantitative method.</w:t>
      </w:r>
    </w:p>
    <w:p w14:paraId="642448FB" w14:textId="77777777" w:rsidR="00BE3C0C" w:rsidRDefault="00000000">
      <w:pPr>
        <w:pStyle w:val="Compact"/>
        <w:numPr>
          <w:ilvl w:val="0"/>
          <w:numId w:val="15"/>
        </w:numPr>
      </w:pPr>
      <w:r>
        <w:rPr>
          <w:b/>
          <w:bCs/>
        </w:rPr>
        <w:t>1.0 threshold:</w:t>
      </w:r>
      <w:r>
        <w:t xml:space="preserve"> ≥2-fold increase in COL3A1 mRNA relative to control, normalized, p &lt; 0.05.</w:t>
      </w:r>
    </w:p>
    <w:p w14:paraId="5F10ACCF" w14:textId="77777777" w:rsidR="00BE3C0C" w:rsidRDefault="00000000">
      <w:pPr>
        <w:pStyle w:val="Compact"/>
        <w:numPr>
          <w:ilvl w:val="0"/>
          <w:numId w:val="15"/>
        </w:numPr>
      </w:pPr>
      <w:r>
        <w:rPr>
          <w:b/>
          <w:bCs/>
        </w:rPr>
        <w:t>Acceptable assays:</w:t>
      </w:r>
      <w:r>
        <w:t xml:space="preserve"> Same as Endpoint 1.</w:t>
      </w:r>
    </w:p>
    <w:p w14:paraId="1DC2630F" w14:textId="77777777" w:rsidR="00BE3C0C" w:rsidRDefault="00000000">
      <w:pPr>
        <w:pStyle w:val="Compact"/>
        <w:numPr>
          <w:ilvl w:val="0"/>
          <w:numId w:val="15"/>
        </w:numPr>
      </w:pPr>
      <w:r>
        <w:rPr>
          <w:b/>
          <w:bCs/>
        </w:rPr>
        <w:t>Unacceptable:</w:t>
      </w:r>
      <w:r>
        <w:t xml:space="preserve"> Same as Endpoint 1.</w:t>
      </w:r>
    </w:p>
    <w:p w14:paraId="455EF277" w14:textId="77777777" w:rsidR="00BE3C0C" w:rsidRDefault="00000000">
      <w:pPr>
        <w:pStyle w:val="Compact"/>
        <w:numPr>
          <w:ilvl w:val="0"/>
          <w:numId w:val="15"/>
        </w:numPr>
      </w:pPr>
      <w:r>
        <w:rPr>
          <w:b/>
          <w:bCs/>
        </w:rPr>
        <w:t>Rationale:</w:t>
      </w:r>
      <w:r>
        <w:t xml:space="preserve"> Collagen III regulates fibril diameter and is abundant in fetal/renewing dermis. Its expression indicates matrix remodeling toward a regenerative rather than scar phenotype.</w:t>
      </w:r>
    </w:p>
    <w:p w14:paraId="6688AC06" w14:textId="77777777" w:rsidR="00BE3C0C" w:rsidRDefault="00000000">
      <w:pPr>
        <w:pStyle w:val="Heading4"/>
      </w:pPr>
      <w:bookmarkStart w:id="8" w:name="endpoint-3-elastin-gene-expression-eln"/>
      <w:bookmarkEnd w:id="7"/>
      <w:r>
        <w:t>Endpoint 3: Elastin Gene Expression (ELN)</w:t>
      </w:r>
    </w:p>
    <w:p w14:paraId="243C587E" w14:textId="77777777" w:rsidR="00BE3C0C" w:rsidRDefault="00000000">
      <w:pPr>
        <w:pStyle w:val="Compact"/>
        <w:numPr>
          <w:ilvl w:val="0"/>
          <w:numId w:val="16"/>
        </w:numPr>
      </w:pPr>
      <w:r>
        <w:rPr>
          <w:b/>
          <w:bCs/>
        </w:rPr>
        <w:t>Definition:</w:t>
      </w:r>
      <w:r>
        <w:t xml:space="preserve"> Quantitative evidence of upregulated elastin transcription.</w:t>
      </w:r>
    </w:p>
    <w:p w14:paraId="3A1BAC58" w14:textId="77777777" w:rsidR="00BE3C0C" w:rsidRDefault="00000000">
      <w:pPr>
        <w:pStyle w:val="Compact"/>
        <w:numPr>
          <w:ilvl w:val="0"/>
          <w:numId w:val="16"/>
        </w:numPr>
      </w:pPr>
      <w:r>
        <w:rPr>
          <w:b/>
          <w:bCs/>
        </w:rPr>
        <w:t>0.5 threshold:</w:t>
      </w:r>
      <w:r>
        <w:t xml:space="preserve"> Detectable ELN mRNA by non-quantitative method.</w:t>
      </w:r>
    </w:p>
    <w:p w14:paraId="52AF8C40" w14:textId="77777777" w:rsidR="00BE3C0C" w:rsidRDefault="00000000">
      <w:pPr>
        <w:pStyle w:val="Compact"/>
        <w:numPr>
          <w:ilvl w:val="0"/>
          <w:numId w:val="16"/>
        </w:numPr>
      </w:pPr>
      <w:r>
        <w:rPr>
          <w:b/>
          <w:bCs/>
        </w:rPr>
        <w:t>1.0 threshold:</w:t>
      </w:r>
      <w:r>
        <w:t xml:space="preserve"> ≥2-fold increase in ELN mRNA relative to control, normalized, p &lt; 0.05.</w:t>
      </w:r>
    </w:p>
    <w:p w14:paraId="33A45CC0" w14:textId="77777777" w:rsidR="00BE3C0C" w:rsidRDefault="00000000">
      <w:pPr>
        <w:pStyle w:val="Compact"/>
        <w:numPr>
          <w:ilvl w:val="0"/>
          <w:numId w:val="16"/>
        </w:numPr>
      </w:pPr>
      <w:r>
        <w:rPr>
          <w:b/>
          <w:bCs/>
        </w:rPr>
        <w:lastRenderedPageBreak/>
        <w:t>Acceptable assays:</w:t>
      </w:r>
      <w:r>
        <w:t xml:space="preserve"> Same as Endpoint 1.</w:t>
      </w:r>
    </w:p>
    <w:p w14:paraId="43870200" w14:textId="77777777" w:rsidR="00BE3C0C" w:rsidRDefault="00000000">
      <w:pPr>
        <w:pStyle w:val="Compact"/>
        <w:numPr>
          <w:ilvl w:val="0"/>
          <w:numId w:val="16"/>
        </w:numPr>
      </w:pPr>
      <w:r>
        <w:rPr>
          <w:b/>
          <w:bCs/>
        </w:rPr>
        <w:t>Unacceptable:</w:t>
      </w:r>
      <w:r>
        <w:t xml:space="preserve"> Same as Endpoint 1.</w:t>
      </w:r>
    </w:p>
    <w:p w14:paraId="2D648215" w14:textId="77777777" w:rsidR="00BE3C0C" w:rsidRDefault="00000000">
      <w:pPr>
        <w:pStyle w:val="Compact"/>
        <w:numPr>
          <w:ilvl w:val="0"/>
          <w:numId w:val="16"/>
        </w:numPr>
      </w:pPr>
      <w:r>
        <w:rPr>
          <w:b/>
          <w:bCs/>
        </w:rPr>
        <w:t>Rationale:</w:t>
      </w:r>
      <w:r>
        <w:t xml:space="preserve"> Elastin confers elastic recoil. Without transcriptional evidence, protein detection alone cannot distinguish neo-synthesis from passive adsorption or residual native elastin.</w:t>
      </w:r>
    </w:p>
    <w:p w14:paraId="03DF2F6E" w14:textId="77777777" w:rsidR="00BE3C0C" w:rsidRDefault="00000000">
      <w:pPr>
        <w:pStyle w:val="Heading4"/>
      </w:pPr>
      <w:bookmarkStart w:id="9" w:name="X7b197d8f212804d7f0282404dff11dc8e2a9721"/>
      <w:bookmarkEnd w:id="8"/>
      <w:r>
        <w:t>Endpoint 4: Fibrillin-1 Gene Expression (FBN1)</w:t>
      </w:r>
    </w:p>
    <w:p w14:paraId="242B5399" w14:textId="77777777" w:rsidR="00BE3C0C" w:rsidRDefault="00000000">
      <w:pPr>
        <w:pStyle w:val="Compact"/>
        <w:numPr>
          <w:ilvl w:val="0"/>
          <w:numId w:val="17"/>
        </w:numPr>
      </w:pPr>
      <w:r>
        <w:rPr>
          <w:b/>
          <w:bCs/>
        </w:rPr>
        <w:t>Definition:</w:t>
      </w:r>
      <w:r>
        <w:t xml:space="preserve"> Quantitative evidence of upregulated fibrillin-1 transcription.</w:t>
      </w:r>
    </w:p>
    <w:p w14:paraId="2D32D6BF" w14:textId="77777777" w:rsidR="00BE3C0C" w:rsidRDefault="00000000">
      <w:pPr>
        <w:pStyle w:val="Compact"/>
        <w:numPr>
          <w:ilvl w:val="0"/>
          <w:numId w:val="17"/>
        </w:numPr>
      </w:pPr>
      <w:r>
        <w:rPr>
          <w:b/>
          <w:bCs/>
        </w:rPr>
        <w:t>0.5 threshold:</w:t>
      </w:r>
      <w:r>
        <w:t xml:space="preserve"> Detectable FBN1 mRNA by non-quantitative method.</w:t>
      </w:r>
    </w:p>
    <w:p w14:paraId="12651FC7" w14:textId="77777777" w:rsidR="00BE3C0C" w:rsidRDefault="00000000">
      <w:pPr>
        <w:pStyle w:val="Compact"/>
        <w:numPr>
          <w:ilvl w:val="0"/>
          <w:numId w:val="17"/>
        </w:numPr>
      </w:pPr>
      <w:r>
        <w:rPr>
          <w:b/>
          <w:bCs/>
        </w:rPr>
        <w:t>1.0 threshold:</w:t>
      </w:r>
      <w:r>
        <w:t xml:space="preserve"> ≥2-fold increase in FBN1 mRNA relative to control, normalized, p &lt; 0.05.</w:t>
      </w:r>
    </w:p>
    <w:p w14:paraId="4C80C639" w14:textId="77777777" w:rsidR="00BE3C0C" w:rsidRDefault="00000000">
      <w:pPr>
        <w:pStyle w:val="Compact"/>
        <w:numPr>
          <w:ilvl w:val="0"/>
          <w:numId w:val="17"/>
        </w:numPr>
      </w:pPr>
      <w:r>
        <w:rPr>
          <w:b/>
          <w:bCs/>
        </w:rPr>
        <w:t>Acceptable assays:</w:t>
      </w:r>
      <w:r>
        <w:t xml:space="preserve"> Same as Endpoint 1.</w:t>
      </w:r>
    </w:p>
    <w:p w14:paraId="034143A4" w14:textId="77777777" w:rsidR="00BE3C0C" w:rsidRDefault="00000000">
      <w:pPr>
        <w:pStyle w:val="Compact"/>
        <w:numPr>
          <w:ilvl w:val="0"/>
          <w:numId w:val="17"/>
        </w:numPr>
      </w:pPr>
      <w:r>
        <w:rPr>
          <w:b/>
          <w:bCs/>
        </w:rPr>
        <w:t>Unacceptable:</w:t>
      </w:r>
      <w:r>
        <w:t xml:space="preserve"> Same as Endpoint 1.</w:t>
      </w:r>
    </w:p>
    <w:p w14:paraId="79CC9044" w14:textId="77777777" w:rsidR="00BE3C0C" w:rsidRDefault="00000000">
      <w:pPr>
        <w:pStyle w:val="Compact"/>
        <w:numPr>
          <w:ilvl w:val="0"/>
          <w:numId w:val="17"/>
        </w:numPr>
      </w:pPr>
      <w:r>
        <w:rPr>
          <w:b/>
          <w:bCs/>
        </w:rPr>
        <w:t>Rationale:</w:t>
      </w:r>
      <w:r>
        <w:t xml:space="preserve"> Fibrillin-1 is the backbone of microfibrillar assembly that guides elastic fibre formation. Essential for ordered elastogenesis.</w:t>
      </w:r>
    </w:p>
    <w:p w14:paraId="37C7688F" w14:textId="77777777" w:rsidR="00BE3C0C" w:rsidRDefault="00000000">
      <w:pPr>
        <w:pStyle w:val="Heading4"/>
      </w:pPr>
      <w:bookmarkStart w:id="10" w:name="Xb6a5170ba345bba93233fc1c5f4e6570f9f5cd9"/>
      <w:bookmarkEnd w:id="9"/>
      <w:r>
        <w:t>Endpoint 5: Fibulin-5 Gene Expression (FBLN5)</w:t>
      </w:r>
    </w:p>
    <w:p w14:paraId="7802F6E9" w14:textId="77777777" w:rsidR="00BE3C0C" w:rsidRDefault="00000000">
      <w:pPr>
        <w:pStyle w:val="Compact"/>
        <w:numPr>
          <w:ilvl w:val="0"/>
          <w:numId w:val="18"/>
        </w:numPr>
      </w:pPr>
      <w:r>
        <w:rPr>
          <w:b/>
          <w:bCs/>
        </w:rPr>
        <w:t>Definition:</w:t>
      </w:r>
      <w:r>
        <w:t xml:space="preserve"> Quantitative evidence of upregulated fibulin-5 transcription.</w:t>
      </w:r>
    </w:p>
    <w:p w14:paraId="24C734FE" w14:textId="77777777" w:rsidR="00BE3C0C" w:rsidRDefault="00000000">
      <w:pPr>
        <w:pStyle w:val="Compact"/>
        <w:numPr>
          <w:ilvl w:val="0"/>
          <w:numId w:val="18"/>
        </w:numPr>
      </w:pPr>
      <w:r>
        <w:rPr>
          <w:b/>
          <w:bCs/>
        </w:rPr>
        <w:t>0.5 threshold:</w:t>
      </w:r>
      <w:r>
        <w:t xml:space="preserve"> Detectable FBLN5 mRNA by non-quantitative method.</w:t>
      </w:r>
    </w:p>
    <w:p w14:paraId="0948C0C7" w14:textId="77777777" w:rsidR="00BE3C0C" w:rsidRDefault="00000000">
      <w:pPr>
        <w:pStyle w:val="Compact"/>
        <w:numPr>
          <w:ilvl w:val="0"/>
          <w:numId w:val="18"/>
        </w:numPr>
      </w:pPr>
      <w:r>
        <w:rPr>
          <w:b/>
          <w:bCs/>
        </w:rPr>
        <w:t>1.0 threshold:</w:t>
      </w:r>
      <w:r>
        <w:t xml:space="preserve"> ≥2-fold increase in FBLN5 mRNA relative to control, normalized, p &lt; 0.05.</w:t>
      </w:r>
    </w:p>
    <w:p w14:paraId="4718573A" w14:textId="77777777" w:rsidR="00BE3C0C" w:rsidRDefault="00000000">
      <w:pPr>
        <w:pStyle w:val="Compact"/>
        <w:numPr>
          <w:ilvl w:val="0"/>
          <w:numId w:val="18"/>
        </w:numPr>
      </w:pPr>
      <w:r>
        <w:rPr>
          <w:b/>
          <w:bCs/>
        </w:rPr>
        <w:t>Acceptable assays:</w:t>
      </w:r>
      <w:r>
        <w:t xml:space="preserve"> Same as Endpoint 1.</w:t>
      </w:r>
    </w:p>
    <w:p w14:paraId="0BD72A1C" w14:textId="77777777" w:rsidR="00BE3C0C" w:rsidRDefault="00000000">
      <w:pPr>
        <w:pStyle w:val="Compact"/>
        <w:numPr>
          <w:ilvl w:val="0"/>
          <w:numId w:val="18"/>
        </w:numPr>
      </w:pPr>
      <w:r>
        <w:rPr>
          <w:b/>
          <w:bCs/>
        </w:rPr>
        <w:t>Unacceptable:</w:t>
      </w:r>
      <w:r>
        <w:t xml:space="preserve"> Same as Endpoint 1.</w:t>
      </w:r>
    </w:p>
    <w:p w14:paraId="58772613" w14:textId="77777777" w:rsidR="00BE3C0C" w:rsidRDefault="00000000">
      <w:pPr>
        <w:pStyle w:val="Compact"/>
        <w:numPr>
          <w:ilvl w:val="0"/>
          <w:numId w:val="18"/>
        </w:numPr>
      </w:pPr>
      <w:r>
        <w:rPr>
          <w:b/>
          <w:bCs/>
        </w:rPr>
        <w:t>Rationale:</w:t>
      </w:r>
      <w:r>
        <w:t xml:space="preserve"> Fibulin-5 is a critical elastogenic glycoprotein that integrates tropoelastin with microfibrils. Absence indicates incomplete elastic fibre assembly potential.</w:t>
      </w:r>
    </w:p>
    <w:p w14:paraId="6DFC7FB1" w14:textId="77777777" w:rsidR="00BE3C0C" w:rsidRDefault="00000000">
      <w:pPr>
        <w:pStyle w:val="Heading4"/>
      </w:pPr>
      <w:bookmarkStart w:id="11" w:name="Xc3c9952299b0e77a1f7cca591d013a1180ee99a"/>
      <w:bookmarkEnd w:id="10"/>
      <w:r>
        <w:t>Endpoint 6: Proteoglycan / Glycosaminoglycan Gene Expression (VCAN, DCN, BGN, HAS1/2/3)</w:t>
      </w:r>
    </w:p>
    <w:p w14:paraId="0ABB8C82" w14:textId="77777777" w:rsidR="00BE3C0C" w:rsidRDefault="00000000">
      <w:pPr>
        <w:pStyle w:val="Compact"/>
        <w:numPr>
          <w:ilvl w:val="0"/>
          <w:numId w:val="19"/>
        </w:numPr>
      </w:pPr>
      <w:r>
        <w:rPr>
          <w:b/>
          <w:bCs/>
        </w:rPr>
        <w:t>Definition:</w:t>
      </w:r>
      <w:r>
        <w:t xml:space="preserve"> Quantitative evidence of upregulated transcription for versican, decorin, biglycan, or hyaluronan synthases.</w:t>
      </w:r>
    </w:p>
    <w:p w14:paraId="580A1D95" w14:textId="77777777" w:rsidR="00BE3C0C" w:rsidRDefault="00000000">
      <w:pPr>
        <w:pStyle w:val="Compact"/>
        <w:numPr>
          <w:ilvl w:val="0"/>
          <w:numId w:val="19"/>
        </w:numPr>
      </w:pPr>
      <w:r>
        <w:rPr>
          <w:b/>
          <w:bCs/>
        </w:rPr>
        <w:lastRenderedPageBreak/>
        <w:t>0.5 threshold:</w:t>
      </w:r>
      <w:r>
        <w:t xml:space="preserve"> Detectable mRNA for any of the above by non-quantitative method.</w:t>
      </w:r>
    </w:p>
    <w:p w14:paraId="171DCC7A" w14:textId="77777777" w:rsidR="00BE3C0C" w:rsidRDefault="00000000">
      <w:pPr>
        <w:pStyle w:val="Compact"/>
        <w:numPr>
          <w:ilvl w:val="0"/>
          <w:numId w:val="19"/>
        </w:numPr>
      </w:pPr>
      <w:r>
        <w:rPr>
          <w:b/>
          <w:bCs/>
        </w:rPr>
        <w:t>1.0 threshold:</w:t>
      </w:r>
      <w:r>
        <w:t xml:space="preserve"> ≥2-fold increase in any of the above, normalized, p &lt; 0.05.</w:t>
      </w:r>
    </w:p>
    <w:p w14:paraId="6D3A14A6" w14:textId="77777777" w:rsidR="00BE3C0C" w:rsidRDefault="00000000">
      <w:pPr>
        <w:pStyle w:val="Compact"/>
        <w:numPr>
          <w:ilvl w:val="0"/>
          <w:numId w:val="19"/>
        </w:numPr>
      </w:pPr>
      <w:r>
        <w:rPr>
          <w:b/>
          <w:bCs/>
        </w:rPr>
        <w:t>Acceptable assays:</w:t>
      </w:r>
      <w:r>
        <w:t xml:space="preserve"> Same as Endpoint 1.</w:t>
      </w:r>
    </w:p>
    <w:p w14:paraId="68370436" w14:textId="77777777" w:rsidR="00BE3C0C" w:rsidRDefault="00000000">
      <w:pPr>
        <w:pStyle w:val="Compact"/>
        <w:numPr>
          <w:ilvl w:val="0"/>
          <w:numId w:val="19"/>
        </w:numPr>
      </w:pPr>
      <w:r>
        <w:rPr>
          <w:b/>
          <w:bCs/>
        </w:rPr>
        <w:t>Unacceptable:</w:t>
      </w:r>
      <w:r>
        <w:t xml:space="preserve"> Same as Endpoint 1.</w:t>
      </w:r>
    </w:p>
    <w:p w14:paraId="21A978A4" w14:textId="77777777" w:rsidR="00BE3C0C" w:rsidRDefault="00000000">
      <w:pPr>
        <w:pStyle w:val="Compact"/>
        <w:numPr>
          <w:ilvl w:val="0"/>
          <w:numId w:val="19"/>
        </w:numPr>
      </w:pPr>
      <w:r>
        <w:rPr>
          <w:b/>
          <w:bCs/>
        </w:rPr>
        <w:t>Rationale:</w:t>
      </w:r>
      <w:r>
        <w:t xml:space="preserve"> Proteoglycans regulate collagen fibrillogenesis, hydration, and growth-factor sequestration. Decorin and biglycan control fibril diameter; versican modulates tissue hydration; HAS enzymes synthesize hyaluronic acid.</w:t>
      </w:r>
    </w:p>
    <w:p w14:paraId="7D85EA11" w14:textId="77777777" w:rsidR="00BE3C0C" w:rsidRDefault="00B716D3">
      <w:r>
        <w:rPr>
          <w:noProof/>
        </w:rPr>
      </w:r>
      <w:r>
        <w:pict w14:anchorId="260394B4">
          <v:rect id="Horizontal Line 4" o:spid="_x0000_s1036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5717AC0" w14:textId="77777777" w:rsidR="00BE3C0C" w:rsidRDefault="00000000">
      <w:pPr>
        <w:pStyle w:val="Heading3"/>
      </w:pPr>
      <w:bookmarkStart w:id="12" w:name="domain-2-protein-synthesis-6-endpoints"/>
      <w:bookmarkEnd w:id="5"/>
      <w:bookmarkEnd w:id="11"/>
      <w:r>
        <w:t>DOMAIN 2: PROTEIN SYNTHESIS (6 Endpoints)</w:t>
      </w:r>
    </w:p>
    <w:p w14:paraId="3D7ED2DE" w14:textId="77777777" w:rsidR="00BE3C0C" w:rsidRDefault="00000000">
      <w:pPr>
        <w:pStyle w:val="Heading4"/>
      </w:pPr>
      <w:bookmarkStart w:id="13" w:name="X0e71b5deef3f3e153ff96548728b1c215efea3b"/>
      <w:r>
        <w:t>Endpoint 7: Collagen Type I Protein Detection</w:t>
      </w:r>
    </w:p>
    <w:p w14:paraId="456C748D" w14:textId="77777777" w:rsidR="00BE3C0C" w:rsidRDefault="00000000">
      <w:pPr>
        <w:pStyle w:val="Compact"/>
        <w:numPr>
          <w:ilvl w:val="0"/>
          <w:numId w:val="20"/>
        </w:numPr>
      </w:pPr>
      <w:r>
        <w:rPr>
          <w:b/>
          <w:bCs/>
        </w:rPr>
        <w:t>Definition:</w:t>
      </w:r>
      <w:r>
        <w:t xml:space="preserve"> Evidence of collagen type I protein presence, abundance, or neo-deposition in the dermis.</w:t>
      </w:r>
    </w:p>
    <w:p w14:paraId="6CC02042" w14:textId="77777777" w:rsidR="00BE3C0C" w:rsidRDefault="00000000">
      <w:pPr>
        <w:pStyle w:val="Compact"/>
        <w:numPr>
          <w:ilvl w:val="0"/>
          <w:numId w:val="20"/>
        </w:numPr>
      </w:pPr>
      <w:r>
        <w:rPr>
          <w:b/>
          <w:bCs/>
        </w:rPr>
        <w:t>0.5 threshold:</w:t>
      </w:r>
      <w:r>
        <w:t xml:space="preserve"> Positive picrosirius red staining, Masson’s trichrome, or collagen I immunohistochemistry without densitometry or morphometry.</w:t>
      </w:r>
    </w:p>
    <w:p w14:paraId="21A2786B" w14:textId="77777777" w:rsidR="00BE3C0C" w:rsidRDefault="00000000">
      <w:pPr>
        <w:pStyle w:val="Compact"/>
        <w:numPr>
          <w:ilvl w:val="0"/>
          <w:numId w:val="20"/>
        </w:numPr>
      </w:pPr>
      <w:r>
        <w:rPr>
          <w:b/>
          <w:bCs/>
        </w:rPr>
        <w:t>1.0 threshold:</w:t>
      </w:r>
      <w:r>
        <w:t xml:space="preserve"> Quantitative assessment by Western blot (normalized to loading control, p &lt; 0.05), ELISA (pg/mg tissue or per cell), hydroxyproline assay (μg/mg dry weight), or digital densitometry of picrosirius red under polarized light with area fraction quantitation.</w:t>
      </w:r>
    </w:p>
    <w:p w14:paraId="70F25EAF" w14:textId="77777777" w:rsidR="00BE3C0C" w:rsidRDefault="00000000">
      <w:pPr>
        <w:pStyle w:val="Compact"/>
        <w:numPr>
          <w:ilvl w:val="0"/>
          <w:numId w:val="20"/>
        </w:numPr>
      </w:pPr>
      <w:r>
        <w:rPr>
          <w:b/>
          <w:bCs/>
        </w:rPr>
        <w:t>Acceptable assays:</w:t>
      </w:r>
      <w:r>
        <w:t xml:space="preserve"> Western blot, ELISA, hydroxyproline colorimetric assay, second-harmonic generation (SHG) microscopy with intensity quantitation, digital histomorphometry (ImageJ/Fiji with thresholding).</w:t>
      </w:r>
    </w:p>
    <w:p w14:paraId="1D275A29" w14:textId="77777777" w:rsidR="00BE3C0C" w:rsidRDefault="00000000">
      <w:pPr>
        <w:pStyle w:val="Compact"/>
        <w:numPr>
          <w:ilvl w:val="0"/>
          <w:numId w:val="20"/>
        </w:numPr>
      </w:pPr>
      <w:r>
        <w:rPr>
          <w:b/>
          <w:bCs/>
        </w:rPr>
        <w:t>Unacceptable:</w:t>
      </w:r>
      <w:r>
        <w:t xml:space="preserve"> Qualitative histology without image analysis, clinical photography, ultrasound echogenicity without calibration.</w:t>
      </w:r>
    </w:p>
    <w:p w14:paraId="09BA90AB" w14:textId="77777777" w:rsidR="00BE3C0C" w:rsidRDefault="00000000">
      <w:pPr>
        <w:pStyle w:val="Compact"/>
        <w:numPr>
          <w:ilvl w:val="0"/>
          <w:numId w:val="20"/>
        </w:numPr>
      </w:pPr>
      <w:r>
        <w:rPr>
          <w:b/>
          <w:bCs/>
        </w:rPr>
        <w:t>Rationale:</w:t>
      </w:r>
      <w:r>
        <w:t xml:space="preserve"> Protein detection confirms translation. Collagen I abundance is necessary but insufficient for regeneration without fibril organization.</w:t>
      </w:r>
    </w:p>
    <w:p w14:paraId="554CA552" w14:textId="77777777" w:rsidR="00BE3C0C" w:rsidRDefault="00000000">
      <w:pPr>
        <w:pStyle w:val="Heading4"/>
      </w:pPr>
      <w:bookmarkStart w:id="14" w:name="X21c0ed8f04c34ac5a1a0f85aa036247bbd1881d"/>
      <w:bookmarkEnd w:id="13"/>
      <w:r>
        <w:t>Endpoint 8: Collagen Type III Protein Detection</w:t>
      </w:r>
    </w:p>
    <w:p w14:paraId="786F1347" w14:textId="77777777" w:rsidR="00BE3C0C" w:rsidRDefault="00000000">
      <w:pPr>
        <w:pStyle w:val="Compact"/>
        <w:numPr>
          <w:ilvl w:val="0"/>
          <w:numId w:val="21"/>
        </w:numPr>
      </w:pPr>
      <w:r>
        <w:rPr>
          <w:b/>
          <w:bCs/>
        </w:rPr>
        <w:t>Definition:</w:t>
      </w:r>
      <w:r>
        <w:t xml:space="preserve"> Evidence of collagen type III protein presence or abundance.</w:t>
      </w:r>
    </w:p>
    <w:p w14:paraId="5843787D" w14:textId="77777777" w:rsidR="00BE3C0C" w:rsidRDefault="00000000">
      <w:pPr>
        <w:pStyle w:val="Compact"/>
        <w:numPr>
          <w:ilvl w:val="0"/>
          <w:numId w:val="21"/>
        </w:numPr>
      </w:pPr>
      <w:r>
        <w:rPr>
          <w:b/>
          <w:bCs/>
        </w:rPr>
        <w:t>0.5 threshold:</w:t>
      </w:r>
      <w:r>
        <w:t xml:space="preserve"> Positive immunohistochemistry without quantitation.</w:t>
      </w:r>
    </w:p>
    <w:p w14:paraId="2F722A41" w14:textId="77777777" w:rsidR="00BE3C0C" w:rsidRDefault="00000000">
      <w:pPr>
        <w:pStyle w:val="Compact"/>
        <w:numPr>
          <w:ilvl w:val="0"/>
          <w:numId w:val="21"/>
        </w:numPr>
      </w:pPr>
      <w:r>
        <w:rPr>
          <w:b/>
          <w:bCs/>
        </w:rPr>
        <w:lastRenderedPageBreak/>
        <w:t>1.0 threshold:</w:t>
      </w:r>
      <w:r>
        <w:t xml:space="preserve"> Quantitative assessment by Western blot, ELISA, or digital densitometry of immunostaining.</w:t>
      </w:r>
    </w:p>
    <w:p w14:paraId="49CBC718" w14:textId="77777777" w:rsidR="00BE3C0C" w:rsidRDefault="00000000">
      <w:pPr>
        <w:pStyle w:val="Compact"/>
        <w:numPr>
          <w:ilvl w:val="0"/>
          <w:numId w:val="21"/>
        </w:numPr>
      </w:pPr>
      <w:r>
        <w:rPr>
          <w:b/>
          <w:bCs/>
        </w:rPr>
        <w:t>Acceptable assays:</w:t>
      </w:r>
      <w:r>
        <w:t xml:space="preserve"> Same as Endpoint 7.</w:t>
      </w:r>
    </w:p>
    <w:p w14:paraId="29A1C880" w14:textId="77777777" w:rsidR="00BE3C0C" w:rsidRDefault="00000000">
      <w:pPr>
        <w:pStyle w:val="Compact"/>
        <w:numPr>
          <w:ilvl w:val="0"/>
          <w:numId w:val="21"/>
        </w:numPr>
      </w:pPr>
      <w:r>
        <w:rPr>
          <w:b/>
          <w:bCs/>
        </w:rPr>
        <w:t>Unacceptable:</w:t>
      </w:r>
      <w:r>
        <w:t xml:space="preserve"> Same as Endpoint 7.</w:t>
      </w:r>
    </w:p>
    <w:p w14:paraId="3E9595BD" w14:textId="77777777" w:rsidR="00BE3C0C" w:rsidRDefault="00000000">
      <w:pPr>
        <w:pStyle w:val="Compact"/>
        <w:numPr>
          <w:ilvl w:val="0"/>
          <w:numId w:val="21"/>
        </w:numPr>
      </w:pPr>
      <w:r>
        <w:rPr>
          <w:b/>
          <w:bCs/>
        </w:rPr>
        <w:t>Rationale:</w:t>
      </w:r>
      <w:r>
        <w:t xml:space="preserve"> Collagen III/I ratio is a key indicator of scar versus regenerative phenotype. Scar tissue is collagen-I dominant; regenerating fetal skin maintains high collagen III.</w:t>
      </w:r>
    </w:p>
    <w:p w14:paraId="0B9E5931" w14:textId="77777777" w:rsidR="00BE3C0C" w:rsidRDefault="00000000">
      <w:pPr>
        <w:pStyle w:val="Heading4"/>
      </w:pPr>
      <w:bookmarkStart w:id="15" w:name="endpoint-9-elastin-protein-detection"/>
      <w:bookmarkEnd w:id="14"/>
      <w:r>
        <w:t>Endpoint 9: Elastin Protein Detection</w:t>
      </w:r>
    </w:p>
    <w:p w14:paraId="54D064FF" w14:textId="77777777" w:rsidR="00BE3C0C" w:rsidRDefault="00000000">
      <w:pPr>
        <w:pStyle w:val="Compact"/>
        <w:numPr>
          <w:ilvl w:val="0"/>
          <w:numId w:val="22"/>
        </w:numPr>
      </w:pPr>
      <w:r>
        <w:rPr>
          <w:b/>
          <w:bCs/>
        </w:rPr>
        <w:t>Definition:</w:t>
      </w:r>
      <w:r>
        <w:t xml:space="preserve"> Evidence of elastin protein presence, abundance, or neo-deposition.</w:t>
      </w:r>
    </w:p>
    <w:p w14:paraId="59BF6D51" w14:textId="77777777" w:rsidR="00BE3C0C" w:rsidRDefault="00000000">
      <w:pPr>
        <w:pStyle w:val="Compact"/>
        <w:numPr>
          <w:ilvl w:val="0"/>
          <w:numId w:val="22"/>
        </w:numPr>
      </w:pPr>
      <w:r>
        <w:rPr>
          <w:b/>
          <w:bCs/>
        </w:rPr>
        <w:t>0.5 threshold:</w:t>
      </w:r>
      <w:r>
        <w:t xml:space="preserve"> Positive Verhoeff-Van Gieson, Weigert’s resorcin-fuchsin, or elastin immunohistochemistry without quantitation.</w:t>
      </w:r>
    </w:p>
    <w:p w14:paraId="1FD19EBC" w14:textId="77777777" w:rsidR="00BE3C0C" w:rsidRDefault="00000000">
      <w:pPr>
        <w:pStyle w:val="Compact"/>
        <w:numPr>
          <w:ilvl w:val="0"/>
          <w:numId w:val="22"/>
        </w:numPr>
      </w:pPr>
      <w:r>
        <w:rPr>
          <w:b/>
          <w:bCs/>
        </w:rPr>
        <w:t>1.0 threshold:</w:t>
      </w:r>
      <w:r>
        <w:t xml:space="preserve"> Quantitative assessment by ELISA (desmosine/isodesmosine crosslink quantitation), Western blot (normalized), or digital densitometry of elastin immunostaining.</w:t>
      </w:r>
    </w:p>
    <w:p w14:paraId="47C351C3" w14:textId="77777777" w:rsidR="00BE3C0C" w:rsidRDefault="00000000">
      <w:pPr>
        <w:pStyle w:val="Compact"/>
        <w:numPr>
          <w:ilvl w:val="0"/>
          <w:numId w:val="22"/>
        </w:numPr>
      </w:pPr>
      <w:r>
        <w:rPr>
          <w:b/>
          <w:bCs/>
        </w:rPr>
        <w:t>Acceptable assays:</w:t>
      </w:r>
      <w:r>
        <w:t xml:space="preserve"> ELISA for desmosine/isodesmosine, Western blot for tropoelastin/elastin, radioimmunoassay, digital histomorphometry of VVG staining.</w:t>
      </w:r>
    </w:p>
    <w:p w14:paraId="2B2479E9" w14:textId="77777777" w:rsidR="00BE3C0C" w:rsidRDefault="00000000">
      <w:pPr>
        <w:pStyle w:val="Compact"/>
        <w:numPr>
          <w:ilvl w:val="0"/>
          <w:numId w:val="22"/>
        </w:numPr>
      </w:pPr>
      <w:r>
        <w:rPr>
          <w:b/>
          <w:bCs/>
        </w:rPr>
        <w:t>Unacceptable:</w:t>
      </w:r>
      <w:r>
        <w:t xml:space="preserve"> Qualitative elastin stain without image analysis, clinical assessment of “skin elasticity.”</w:t>
      </w:r>
    </w:p>
    <w:p w14:paraId="3165B1D8" w14:textId="77777777" w:rsidR="00BE3C0C" w:rsidRDefault="00000000">
      <w:pPr>
        <w:pStyle w:val="Compact"/>
        <w:numPr>
          <w:ilvl w:val="0"/>
          <w:numId w:val="22"/>
        </w:numPr>
      </w:pPr>
      <w:r>
        <w:rPr>
          <w:b/>
          <w:bCs/>
        </w:rPr>
        <w:t>Rationale:</w:t>
      </w:r>
      <w:r>
        <w:t xml:space="preserve"> Elastin restoration is the most neglected parameter in aesthetic literature. Without protein evidence, claims of “matrix remodeling” default to collagen-only palliation.</w:t>
      </w:r>
    </w:p>
    <w:p w14:paraId="256468E9" w14:textId="77777777" w:rsidR="00BE3C0C" w:rsidRDefault="00000000">
      <w:pPr>
        <w:pStyle w:val="Heading4"/>
      </w:pPr>
      <w:bookmarkStart w:id="16" w:name="Xc466f8276b56a0690e6f1cff8d0c67ce9db2309"/>
      <w:bookmarkEnd w:id="15"/>
      <w:r>
        <w:t>Endpoint 10: Fibrillin-1 Protein Detection</w:t>
      </w:r>
    </w:p>
    <w:p w14:paraId="18198A63" w14:textId="77777777" w:rsidR="00BE3C0C" w:rsidRDefault="00000000">
      <w:pPr>
        <w:pStyle w:val="Compact"/>
        <w:numPr>
          <w:ilvl w:val="0"/>
          <w:numId w:val="23"/>
        </w:numPr>
      </w:pPr>
      <w:r>
        <w:rPr>
          <w:b/>
          <w:bCs/>
        </w:rPr>
        <w:t>Definition:</w:t>
      </w:r>
      <w:r>
        <w:t xml:space="preserve"> Evidence of fibrillin-1 protein in the neo-matrix.</w:t>
      </w:r>
    </w:p>
    <w:p w14:paraId="26DEC657" w14:textId="77777777" w:rsidR="00BE3C0C" w:rsidRDefault="00000000">
      <w:pPr>
        <w:pStyle w:val="Compact"/>
        <w:numPr>
          <w:ilvl w:val="0"/>
          <w:numId w:val="23"/>
        </w:numPr>
      </w:pPr>
      <w:r>
        <w:rPr>
          <w:b/>
          <w:bCs/>
        </w:rPr>
        <w:t>0.5 threshold:</w:t>
      </w:r>
      <w:r>
        <w:t xml:space="preserve"> Positive immunohistochemistry without quantitation.</w:t>
      </w:r>
    </w:p>
    <w:p w14:paraId="4B6BD14B" w14:textId="77777777" w:rsidR="00BE3C0C" w:rsidRDefault="00000000">
      <w:pPr>
        <w:pStyle w:val="Compact"/>
        <w:numPr>
          <w:ilvl w:val="0"/>
          <w:numId w:val="23"/>
        </w:numPr>
      </w:pPr>
      <w:r>
        <w:rPr>
          <w:b/>
          <w:bCs/>
        </w:rPr>
        <w:t>1.0 threshold:</w:t>
      </w:r>
      <w:r>
        <w:t xml:space="preserve"> Quantitative Western blot or digital densitometry of immunostaining.</w:t>
      </w:r>
    </w:p>
    <w:p w14:paraId="02491459" w14:textId="77777777" w:rsidR="00BE3C0C" w:rsidRDefault="00000000">
      <w:pPr>
        <w:pStyle w:val="Compact"/>
        <w:numPr>
          <w:ilvl w:val="0"/>
          <w:numId w:val="23"/>
        </w:numPr>
      </w:pPr>
      <w:r>
        <w:rPr>
          <w:b/>
          <w:bCs/>
        </w:rPr>
        <w:t>Acceptable assays:</w:t>
      </w:r>
      <w:r>
        <w:t xml:space="preserve"> Western blot, ELISA, digital histomorphometry.</w:t>
      </w:r>
    </w:p>
    <w:p w14:paraId="489E559A" w14:textId="77777777" w:rsidR="00BE3C0C" w:rsidRDefault="00000000">
      <w:pPr>
        <w:pStyle w:val="Compact"/>
        <w:numPr>
          <w:ilvl w:val="0"/>
          <w:numId w:val="23"/>
        </w:numPr>
      </w:pPr>
      <w:r>
        <w:rPr>
          <w:b/>
          <w:bCs/>
        </w:rPr>
        <w:t>Unacceptable:</w:t>
      </w:r>
      <w:r>
        <w:t xml:space="preserve"> Qualitative immunostaining without image analysis.</w:t>
      </w:r>
    </w:p>
    <w:p w14:paraId="7D46C26C" w14:textId="77777777" w:rsidR="00BE3C0C" w:rsidRDefault="00000000">
      <w:pPr>
        <w:pStyle w:val="Compact"/>
        <w:numPr>
          <w:ilvl w:val="0"/>
          <w:numId w:val="23"/>
        </w:numPr>
      </w:pPr>
      <w:r>
        <w:rPr>
          <w:b/>
          <w:bCs/>
        </w:rPr>
        <w:lastRenderedPageBreak/>
        <w:t>Rationale:</w:t>
      </w:r>
      <w:r>
        <w:t xml:space="preserve"> Fibrillin-1 is the structural scaffold for elastic fibre assembly. Its presence indicates microfibrillar restoration, not just elastin deposition.</w:t>
      </w:r>
    </w:p>
    <w:p w14:paraId="1E9D9309" w14:textId="77777777" w:rsidR="00BE3C0C" w:rsidRDefault="00000000">
      <w:pPr>
        <w:pStyle w:val="Heading4"/>
      </w:pPr>
      <w:bookmarkStart w:id="17" w:name="endpoint-11-fibulin-5-protein-detection"/>
      <w:bookmarkEnd w:id="16"/>
      <w:r>
        <w:t>Endpoint 11: Fibulin-5 Protein Detection</w:t>
      </w:r>
    </w:p>
    <w:p w14:paraId="1E1E8608" w14:textId="77777777" w:rsidR="00BE3C0C" w:rsidRDefault="00000000">
      <w:pPr>
        <w:pStyle w:val="Compact"/>
        <w:numPr>
          <w:ilvl w:val="0"/>
          <w:numId w:val="24"/>
        </w:numPr>
      </w:pPr>
      <w:r>
        <w:rPr>
          <w:b/>
          <w:bCs/>
        </w:rPr>
        <w:t>Definition:</w:t>
      </w:r>
      <w:r>
        <w:t xml:space="preserve"> Evidence of fibulin-5 protein in the neo-matrix.</w:t>
      </w:r>
    </w:p>
    <w:p w14:paraId="14089882" w14:textId="77777777" w:rsidR="00BE3C0C" w:rsidRDefault="00000000">
      <w:pPr>
        <w:pStyle w:val="Compact"/>
        <w:numPr>
          <w:ilvl w:val="0"/>
          <w:numId w:val="24"/>
        </w:numPr>
      </w:pPr>
      <w:r>
        <w:rPr>
          <w:b/>
          <w:bCs/>
        </w:rPr>
        <w:t>0.5 threshold:</w:t>
      </w:r>
      <w:r>
        <w:t xml:space="preserve"> Positive immunohistochemistry without quantitation.</w:t>
      </w:r>
    </w:p>
    <w:p w14:paraId="28CF5E2A" w14:textId="77777777" w:rsidR="00BE3C0C" w:rsidRDefault="00000000">
      <w:pPr>
        <w:pStyle w:val="Compact"/>
        <w:numPr>
          <w:ilvl w:val="0"/>
          <w:numId w:val="24"/>
        </w:numPr>
      </w:pPr>
      <w:r>
        <w:rPr>
          <w:b/>
          <w:bCs/>
        </w:rPr>
        <w:t>1.0 threshold:</w:t>
      </w:r>
      <w:r>
        <w:t xml:space="preserve"> Quantitative Western blot or digital densitometry.</w:t>
      </w:r>
    </w:p>
    <w:p w14:paraId="365C27CE" w14:textId="77777777" w:rsidR="00BE3C0C" w:rsidRDefault="00000000">
      <w:pPr>
        <w:pStyle w:val="Compact"/>
        <w:numPr>
          <w:ilvl w:val="0"/>
          <w:numId w:val="24"/>
        </w:numPr>
      </w:pPr>
      <w:r>
        <w:rPr>
          <w:b/>
          <w:bCs/>
        </w:rPr>
        <w:t>Acceptable assays:</w:t>
      </w:r>
      <w:r>
        <w:t xml:space="preserve"> Western blot, ELISA, digital histomorphometry.</w:t>
      </w:r>
    </w:p>
    <w:p w14:paraId="086FECAC" w14:textId="77777777" w:rsidR="00BE3C0C" w:rsidRDefault="00000000">
      <w:pPr>
        <w:pStyle w:val="Compact"/>
        <w:numPr>
          <w:ilvl w:val="0"/>
          <w:numId w:val="24"/>
        </w:numPr>
      </w:pPr>
      <w:r>
        <w:rPr>
          <w:b/>
          <w:bCs/>
        </w:rPr>
        <w:t>Unacceptable:</w:t>
      </w:r>
      <w:r>
        <w:t xml:space="preserve"> Qualitative immunostaining without image analysis.</w:t>
      </w:r>
    </w:p>
    <w:p w14:paraId="48D72600" w14:textId="77777777" w:rsidR="00BE3C0C" w:rsidRDefault="00000000">
      <w:pPr>
        <w:pStyle w:val="Compact"/>
        <w:numPr>
          <w:ilvl w:val="0"/>
          <w:numId w:val="24"/>
        </w:numPr>
      </w:pPr>
      <w:r>
        <w:rPr>
          <w:b/>
          <w:bCs/>
        </w:rPr>
        <w:t>Rationale:</w:t>
      </w:r>
      <w:r>
        <w:t xml:space="preserve"> Fibulin-5 integrates tropoelastin with fibrillin-1. Without it, elastin deposits as amorphous aggregates rather than functional fibres.</w:t>
      </w:r>
    </w:p>
    <w:p w14:paraId="00D9AB97" w14:textId="77777777" w:rsidR="00BE3C0C" w:rsidRDefault="00000000">
      <w:pPr>
        <w:pStyle w:val="Heading4"/>
      </w:pPr>
      <w:bookmarkStart w:id="18" w:name="X9bf8b3f84527a9bf0d3ebb940ee3d5839998a86"/>
      <w:bookmarkEnd w:id="17"/>
      <w:r>
        <w:t>Endpoint 12: Proteoglycan / Hyaluronic Acid Protein Detection</w:t>
      </w:r>
    </w:p>
    <w:p w14:paraId="39986E50" w14:textId="77777777" w:rsidR="00BE3C0C" w:rsidRDefault="00000000">
      <w:pPr>
        <w:pStyle w:val="Compact"/>
        <w:numPr>
          <w:ilvl w:val="0"/>
          <w:numId w:val="25"/>
        </w:numPr>
      </w:pPr>
      <w:r>
        <w:rPr>
          <w:b/>
          <w:bCs/>
        </w:rPr>
        <w:t>Definition:</w:t>
      </w:r>
      <w:r>
        <w:t xml:space="preserve"> Evidence of proteoglycan or HA presence/abundance.</w:t>
      </w:r>
    </w:p>
    <w:p w14:paraId="27CCBE38" w14:textId="77777777" w:rsidR="00BE3C0C" w:rsidRDefault="00000000">
      <w:pPr>
        <w:pStyle w:val="Compact"/>
        <w:numPr>
          <w:ilvl w:val="0"/>
          <w:numId w:val="25"/>
        </w:numPr>
      </w:pPr>
      <w:r>
        <w:rPr>
          <w:b/>
          <w:bCs/>
        </w:rPr>
        <w:t>0.5 threshold:</w:t>
      </w:r>
      <w:r>
        <w:t xml:space="preserve"> Positive Alcian blue, safranin-O, or proteoglycan immunohistochemistry without quantitation.</w:t>
      </w:r>
    </w:p>
    <w:p w14:paraId="74AA3066" w14:textId="77777777" w:rsidR="00BE3C0C" w:rsidRDefault="00000000">
      <w:pPr>
        <w:pStyle w:val="Compact"/>
        <w:numPr>
          <w:ilvl w:val="0"/>
          <w:numId w:val="25"/>
        </w:numPr>
      </w:pPr>
      <w:r>
        <w:rPr>
          <w:b/>
          <w:bCs/>
        </w:rPr>
        <w:t>1.0 threshold:</w:t>
      </w:r>
      <w:r>
        <w:t xml:space="preserve"> Quantitative assessment by ELISA (decorin, biglycan, versican), dimethylmethylene blue (DMMB) assay for sulfated GAGs, or hyaluronan ELISA/ELISA-like assay (e.g., HABP-based).</w:t>
      </w:r>
    </w:p>
    <w:p w14:paraId="400FB2E3" w14:textId="77777777" w:rsidR="00BE3C0C" w:rsidRDefault="00000000">
      <w:pPr>
        <w:pStyle w:val="Compact"/>
        <w:numPr>
          <w:ilvl w:val="0"/>
          <w:numId w:val="25"/>
        </w:numPr>
      </w:pPr>
      <w:r>
        <w:rPr>
          <w:b/>
          <w:bCs/>
        </w:rPr>
        <w:t>Acceptable assays:</w:t>
      </w:r>
      <w:r>
        <w:t xml:space="preserve"> DMMB assay, ELISA for specific proteoglycans, HABP-based HA quantitation, mass spectrometry of GAG disaccharides.</w:t>
      </w:r>
    </w:p>
    <w:p w14:paraId="354E95A4" w14:textId="77777777" w:rsidR="00BE3C0C" w:rsidRDefault="00000000">
      <w:pPr>
        <w:pStyle w:val="Compact"/>
        <w:numPr>
          <w:ilvl w:val="0"/>
          <w:numId w:val="25"/>
        </w:numPr>
      </w:pPr>
      <w:r>
        <w:rPr>
          <w:b/>
          <w:bCs/>
        </w:rPr>
        <w:t>Unacceptable:</w:t>
      </w:r>
      <w:r>
        <w:t xml:space="preserve"> Qualitative Alcian blue without image analysis, clinical hydration assessment.</w:t>
      </w:r>
    </w:p>
    <w:p w14:paraId="22CF92FD" w14:textId="77777777" w:rsidR="00BE3C0C" w:rsidRDefault="00000000">
      <w:pPr>
        <w:pStyle w:val="Compact"/>
        <w:numPr>
          <w:ilvl w:val="0"/>
          <w:numId w:val="25"/>
        </w:numPr>
      </w:pPr>
      <w:r>
        <w:rPr>
          <w:b/>
          <w:bCs/>
        </w:rPr>
        <w:t>Rationale:</w:t>
      </w:r>
      <w:r>
        <w:t xml:space="preserve"> Proteoglycans and HA regulate tissue hydration, compressive resistance, and growth-factor availability. Their absence indicates incomplete matrix restoration.</w:t>
      </w:r>
    </w:p>
    <w:p w14:paraId="1046C8A8" w14:textId="77777777" w:rsidR="00BE3C0C" w:rsidRDefault="00B716D3">
      <w:r>
        <w:rPr>
          <w:noProof/>
        </w:rPr>
      </w:r>
      <w:r>
        <w:pict w14:anchorId="0DBAB03C">
          <v:rect id="Horizontal Line 5" o:spid="_x0000_s1035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68C9938" w14:textId="77777777" w:rsidR="00BE3C0C" w:rsidRDefault="00000000">
      <w:pPr>
        <w:pStyle w:val="Heading3"/>
      </w:pPr>
      <w:bookmarkStart w:id="19" w:name="domain-3-structural-assembly-2-endpoints"/>
      <w:bookmarkEnd w:id="12"/>
      <w:bookmarkEnd w:id="18"/>
      <w:r>
        <w:t>DOMAIN 3: STRUCTURAL ASSEMBLY (2 Endpoints)</w:t>
      </w:r>
    </w:p>
    <w:p w14:paraId="5ADEB80F" w14:textId="77777777" w:rsidR="00BE3C0C" w:rsidRDefault="00000000">
      <w:pPr>
        <w:pStyle w:val="Heading4"/>
      </w:pPr>
      <w:bookmarkStart w:id="20" w:name="Xf9f73aa9e65ce0265df047f4bde5567cd252b9e"/>
      <w:r>
        <w:t>Endpoint 13: Collagen Fibril Ultrastructure</w:t>
      </w:r>
    </w:p>
    <w:p w14:paraId="2D47F290" w14:textId="77777777" w:rsidR="00BE3C0C" w:rsidRDefault="00000000">
      <w:pPr>
        <w:pStyle w:val="Compact"/>
        <w:numPr>
          <w:ilvl w:val="0"/>
          <w:numId w:val="26"/>
        </w:numPr>
      </w:pPr>
      <w:r>
        <w:rPr>
          <w:b/>
          <w:bCs/>
        </w:rPr>
        <w:t>Definition:</w:t>
      </w:r>
      <w:r>
        <w:t xml:space="preserve"> Evidence that deposited collagen forms fibrils with native-like diameter, density, and organization.</w:t>
      </w:r>
    </w:p>
    <w:p w14:paraId="3C31535B" w14:textId="77777777" w:rsidR="00BE3C0C" w:rsidRDefault="00000000">
      <w:pPr>
        <w:pStyle w:val="Compact"/>
        <w:numPr>
          <w:ilvl w:val="0"/>
          <w:numId w:val="26"/>
        </w:numPr>
      </w:pPr>
      <w:r>
        <w:rPr>
          <w:b/>
          <w:bCs/>
        </w:rPr>
        <w:lastRenderedPageBreak/>
        <w:t>0.5 threshold:</w:t>
      </w:r>
      <w:r>
        <w:t xml:space="preserve"> Light microscopy assessment of “collagen density” or “organization” without resolution of individual fibrils.</w:t>
      </w:r>
    </w:p>
    <w:p w14:paraId="4B57AA1E" w14:textId="77777777" w:rsidR="00BE3C0C" w:rsidRDefault="00000000">
      <w:pPr>
        <w:pStyle w:val="Compact"/>
        <w:numPr>
          <w:ilvl w:val="0"/>
          <w:numId w:val="26"/>
        </w:numPr>
      </w:pPr>
      <w:r>
        <w:rPr>
          <w:b/>
          <w:bCs/>
        </w:rPr>
        <w:t>1.0 threshold:</w:t>
      </w:r>
      <w:r>
        <w:t xml:space="preserve"> Transmission electron microscopy (TEM) or atomic force microscopy (AFM) demonstrating fibril diameter distribution (50–100 nm for dermal collagen), D-banding periodicity (~67 nm), and parallel alignment; OR second-harmonic generation (SHG) microscopy with Fourier analysis showing ordered fibrillar architecture.</w:t>
      </w:r>
    </w:p>
    <w:p w14:paraId="7D26157D" w14:textId="77777777" w:rsidR="00BE3C0C" w:rsidRDefault="00000000">
      <w:pPr>
        <w:pStyle w:val="Compact"/>
        <w:numPr>
          <w:ilvl w:val="0"/>
          <w:numId w:val="26"/>
        </w:numPr>
      </w:pPr>
      <w:r>
        <w:rPr>
          <w:b/>
          <w:bCs/>
        </w:rPr>
        <w:t>Acceptable assays:</w:t>
      </w:r>
      <w:r>
        <w:t xml:space="preserve"> TEM with morphometry, AFM, SHG with orientation analysis, small-angle X-ray scattering (SAXS).</w:t>
      </w:r>
    </w:p>
    <w:p w14:paraId="39135F63" w14:textId="77777777" w:rsidR="00BE3C0C" w:rsidRDefault="00000000">
      <w:pPr>
        <w:pStyle w:val="Compact"/>
        <w:numPr>
          <w:ilvl w:val="0"/>
          <w:numId w:val="26"/>
        </w:numPr>
      </w:pPr>
      <w:r>
        <w:rPr>
          <w:b/>
          <w:bCs/>
        </w:rPr>
        <w:t>Unacceptable:</w:t>
      </w:r>
      <w:r>
        <w:t xml:space="preserve"> Light microscopy, clinical photography, ultrasound echogenicity.</w:t>
      </w:r>
    </w:p>
    <w:p w14:paraId="373F1FEC" w14:textId="77777777" w:rsidR="00BE3C0C" w:rsidRDefault="00000000">
      <w:pPr>
        <w:pStyle w:val="Compact"/>
        <w:numPr>
          <w:ilvl w:val="0"/>
          <w:numId w:val="26"/>
        </w:numPr>
      </w:pPr>
      <w:r>
        <w:rPr>
          <w:b/>
          <w:bCs/>
        </w:rPr>
        <w:t>Rationale:</w:t>
      </w:r>
      <w:r>
        <w:t xml:space="preserve"> Disorganized collagen deposition (scar) can score 1.0 on Endpoints 7 and 8 but fail here. This endpoint distinguishes deposition from regeneration.</w:t>
      </w:r>
    </w:p>
    <w:p w14:paraId="0BB87B1A" w14:textId="77777777" w:rsidR="00BE3C0C" w:rsidRDefault="00000000">
      <w:pPr>
        <w:pStyle w:val="Heading4"/>
      </w:pPr>
      <w:bookmarkStart w:id="21" w:name="endpoint-14-elastic-fibre-assembly"/>
      <w:bookmarkEnd w:id="20"/>
      <w:r>
        <w:t>Endpoint 14: Elastic Fibre Assembly</w:t>
      </w:r>
    </w:p>
    <w:p w14:paraId="3F574A2B" w14:textId="77777777" w:rsidR="00BE3C0C" w:rsidRDefault="00000000">
      <w:pPr>
        <w:pStyle w:val="Compact"/>
        <w:numPr>
          <w:ilvl w:val="0"/>
          <w:numId w:val="27"/>
        </w:numPr>
      </w:pPr>
      <w:r>
        <w:rPr>
          <w:b/>
          <w:bCs/>
        </w:rPr>
        <w:t>Definition:</w:t>
      </w:r>
      <w:r>
        <w:t xml:space="preserve"> Evidence that elastin and microfibrillar proteins assemble into mature, functional elastic fibres.</w:t>
      </w:r>
    </w:p>
    <w:p w14:paraId="12C53688" w14:textId="77777777" w:rsidR="00BE3C0C" w:rsidRDefault="00000000">
      <w:pPr>
        <w:pStyle w:val="Compact"/>
        <w:numPr>
          <w:ilvl w:val="0"/>
          <w:numId w:val="27"/>
        </w:numPr>
      </w:pPr>
      <w:r>
        <w:rPr>
          <w:b/>
          <w:bCs/>
        </w:rPr>
        <w:t>0.5 threshold:</w:t>
      </w:r>
      <w:r>
        <w:t xml:space="preserve"> Detection of elastin fragments or immature microfibrils without mature fibre morphology.</w:t>
      </w:r>
    </w:p>
    <w:p w14:paraId="32C9A9E4" w14:textId="77777777" w:rsidR="00BE3C0C" w:rsidRDefault="00000000">
      <w:pPr>
        <w:pStyle w:val="Compact"/>
        <w:numPr>
          <w:ilvl w:val="0"/>
          <w:numId w:val="27"/>
        </w:numPr>
      </w:pPr>
      <w:r>
        <w:rPr>
          <w:b/>
          <w:bCs/>
        </w:rPr>
        <w:t>1.0 threshold:</w:t>
      </w:r>
      <w:r>
        <w:t xml:space="preserve"> TEM or immunogold TEM demonstrating mature elastic fibres with an amorphous elastin core and peripheral microfibrillar mantle; OR elastosonography with validated quantitative stiffness mapping correlated to histology.</w:t>
      </w:r>
    </w:p>
    <w:p w14:paraId="7D87694A" w14:textId="77777777" w:rsidR="00BE3C0C" w:rsidRDefault="00000000">
      <w:pPr>
        <w:pStyle w:val="Compact"/>
        <w:numPr>
          <w:ilvl w:val="0"/>
          <w:numId w:val="27"/>
        </w:numPr>
      </w:pPr>
      <w:r>
        <w:rPr>
          <w:b/>
          <w:bCs/>
        </w:rPr>
        <w:t>Acceptable assays:</w:t>
      </w:r>
      <w:r>
        <w:t xml:space="preserve"> TEM with immunogold labeling for fibrillin-1/fibulin-5/elastin, AFM stiffness mapping of individual fibres, elastosonography with quantitative elastography maps (kPa values).</w:t>
      </w:r>
    </w:p>
    <w:p w14:paraId="4EDF3770" w14:textId="77777777" w:rsidR="00BE3C0C" w:rsidRDefault="00000000">
      <w:pPr>
        <w:pStyle w:val="Compact"/>
        <w:numPr>
          <w:ilvl w:val="0"/>
          <w:numId w:val="27"/>
        </w:numPr>
      </w:pPr>
      <w:r>
        <w:rPr>
          <w:b/>
          <w:bCs/>
        </w:rPr>
        <w:t>Unacceptable:</w:t>
      </w:r>
      <w:r>
        <w:t xml:space="preserve"> Standard B-mode ultrasound, clinical palpation, qualitative histology.</w:t>
      </w:r>
    </w:p>
    <w:p w14:paraId="645EB1C1" w14:textId="77777777" w:rsidR="00BE3C0C" w:rsidRDefault="00000000">
      <w:pPr>
        <w:pStyle w:val="Compact"/>
        <w:numPr>
          <w:ilvl w:val="0"/>
          <w:numId w:val="27"/>
        </w:numPr>
      </w:pPr>
      <w:r>
        <w:rPr>
          <w:b/>
          <w:bCs/>
        </w:rPr>
        <w:lastRenderedPageBreak/>
        <w:t>Rationale:</w:t>
      </w:r>
      <w:r>
        <w:t xml:space="preserve"> Elastic fibre assembly is the most stringent structural criterion. Amorphous elastin without microfibrillar organization is functionally incompetent.</w:t>
      </w:r>
    </w:p>
    <w:p w14:paraId="1FD632CD" w14:textId="77777777" w:rsidR="00BE3C0C" w:rsidRDefault="00B716D3">
      <w:r>
        <w:rPr>
          <w:noProof/>
        </w:rPr>
      </w:r>
      <w:r>
        <w:pict w14:anchorId="00B6666C">
          <v:rect id="Horizontal Line 6" o:spid="_x0000_s1034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7679559" w14:textId="77777777" w:rsidR="00BE3C0C" w:rsidRDefault="00000000">
      <w:pPr>
        <w:pStyle w:val="Heading3"/>
      </w:pPr>
      <w:bookmarkStart w:id="22" w:name="Xfdeb9da5e754a8089f9609b2ae3eb24866835da"/>
      <w:bookmarkEnd w:id="19"/>
      <w:bookmarkEnd w:id="21"/>
      <w:r>
        <w:t>DOMAIN 4: FUNCTIONAL BIOMECHANICS (3 Endpoints)</w:t>
      </w:r>
    </w:p>
    <w:p w14:paraId="5BD95DFB" w14:textId="77777777" w:rsidR="00BE3C0C" w:rsidRDefault="00000000">
      <w:pPr>
        <w:pStyle w:val="Heading4"/>
      </w:pPr>
      <w:bookmarkStart w:id="23" w:name="X3bda483da6a38a3ac31a150fd28bf9966c3b0f9"/>
      <w:r>
        <w:t>Endpoint 15: Elastic Recoil / Viscoelastic Recovery</w:t>
      </w:r>
    </w:p>
    <w:p w14:paraId="3CF7608B" w14:textId="77777777" w:rsidR="00BE3C0C" w:rsidRDefault="00000000">
      <w:pPr>
        <w:pStyle w:val="Compact"/>
        <w:numPr>
          <w:ilvl w:val="0"/>
          <w:numId w:val="28"/>
        </w:numPr>
      </w:pPr>
      <w:r>
        <w:rPr>
          <w:b/>
          <w:bCs/>
        </w:rPr>
        <w:t>Definition:</w:t>
      </w:r>
      <w:r>
        <w:t xml:space="preserve"> Quantitative evidence that the treated tissue exhibits elastic recoil matching young/native skin.</w:t>
      </w:r>
    </w:p>
    <w:p w14:paraId="793F7FB9" w14:textId="77777777" w:rsidR="00BE3C0C" w:rsidRDefault="00000000">
      <w:pPr>
        <w:pStyle w:val="Compact"/>
        <w:numPr>
          <w:ilvl w:val="0"/>
          <w:numId w:val="28"/>
        </w:numPr>
      </w:pPr>
      <w:r>
        <w:rPr>
          <w:b/>
          <w:bCs/>
        </w:rPr>
        <w:t>0.5 threshold:</w:t>
      </w:r>
      <w:r>
        <w:t xml:space="preserve"> Clinical assessment of “improved firmness” or non-instrumental palpation score.</w:t>
      </w:r>
    </w:p>
    <w:p w14:paraId="1413C423" w14:textId="77777777" w:rsidR="00BE3C0C" w:rsidRDefault="00000000">
      <w:pPr>
        <w:pStyle w:val="Compact"/>
        <w:numPr>
          <w:ilvl w:val="0"/>
          <w:numId w:val="28"/>
        </w:numPr>
      </w:pPr>
      <w:r>
        <w:rPr>
          <w:b/>
          <w:bCs/>
        </w:rPr>
        <w:t>1.0 threshold:</w:t>
      </w:r>
      <w:r>
        <w:t xml:space="preserve"> Cutometer R2 (gross elasticity) or R5 (net elasticity) or R7 (viscoelastic ratio) demonstrating statistically significant improvement versus baseline and/or age-matched control; OR elastosonography shear-wave velocity or Young’s modulus improvement with p &lt; 0.05.</w:t>
      </w:r>
    </w:p>
    <w:p w14:paraId="555823CB" w14:textId="77777777" w:rsidR="00BE3C0C" w:rsidRDefault="00000000">
      <w:pPr>
        <w:pStyle w:val="Compact"/>
        <w:numPr>
          <w:ilvl w:val="0"/>
          <w:numId w:val="28"/>
        </w:numPr>
      </w:pPr>
      <w:r>
        <w:rPr>
          <w:b/>
          <w:bCs/>
        </w:rPr>
        <w:t>Acceptable assays:</w:t>
      </w:r>
      <w:r>
        <w:t xml:space="preserve"> Cutometer (Courage + Khazaka) R2/R5/R7 parameters, elastosonography (supersonic shear imaging, ARFI), torsionometer (Dermal Torque Meter), suction-based devices with validated R-parameters.</w:t>
      </w:r>
    </w:p>
    <w:p w14:paraId="3161FB9D" w14:textId="77777777" w:rsidR="00BE3C0C" w:rsidRDefault="00000000">
      <w:pPr>
        <w:pStyle w:val="Compact"/>
        <w:numPr>
          <w:ilvl w:val="0"/>
          <w:numId w:val="28"/>
        </w:numPr>
      </w:pPr>
      <w:r>
        <w:rPr>
          <w:b/>
          <w:bCs/>
        </w:rPr>
        <w:t>Unacceptable:</w:t>
      </w:r>
      <w:r>
        <w:t xml:space="preserve"> Clinical photography, subjective firmness scales, uncalibrated pinch tests.</w:t>
      </w:r>
    </w:p>
    <w:p w14:paraId="16FE79D9" w14:textId="77777777" w:rsidR="00BE3C0C" w:rsidRDefault="00000000">
      <w:pPr>
        <w:pStyle w:val="Compact"/>
        <w:numPr>
          <w:ilvl w:val="0"/>
          <w:numId w:val="28"/>
        </w:numPr>
      </w:pPr>
      <w:r>
        <w:rPr>
          <w:b/>
          <w:bCs/>
        </w:rPr>
        <w:t>Rationale:</w:t>
      </w:r>
      <w:r>
        <w:t xml:space="preserve"> Elastic recoil is the functional output of the collagen-elastin-proteoglycan ensemble. Without biomechanical validation, molecular changes are phenotypically unproven.</w:t>
      </w:r>
    </w:p>
    <w:p w14:paraId="3B953C12" w14:textId="77777777" w:rsidR="00BE3C0C" w:rsidRDefault="00000000">
      <w:pPr>
        <w:pStyle w:val="Heading4"/>
      </w:pPr>
      <w:bookmarkStart w:id="24" w:name="X32f81f36ad380bed8ffb94b17879fb567c84b6e"/>
      <w:bookmarkEnd w:id="23"/>
      <w:r>
        <w:t>Endpoint 16: Toe-Region Compliance / Initial Stiffness</w:t>
      </w:r>
    </w:p>
    <w:p w14:paraId="672E47E4" w14:textId="77777777" w:rsidR="00BE3C0C" w:rsidRDefault="00000000">
      <w:pPr>
        <w:pStyle w:val="Compact"/>
        <w:numPr>
          <w:ilvl w:val="0"/>
          <w:numId w:val="29"/>
        </w:numPr>
      </w:pPr>
      <w:r>
        <w:rPr>
          <w:b/>
          <w:bCs/>
        </w:rPr>
        <w:t>Definition:</w:t>
      </w:r>
      <w:r>
        <w:t xml:space="preserve"> Quantitative assessment of the low-strain stiffness of the dermis (toe region of the stress-strain curve), reflecting the engagement of the elastic fibre network.</w:t>
      </w:r>
    </w:p>
    <w:p w14:paraId="7588EF5C" w14:textId="77777777" w:rsidR="00BE3C0C" w:rsidRDefault="00000000">
      <w:pPr>
        <w:pStyle w:val="Compact"/>
        <w:numPr>
          <w:ilvl w:val="0"/>
          <w:numId w:val="29"/>
        </w:numPr>
      </w:pPr>
      <w:r>
        <w:rPr>
          <w:b/>
          <w:bCs/>
        </w:rPr>
        <w:t>0.5 threshold:</w:t>
      </w:r>
      <w:r>
        <w:t xml:space="preserve"> Not applicable — this endpoint requires instrumentation.</w:t>
      </w:r>
    </w:p>
    <w:p w14:paraId="21538E17" w14:textId="77777777" w:rsidR="00BE3C0C" w:rsidRDefault="00000000">
      <w:pPr>
        <w:pStyle w:val="Compact"/>
        <w:numPr>
          <w:ilvl w:val="0"/>
          <w:numId w:val="29"/>
        </w:numPr>
      </w:pPr>
      <w:r>
        <w:rPr>
          <w:b/>
          <w:bCs/>
        </w:rPr>
        <w:t>1.0 threshold:</w:t>
      </w:r>
      <w:r>
        <w:t xml:space="preserve"> Instrumented measurement (extensometer, uniaxial tensile testing of skin strips, or advanced torsionometry) demonstrating toe-region </w:t>
      </w:r>
      <w:r>
        <w:lastRenderedPageBreak/>
        <w:t>modulus within 20% of age-matched native skin or statistically significant improvement versus baseline with p &lt; 0.05.</w:t>
      </w:r>
    </w:p>
    <w:p w14:paraId="1D7ED0F7" w14:textId="77777777" w:rsidR="00BE3C0C" w:rsidRDefault="00000000">
      <w:pPr>
        <w:pStyle w:val="Compact"/>
        <w:numPr>
          <w:ilvl w:val="0"/>
          <w:numId w:val="29"/>
        </w:numPr>
      </w:pPr>
      <w:r>
        <w:rPr>
          <w:b/>
          <w:bCs/>
        </w:rPr>
        <w:t>Acceptable assays:</w:t>
      </w:r>
      <w:r>
        <w:t xml:space="preserve"> Uniaxial tensile testing, biaxial testing, torsionometer with strain-decomposition analysis, indentation testing with Oliver-Pharr analysis.</w:t>
      </w:r>
    </w:p>
    <w:p w14:paraId="25234795" w14:textId="77777777" w:rsidR="00BE3C0C" w:rsidRDefault="00000000">
      <w:pPr>
        <w:pStyle w:val="Compact"/>
        <w:numPr>
          <w:ilvl w:val="0"/>
          <w:numId w:val="29"/>
        </w:numPr>
      </w:pPr>
      <w:r>
        <w:rPr>
          <w:b/>
          <w:bCs/>
        </w:rPr>
        <w:t>Unacceptable:</w:t>
      </w:r>
      <w:r>
        <w:t xml:space="preserve"> Cutometer alone (insufficient for toe-region decomposition), clinical assessment.</w:t>
      </w:r>
    </w:p>
    <w:p w14:paraId="557DED47" w14:textId="77777777" w:rsidR="00BE3C0C" w:rsidRDefault="00000000">
      <w:pPr>
        <w:pStyle w:val="Compact"/>
        <w:numPr>
          <w:ilvl w:val="0"/>
          <w:numId w:val="29"/>
        </w:numPr>
      </w:pPr>
      <w:r>
        <w:rPr>
          <w:b/>
          <w:bCs/>
        </w:rPr>
        <w:t>Rationale:</w:t>
      </w:r>
      <w:r>
        <w:t xml:space="preserve"> The toe region is dominated by elastic fibres. Its restoration indicates functional elastic fibre engagement, not just molecular presence.</w:t>
      </w:r>
    </w:p>
    <w:p w14:paraId="5B04A7F0" w14:textId="77777777" w:rsidR="00BE3C0C" w:rsidRDefault="00000000">
      <w:pPr>
        <w:pStyle w:val="Heading4"/>
      </w:pPr>
      <w:bookmarkStart w:id="25" w:name="X96099293f9ac7e728be5a33992d6ae5c9aa4473"/>
      <w:bookmarkEnd w:id="24"/>
      <w:r>
        <w:t>Endpoint 17: Hysteresis / Energy Dissipation</w:t>
      </w:r>
    </w:p>
    <w:p w14:paraId="5CAB98A6" w14:textId="77777777" w:rsidR="00BE3C0C" w:rsidRDefault="00000000">
      <w:pPr>
        <w:pStyle w:val="Compact"/>
        <w:numPr>
          <w:ilvl w:val="0"/>
          <w:numId w:val="30"/>
        </w:numPr>
      </w:pPr>
      <w:r>
        <w:rPr>
          <w:b/>
          <w:bCs/>
        </w:rPr>
        <w:t>Definition:</w:t>
      </w:r>
      <w:r>
        <w:t xml:space="preserve"> Quantitative assessment of the viscous component of dermal mechanics — the energy lost as heat during loading/unloading cycles.</w:t>
      </w:r>
    </w:p>
    <w:p w14:paraId="3E0BF8D0" w14:textId="77777777" w:rsidR="00BE3C0C" w:rsidRDefault="00000000">
      <w:pPr>
        <w:pStyle w:val="Compact"/>
        <w:numPr>
          <w:ilvl w:val="0"/>
          <w:numId w:val="30"/>
        </w:numPr>
      </w:pPr>
      <w:r>
        <w:rPr>
          <w:b/>
          <w:bCs/>
        </w:rPr>
        <w:t>0.5 threshold:</w:t>
      </w:r>
      <w:r>
        <w:t xml:space="preserve"> Not applicable.</w:t>
      </w:r>
    </w:p>
    <w:p w14:paraId="6C551B9A" w14:textId="77777777" w:rsidR="00BE3C0C" w:rsidRDefault="00000000">
      <w:pPr>
        <w:pStyle w:val="Compact"/>
        <w:numPr>
          <w:ilvl w:val="0"/>
          <w:numId w:val="30"/>
        </w:numPr>
      </w:pPr>
      <w:r>
        <w:rPr>
          <w:b/>
          <w:bCs/>
        </w:rPr>
        <w:t>1.0 threshold:</w:t>
      </w:r>
      <w:r>
        <w:t xml:space="preserve"> Cyclic tensile testing or torsionometry demonstrating hysteresis ratio (area between loading/unloading curves / total work) statistically matching young/native skin or improving versus baseline with p &lt; 0.05.</w:t>
      </w:r>
    </w:p>
    <w:p w14:paraId="1810CD32" w14:textId="77777777" w:rsidR="00BE3C0C" w:rsidRDefault="00000000">
      <w:pPr>
        <w:pStyle w:val="Compact"/>
        <w:numPr>
          <w:ilvl w:val="0"/>
          <w:numId w:val="30"/>
        </w:numPr>
      </w:pPr>
      <w:r>
        <w:rPr>
          <w:b/>
          <w:bCs/>
        </w:rPr>
        <w:t>Acceptable assays:</w:t>
      </w:r>
      <w:r>
        <w:t xml:space="preserve"> Cyclic uniaxial tensile testing, dynamic mechanical analysis (DMA) of skin samples, advanced torsionometry with cyclic protocols.</w:t>
      </w:r>
    </w:p>
    <w:p w14:paraId="579CC05E" w14:textId="77777777" w:rsidR="00BE3C0C" w:rsidRDefault="00000000">
      <w:pPr>
        <w:pStyle w:val="Compact"/>
        <w:numPr>
          <w:ilvl w:val="0"/>
          <w:numId w:val="30"/>
        </w:numPr>
      </w:pPr>
      <w:r>
        <w:rPr>
          <w:b/>
          <w:bCs/>
        </w:rPr>
        <w:t>Unacceptable:</w:t>
      </w:r>
      <w:r>
        <w:t xml:space="preserve"> Single-load tests, Cutometer R7 alone (insufficient for true hysteresis quantitation).</w:t>
      </w:r>
    </w:p>
    <w:p w14:paraId="338CC1BF" w14:textId="77777777" w:rsidR="00BE3C0C" w:rsidRDefault="00000000">
      <w:pPr>
        <w:pStyle w:val="Compact"/>
        <w:numPr>
          <w:ilvl w:val="0"/>
          <w:numId w:val="30"/>
        </w:numPr>
      </w:pPr>
      <w:r>
        <w:rPr>
          <w:b/>
          <w:bCs/>
        </w:rPr>
        <w:t>Rationale:</w:t>
      </w:r>
      <w:r>
        <w:t xml:space="preserve"> Hysteresis reflects proteoglycan-mediated hydration and matrix viscosity. It is the functional signature of a mature, hydrated matrix.</w:t>
      </w:r>
    </w:p>
    <w:p w14:paraId="39F18FEF" w14:textId="77777777" w:rsidR="00BE3C0C" w:rsidRDefault="00B716D3">
      <w:r>
        <w:rPr>
          <w:noProof/>
        </w:rPr>
      </w:r>
      <w:r>
        <w:pict w14:anchorId="616DBE95">
          <v:rect id="Horizontal Line 7" o:spid="_x0000_s1033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32B8B9C" w14:textId="77777777" w:rsidR="00BE3C0C" w:rsidRDefault="00000000">
      <w:pPr>
        <w:pStyle w:val="Heading3"/>
      </w:pPr>
      <w:bookmarkStart w:id="26" w:name="Xe7128659499ab0eefddb87b2a7a247c7a08e518"/>
      <w:bookmarkEnd w:id="22"/>
      <w:bookmarkEnd w:id="25"/>
      <w:r>
        <w:t>DOMAIN 5: HOMEOSTATIC REGULATION (2 Endpoints)</w:t>
      </w:r>
    </w:p>
    <w:p w14:paraId="38979399" w14:textId="77777777" w:rsidR="00BE3C0C" w:rsidRDefault="00000000">
      <w:pPr>
        <w:pStyle w:val="Heading4"/>
      </w:pPr>
      <w:bookmarkStart w:id="27" w:name="Xaf5c259b27167c6912e16a32c608e1d7857ce0f"/>
      <w:r>
        <w:t>Endpoint 18: Matrix Metalloproteinase (MMP) Activity / Expression</w:t>
      </w:r>
    </w:p>
    <w:p w14:paraId="2A0629B4" w14:textId="77777777" w:rsidR="00BE3C0C" w:rsidRDefault="00000000">
      <w:pPr>
        <w:pStyle w:val="Compact"/>
        <w:numPr>
          <w:ilvl w:val="0"/>
          <w:numId w:val="31"/>
        </w:numPr>
      </w:pPr>
      <w:r>
        <w:rPr>
          <w:b/>
          <w:bCs/>
        </w:rPr>
        <w:t>Definition:</w:t>
      </w:r>
      <w:r>
        <w:t xml:space="preserve"> Evidence that matrix remodeling is actively regulated via MMP expression/activity.</w:t>
      </w:r>
    </w:p>
    <w:p w14:paraId="497AB60E" w14:textId="77777777" w:rsidR="00BE3C0C" w:rsidRDefault="00000000">
      <w:pPr>
        <w:pStyle w:val="Compact"/>
        <w:numPr>
          <w:ilvl w:val="0"/>
          <w:numId w:val="31"/>
        </w:numPr>
      </w:pPr>
      <w:r>
        <w:rPr>
          <w:b/>
          <w:bCs/>
        </w:rPr>
        <w:lastRenderedPageBreak/>
        <w:t>0.5 threshold:</w:t>
      </w:r>
      <w:r>
        <w:t xml:space="preserve"> Detectable MMP-1, MMP-2, MMP-3, or MMP-9 by zymography or IHC without activity quantitation.</w:t>
      </w:r>
    </w:p>
    <w:p w14:paraId="03A724DC" w14:textId="77777777" w:rsidR="00BE3C0C" w:rsidRDefault="00000000">
      <w:pPr>
        <w:pStyle w:val="Compact"/>
        <w:numPr>
          <w:ilvl w:val="0"/>
          <w:numId w:val="31"/>
        </w:numPr>
      </w:pPr>
      <w:r>
        <w:rPr>
          <w:b/>
          <w:bCs/>
        </w:rPr>
        <w:t>1.0 threshold:</w:t>
      </w:r>
      <w:r>
        <w:t xml:space="preserve"> Quantitative zymography (band densitometry), ELISA for active MMPs, or activity assays (fluorogenic peptide substrates) with p &lt; 0.05 versus control.</w:t>
      </w:r>
    </w:p>
    <w:p w14:paraId="3E3DC35F" w14:textId="77777777" w:rsidR="00BE3C0C" w:rsidRDefault="00000000">
      <w:pPr>
        <w:pStyle w:val="Compact"/>
        <w:numPr>
          <w:ilvl w:val="0"/>
          <w:numId w:val="31"/>
        </w:numPr>
      </w:pPr>
      <w:r>
        <w:rPr>
          <w:b/>
          <w:bCs/>
        </w:rPr>
        <w:t>Acceptable assays:</w:t>
      </w:r>
      <w:r>
        <w:t xml:space="preserve"> Gelatin zymography with densitometry, ELISA (active + total MMPs), fluorogenic substrate assays, in situ zymography with digital quantitation.</w:t>
      </w:r>
    </w:p>
    <w:p w14:paraId="627CD6DF" w14:textId="77777777" w:rsidR="00BE3C0C" w:rsidRDefault="00000000">
      <w:pPr>
        <w:pStyle w:val="Compact"/>
        <w:numPr>
          <w:ilvl w:val="0"/>
          <w:numId w:val="31"/>
        </w:numPr>
      </w:pPr>
      <w:r>
        <w:rPr>
          <w:b/>
          <w:bCs/>
        </w:rPr>
        <w:t>Unacceptable:</w:t>
      </w:r>
      <w:r>
        <w:t xml:space="preserve"> Qualitative zymography, gene expression alone (mRNA ≠ activity).</w:t>
      </w:r>
    </w:p>
    <w:p w14:paraId="6A4C0E2A" w14:textId="77777777" w:rsidR="00BE3C0C" w:rsidRDefault="00000000">
      <w:pPr>
        <w:pStyle w:val="Compact"/>
        <w:numPr>
          <w:ilvl w:val="0"/>
          <w:numId w:val="31"/>
        </w:numPr>
      </w:pPr>
      <w:r>
        <w:rPr>
          <w:b/>
          <w:bCs/>
        </w:rPr>
        <w:t>Rationale:</w:t>
      </w:r>
      <w:r>
        <w:t xml:space="preserve"> MMPs execute matrix turnover. Without evidence of their activity, collagen deposition may represent unregulated fibrosis rather than homeostatic remodeling.</w:t>
      </w:r>
    </w:p>
    <w:p w14:paraId="02C84358" w14:textId="77777777" w:rsidR="00BE3C0C" w:rsidRDefault="00000000">
      <w:pPr>
        <w:pStyle w:val="Heading4"/>
      </w:pPr>
      <w:bookmarkStart w:id="28" w:name="Xafb647bfd263ae6d9c6ce6da5f6ddeab2dd4335"/>
      <w:bookmarkEnd w:id="27"/>
      <w:r>
        <w:t>Endpoint 19: Tissue Inhibitor of Metalloproteinase (TIMP) Balance</w:t>
      </w:r>
    </w:p>
    <w:p w14:paraId="57CC3187" w14:textId="77777777" w:rsidR="00BE3C0C" w:rsidRDefault="00000000">
      <w:pPr>
        <w:pStyle w:val="Compact"/>
        <w:numPr>
          <w:ilvl w:val="0"/>
          <w:numId w:val="32"/>
        </w:numPr>
      </w:pPr>
      <w:r>
        <w:rPr>
          <w:b/>
          <w:bCs/>
        </w:rPr>
        <w:t>Definition:</w:t>
      </w:r>
      <w:r>
        <w:t xml:space="preserve"> Evidence of TIMP expression and MMP/TIMP ratio within homeostatic range.</w:t>
      </w:r>
    </w:p>
    <w:p w14:paraId="4F94E87A" w14:textId="77777777" w:rsidR="00BE3C0C" w:rsidRDefault="00000000">
      <w:pPr>
        <w:pStyle w:val="Compact"/>
        <w:numPr>
          <w:ilvl w:val="0"/>
          <w:numId w:val="32"/>
        </w:numPr>
      </w:pPr>
      <w:r>
        <w:rPr>
          <w:b/>
          <w:bCs/>
        </w:rPr>
        <w:t>0.5 threshold:</w:t>
      </w:r>
      <w:r>
        <w:t xml:space="preserve"> Detectable TIMP-1 or TIMP-2 by IHC or non-quantitative method.</w:t>
      </w:r>
    </w:p>
    <w:p w14:paraId="1EA77866" w14:textId="77777777" w:rsidR="00BE3C0C" w:rsidRDefault="00000000">
      <w:pPr>
        <w:pStyle w:val="Compact"/>
        <w:numPr>
          <w:ilvl w:val="0"/>
          <w:numId w:val="32"/>
        </w:numPr>
      </w:pPr>
      <w:r>
        <w:rPr>
          <w:b/>
          <w:bCs/>
        </w:rPr>
        <w:t>1.0 threshold:</w:t>
      </w:r>
      <w:r>
        <w:t xml:space="preserve"> Quantitative ELISA or Western blot demonstrating TIMP-1/2 levels and MMP/TIMP ratio within 2-fold of native/young skin or demonstrating restoration of ratio versus aged baseline with p &lt; 0.05.</w:t>
      </w:r>
    </w:p>
    <w:p w14:paraId="19C29FFF" w14:textId="77777777" w:rsidR="00BE3C0C" w:rsidRDefault="00000000">
      <w:pPr>
        <w:pStyle w:val="Compact"/>
        <w:numPr>
          <w:ilvl w:val="0"/>
          <w:numId w:val="32"/>
        </w:numPr>
      </w:pPr>
      <w:r>
        <w:rPr>
          <w:b/>
          <w:bCs/>
        </w:rPr>
        <w:t>Acceptable assays:</w:t>
      </w:r>
      <w:r>
        <w:t xml:space="preserve"> ELISA, Western blot (normalized), multiplex cytokine arrays with validated quantitation.</w:t>
      </w:r>
    </w:p>
    <w:p w14:paraId="5A80C34A" w14:textId="77777777" w:rsidR="00BE3C0C" w:rsidRDefault="00000000">
      <w:pPr>
        <w:pStyle w:val="Compact"/>
        <w:numPr>
          <w:ilvl w:val="0"/>
          <w:numId w:val="32"/>
        </w:numPr>
      </w:pPr>
      <w:r>
        <w:rPr>
          <w:b/>
          <w:bCs/>
        </w:rPr>
        <w:t>Unacceptable:</w:t>
      </w:r>
      <w:r>
        <w:t xml:space="preserve"> Qualitative detection, gene expression alone.</w:t>
      </w:r>
    </w:p>
    <w:p w14:paraId="18D0DCEE" w14:textId="77777777" w:rsidR="00BE3C0C" w:rsidRDefault="00000000">
      <w:pPr>
        <w:pStyle w:val="Compact"/>
        <w:numPr>
          <w:ilvl w:val="0"/>
          <w:numId w:val="32"/>
        </w:numPr>
      </w:pPr>
      <w:r>
        <w:rPr>
          <w:b/>
          <w:bCs/>
        </w:rPr>
        <w:t>Rationale:</w:t>
      </w:r>
      <w:r>
        <w:t xml:space="preserve"> TIMPs regulate MMP activity. An MMP surge without TIMP control indicates catabolic destruction; TIMP dominance without MMP activity indicates matrix stagnation. Balance is the homeostatic criterion.</w:t>
      </w:r>
    </w:p>
    <w:p w14:paraId="1FB85148" w14:textId="77777777" w:rsidR="00BE3C0C" w:rsidRDefault="00B716D3">
      <w:r>
        <w:rPr>
          <w:noProof/>
        </w:rPr>
      </w:r>
      <w:r>
        <w:pict w14:anchorId="690B2A46">
          <v:rect id="Horizontal Line 8" o:spid="_x0000_s1032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D13012F" w14:textId="77777777" w:rsidR="00BE3C0C" w:rsidRDefault="00000000">
      <w:pPr>
        <w:pStyle w:val="Heading3"/>
      </w:pPr>
      <w:bookmarkStart w:id="29" w:name="X5ad0ca479fd10ee99d35986b2a87d5a9a6b44b4"/>
      <w:bookmarkEnd w:id="26"/>
      <w:bookmarkEnd w:id="28"/>
      <w:r>
        <w:lastRenderedPageBreak/>
        <w:t>DOMAIN 6: CELLULAR REJUVENATION (2 Endpoints)</w:t>
      </w:r>
    </w:p>
    <w:p w14:paraId="5D215398" w14:textId="77777777" w:rsidR="00BE3C0C" w:rsidRDefault="00000000">
      <w:pPr>
        <w:pStyle w:val="Heading4"/>
      </w:pPr>
      <w:bookmarkStart w:id="30" w:name="endpoint-20-senescence-marker-reduction"/>
      <w:r>
        <w:t>Endpoint 20: Senescence Marker Reduction</w:t>
      </w:r>
    </w:p>
    <w:p w14:paraId="6290E13B" w14:textId="77777777" w:rsidR="00BE3C0C" w:rsidRDefault="00000000">
      <w:pPr>
        <w:pStyle w:val="Compact"/>
        <w:numPr>
          <w:ilvl w:val="0"/>
          <w:numId w:val="33"/>
        </w:numPr>
      </w:pPr>
      <w:r>
        <w:rPr>
          <w:b/>
          <w:bCs/>
        </w:rPr>
        <w:t>Definition:</w:t>
      </w:r>
      <w:r>
        <w:t xml:space="preserve"> Evidence of reduced cellular senescence burden in dermal fibroblasts or tissue.</w:t>
      </w:r>
    </w:p>
    <w:p w14:paraId="6B1D8DAA" w14:textId="77777777" w:rsidR="00BE3C0C" w:rsidRDefault="00000000">
      <w:pPr>
        <w:pStyle w:val="Compact"/>
        <w:numPr>
          <w:ilvl w:val="0"/>
          <w:numId w:val="33"/>
        </w:numPr>
      </w:pPr>
      <w:r>
        <w:rPr>
          <w:b/>
          <w:bCs/>
        </w:rPr>
        <w:t>0.5 threshold:</w:t>
      </w:r>
      <w:r>
        <w:t xml:space="preserve"> Qualitative reduction in SA-β-gal staining without cell-level quantitation.</w:t>
      </w:r>
    </w:p>
    <w:p w14:paraId="67D0AEE9" w14:textId="77777777" w:rsidR="00BE3C0C" w:rsidRDefault="00000000">
      <w:pPr>
        <w:pStyle w:val="Compact"/>
        <w:numPr>
          <w:ilvl w:val="0"/>
          <w:numId w:val="33"/>
        </w:numPr>
      </w:pPr>
      <w:r>
        <w:rPr>
          <w:b/>
          <w:bCs/>
        </w:rPr>
        <w:t>1.0 threshold:</w:t>
      </w:r>
      <w:r>
        <w:t xml:space="preserve"> Quantitative reduction in SA-β-gal positive cell percentage, p16</w:t>
      </w:r>
      <w:r>
        <w:rPr>
          <w:vertAlign w:val="superscript"/>
        </w:rPr>
        <w:t>INK4a</w:t>
      </w:r>
      <w:r>
        <w:t xml:space="preserve"> expression (qPCR or Western blot normalized), or senescence-associated secretory phenotype (SASP) factor levels (IL-6, IL-8, MMP-3) with p &lt; 0.05.</w:t>
      </w:r>
    </w:p>
    <w:p w14:paraId="4BD32019" w14:textId="77777777" w:rsidR="00BE3C0C" w:rsidRDefault="00000000">
      <w:pPr>
        <w:pStyle w:val="Compact"/>
        <w:numPr>
          <w:ilvl w:val="0"/>
          <w:numId w:val="33"/>
        </w:numPr>
      </w:pPr>
      <w:r>
        <w:rPr>
          <w:b/>
          <w:bCs/>
        </w:rPr>
        <w:t>Acceptable assays:</w:t>
      </w:r>
      <w:r>
        <w:t xml:space="preserve"> SA-β-gal colorimetric/fluorometric assay with % positive cells, qPCR for p16/CDKN2A, Western blot for p16, multiplex ELISA for SASP factors, flow cytometry for p16 or γH2AX.</w:t>
      </w:r>
    </w:p>
    <w:p w14:paraId="7D8337CB" w14:textId="77777777" w:rsidR="00BE3C0C" w:rsidRDefault="00000000">
      <w:pPr>
        <w:pStyle w:val="Compact"/>
        <w:numPr>
          <w:ilvl w:val="0"/>
          <w:numId w:val="33"/>
        </w:numPr>
      </w:pPr>
      <w:r>
        <w:rPr>
          <w:b/>
          <w:bCs/>
        </w:rPr>
        <w:t>Unacceptable:</w:t>
      </w:r>
      <w:r>
        <w:t xml:space="preserve"> Qualitative histology, single-marker gene expression without protein validation.</w:t>
      </w:r>
    </w:p>
    <w:p w14:paraId="2E006959" w14:textId="77777777" w:rsidR="00BE3C0C" w:rsidRDefault="00000000">
      <w:pPr>
        <w:pStyle w:val="Compact"/>
        <w:numPr>
          <w:ilvl w:val="0"/>
          <w:numId w:val="33"/>
        </w:numPr>
      </w:pPr>
      <w:r>
        <w:rPr>
          <w:b/>
          <w:bCs/>
        </w:rPr>
        <w:t>Rationale:</w:t>
      </w:r>
      <w:r>
        <w:t xml:space="preserve"> Cellular senescence is a hallmark of aging. Reversing or clearing senescence is necessary for sustained matrix rejuvenation.</w:t>
      </w:r>
    </w:p>
    <w:p w14:paraId="60D645E2" w14:textId="77777777" w:rsidR="00BE3C0C" w:rsidRDefault="00000000">
      <w:pPr>
        <w:pStyle w:val="Heading4"/>
      </w:pPr>
      <w:bookmarkStart w:id="31" w:name="X237a88b95e0c170225ab29e950d87c9e4f6ed11"/>
      <w:bookmarkEnd w:id="30"/>
      <w:r>
        <w:t>Endpoint 21: Telomere Maintenance / Alternative Rejuvenation Metrics</w:t>
      </w:r>
    </w:p>
    <w:p w14:paraId="1743E50B" w14:textId="77777777" w:rsidR="00BE3C0C" w:rsidRDefault="00000000">
      <w:pPr>
        <w:pStyle w:val="Compact"/>
        <w:numPr>
          <w:ilvl w:val="0"/>
          <w:numId w:val="34"/>
        </w:numPr>
      </w:pPr>
      <w:r>
        <w:rPr>
          <w:b/>
          <w:bCs/>
        </w:rPr>
        <w:t>Definition:</w:t>
      </w:r>
      <w:r>
        <w:t xml:space="preserve"> Evidence of cellular rejuvenation via telomere length maintenance or alternative validated rejuvenation biomarkers.</w:t>
      </w:r>
    </w:p>
    <w:p w14:paraId="22B686BA" w14:textId="77777777" w:rsidR="00BE3C0C" w:rsidRDefault="00000000">
      <w:pPr>
        <w:pStyle w:val="Compact"/>
        <w:numPr>
          <w:ilvl w:val="0"/>
          <w:numId w:val="34"/>
        </w:numPr>
      </w:pPr>
      <w:r>
        <w:rPr>
          <w:b/>
          <w:bCs/>
        </w:rPr>
        <w:t>0.5 threshold:</w:t>
      </w:r>
      <w:r>
        <w:t xml:space="preserve"> Detectable telomerase activity by TRAP assay without quantitation; OR detectable improvement in mitochondrial membrane potential, NAD+/NADH ratio, or autophagy flux without statistical validation.</w:t>
      </w:r>
    </w:p>
    <w:p w14:paraId="4F5B5C18" w14:textId="77777777" w:rsidR="00BE3C0C" w:rsidRDefault="00000000">
      <w:pPr>
        <w:pStyle w:val="Compact"/>
        <w:numPr>
          <w:ilvl w:val="0"/>
          <w:numId w:val="34"/>
        </w:numPr>
      </w:pPr>
      <w:r>
        <w:rPr>
          <w:b/>
          <w:bCs/>
        </w:rPr>
        <w:t>1.0 threshold:</w:t>
      </w:r>
      <w:r>
        <w:t xml:space="preserve"> Quantitative telomere length assay (qPCR, Southern blot, or Flow-FISH) demonstrating maintenance or lengthening versus control with p &lt; 0.05; OR validated alternative rejuvenation metric (e.g., mitochondrial membrane potential via JC-1 ratio, autophagy flux via LC3-II/p62 Western blot ratio, NAD+ mass spectrometry) with statistical significance.</w:t>
      </w:r>
    </w:p>
    <w:p w14:paraId="7EE8EC57" w14:textId="77777777" w:rsidR="00BE3C0C" w:rsidRDefault="00000000">
      <w:pPr>
        <w:pStyle w:val="Compact"/>
        <w:numPr>
          <w:ilvl w:val="0"/>
          <w:numId w:val="34"/>
        </w:numPr>
      </w:pPr>
      <w:r>
        <w:rPr>
          <w:b/>
          <w:bCs/>
        </w:rPr>
        <w:lastRenderedPageBreak/>
        <w:t>Acceptable assays:</w:t>
      </w:r>
      <w:r>
        <w:t xml:space="preserve"> Telomere qPCR (Cawthon method), Flow-FISH, Southern blot, TRAP assay with densitometry; JC-1 mitochondrial assay; LC3-II/p62 Western blot; NAD+/NADH cycling assay or mass spectrometry; sirtuin activity assay.</w:t>
      </w:r>
    </w:p>
    <w:p w14:paraId="48BFCDD3" w14:textId="77777777" w:rsidR="00BE3C0C" w:rsidRDefault="00000000">
      <w:pPr>
        <w:pStyle w:val="Compact"/>
        <w:numPr>
          <w:ilvl w:val="0"/>
          <w:numId w:val="34"/>
        </w:numPr>
      </w:pPr>
      <w:r>
        <w:rPr>
          <w:b/>
          <w:bCs/>
        </w:rPr>
        <w:t>Unacceptable:</w:t>
      </w:r>
      <w:r>
        <w:t xml:space="preserve"> Qualitative assessment, gene expression of TERT alone (mRNA ≠ activity), unvalidated surrogate.</w:t>
      </w:r>
    </w:p>
    <w:p w14:paraId="0147FA0A" w14:textId="77777777" w:rsidR="00BE3C0C" w:rsidRDefault="00000000">
      <w:pPr>
        <w:pStyle w:val="Compact"/>
        <w:numPr>
          <w:ilvl w:val="0"/>
          <w:numId w:val="34"/>
        </w:numPr>
      </w:pPr>
      <w:r>
        <w:rPr>
          <w:b/>
          <w:bCs/>
        </w:rPr>
        <w:t>Rationale:</w:t>
      </w:r>
      <w:r>
        <w:t xml:space="preserve"> Telomere attrition is one mechanism of replicative senescence. However, in human dermal fibroblasts, stress-induced senescence predominates over telomere-driven senescence. Therefore, </w:t>
      </w:r>
      <w:r>
        <w:rPr>
          <w:b/>
          <w:bCs/>
        </w:rPr>
        <w:t>alternative rejuvenation metrics (mitochondrial function, autophagy, NAD+ metabolism) are accepted as equivalent or superior evidence for this endpoint.</w:t>
      </w:r>
      <w:r>
        <w:t xml:space="preserve"> Telomere lengthening in somatic cells must be interpreted cautiously due to oncogenic risk and is not required if alternative rejuvenation metrics are provided.</w:t>
      </w:r>
    </w:p>
    <w:p w14:paraId="414FF1B4" w14:textId="77777777" w:rsidR="00BE3C0C" w:rsidRDefault="00B716D3">
      <w:r>
        <w:rPr>
          <w:noProof/>
        </w:rPr>
      </w:r>
      <w:r>
        <w:pict w14:anchorId="779832C2">
          <v:rect id="Horizontal Line 9" o:spid="_x0000_s1031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2F85657" w14:textId="77777777" w:rsidR="00BE3C0C" w:rsidRDefault="00000000">
      <w:pPr>
        <w:pStyle w:val="Heading3"/>
      </w:pPr>
      <w:bookmarkStart w:id="32" w:name="X85c86e93f59f7f4da5a4f7537c5c34dbbb35c2f"/>
      <w:bookmarkEnd w:id="29"/>
      <w:bookmarkEnd w:id="31"/>
      <w:r>
        <w:t>DOMAIN 7: EPIGENETIC REACTIVATION (1 Endpoint)</w:t>
      </w:r>
    </w:p>
    <w:p w14:paraId="7C1525A3" w14:textId="77777777" w:rsidR="00BE3C0C" w:rsidRDefault="00000000">
      <w:pPr>
        <w:pStyle w:val="Heading4"/>
      </w:pPr>
      <w:bookmarkStart w:id="33" w:name="X6734a0801b4e662da9e54e751f2f0975dd9b623"/>
      <w:r>
        <w:t>Endpoint 22: Epigenetic Reversal of Age-Associated Marks</w:t>
      </w:r>
    </w:p>
    <w:p w14:paraId="5251DCD8" w14:textId="77777777" w:rsidR="00BE3C0C" w:rsidRDefault="00000000">
      <w:pPr>
        <w:pStyle w:val="Compact"/>
        <w:numPr>
          <w:ilvl w:val="0"/>
          <w:numId w:val="35"/>
        </w:numPr>
      </w:pPr>
      <w:r>
        <w:rPr>
          <w:b/>
          <w:bCs/>
        </w:rPr>
        <w:t>Definition:</w:t>
      </w:r>
      <w:r>
        <w:t xml:space="preserve"> Evidence of epigenetic remodeling reversing age-associated silencing or dysregulation of matrix-related genes.</w:t>
      </w:r>
    </w:p>
    <w:p w14:paraId="29922343" w14:textId="77777777" w:rsidR="00BE3C0C" w:rsidRDefault="00000000">
      <w:pPr>
        <w:pStyle w:val="Compact"/>
        <w:numPr>
          <w:ilvl w:val="0"/>
          <w:numId w:val="35"/>
        </w:numPr>
      </w:pPr>
      <w:r>
        <w:rPr>
          <w:b/>
          <w:bCs/>
        </w:rPr>
        <w:t>0.5 threshold:</w:t>
      </w:r>
      <w:r>
        <w:t xml:space="preserve"> Detectable change in a single histone modification (e.g., H3K27me3, H3K27ac) by immunohistochemistry without locus specificity.</w:t>
      </w:r>
    </w:p>
    <w:p w14:paraId="665F7E2E" w14:textId="77777777" w:rsidR="00BE3C0C" w:rsidRDefault="00000000">
      <w:pPr>
        <w:pStyle w:val="Compact"/>
        <w:numPr>
          <w:ilvl w:val="0"/>
          <w:numId w:val="35"/>
        </w:numPr>
      </w:pPr>
      <w:r>
        <w:rPr>
          <w:b/>
          <w:bCs/>
        </w:rPr>
        <w:t>1.0 threshold:</w:t>
      </w:r>
      <w:r>
        <w:t xml:space="preserve"> Locus-specific or genome-wide evidence of epigenetic remodeling: (a) reduced CpG methylation at collagen/elastin gene promoters by bisulfite sequencing or pyrosequencing with p &lt; 0.05; OR (b) altered histone marks (H3K27ac enrichment, H3K27me3 reduction) at matrix gene loci by ChIP-qPCR or ChIP-seq; OR (c) reversal of epigenetic clock (Horvath, Hannum, or skin-specific clock) by ≥1 year with p &lt; 0.05.</w:t>
      </w:r>
    </w:p>
    <w:p w14:paraId="7878976E" w14:textId="77777777" w:rsidR="00BE3C0C" w:rsidRDefault="00000000">
      <w:pPr>
        <w:pStyle w:val="Compact"/>
        <w:numPr>
          <w:ilvl w:val="0"/>
          <w:numId w:val="35"/>
        </w:numPr>
      </w:pPr>
      <w:r>
        <w:rPr>
          <w:b/>
          <w:bCs/>
        </w:rPr>
        <w:t>Acceptable assays:</w:t>
      </w:r>
      <w:r>
        <w:t xml:space="preserve"> Bisulfite pyrosequencing, whole-genome bisulfite sequencing (WGBS), ChIP-qPCR, ChIP-seq, ATAC-seq for chromatin </w:t>
      </w:r>
      <w:r>
        <w:lastRenderedPageBreak/>
        <w:t>accessibility, epigenetic clock algorithms (Horvath, GrimAge, skin-specific clocks).</w:t>
      </w:r>
    </w:p>
    <w:p w14:paraId="4556464E" w14:textId="77777777" w:rsidR="00BE3C0C" w:rsidRDefault="00000000">
      <w:pPr>
        <w:pStyle w:val="Compact"/>
        <w:numPr>
          <w:ilvl w:val="0"/>
          <w:numId w:val="35"/>
        </w:numPr>
      </w:pPr>
      <w:r>
        <w:rPr>
          <w:b/>
          <w:bCs/>
        </w:rPr>
        <w:t>Unacceptable:</w:t>
      </w:r>
      <w:r>
        <w:t xml:space="preserve"> Global histone IHC without locus specificity, gene expression changes presented as “epigenetic” without direct epigenetic measurement, clinical photography.</w:t>
      </w:r>
    </w:p>
    <w:p w14:paraId="19D3F508" w14:textId="77777777" w:rsidR="00BE3C0C" w:rsidRDefault="00000000">
      <w:pPr>
        <w:pStyle w:val="Compact"/>
        <w:numPr>
          <w:ilvl w:val="0"/>
          <w:numId w:val="35"/>
        </w:numPr>
      </w:pPr>
      <w:r>
        <w:rPr>
          <w:b/>
          <w:bCs/>
        </w:rPr>
        <w:t>Rationale:</w:t>
      </w:r>
      <w:r>
        <w:t xml:space="preserve"> Epigenetic dysregulation is a root cause of age-associated matrix decline. Reversal must be demonstrated at the molecular level, not inferred from phenotypic improvement.</w:t>
      </w:r>
    </w:p>
    <w:p w14:paraId="736BED73" w14:textId="77777777" w:rsidR="00BE3C0C" w:rsidRDefault="00B716D3">
      <w:r>
        <w:rPr>
          <w:noProof/>
        </w:rPr>
      </w:r>
      <w:r>
        <w:pict w14:anchorId="45FF85B6">
          <v:rect id="Horizontal Line 10" o:spid="_x0000_s1030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E8141CD" w14:textId="77777777" w:rsidR="00BE3C0C" w:rsidRDefault="00000000">
      <w:pPr>
        <w:pStyle w:val="Heading2"/>
      </w:pPr>
      <w:bookmarkStart w:id="34" w:name="iv.-scoring-classifications"/>
      <w:bookmarkEnd w:id="4"/>
      <w:bookmarkEnd w:id="32"/>
      <w:bookmarkEnd w:id="33"/>
      <w:r>
        <w:t>IV. SCORING CLASSIFICATIONS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838"/>
        <w:gridCol w:w="2506"/>
        <w:gridCol w:w="4512"/>
      </w:tblGrid>
      <w:tr w:rsidR="00BE3C0C" w14:paraId="08709E5C" w14:textId="77777777" w:rsidTr="00BE3C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643" w:type="dxa"/>
          </w:tcPr>
          <w:p w14:paraId="0FC6140B" w14:textId="77777777" w:rsidR="00BE3C0C" w:rsidRDefault="00000000">
            <w:pPr>
              <w:pStyle w:val="Compact"/>
            </w:pPr>
            <w:r>
              <w:t>MPS Score</w:t>
            </w:r>
          </w:p>
        </w:tc>
        <w:tc>
          <w:tcPr>
            <w:tcW w:w="2241" w:type="dxa"/>
          </w:tcPr>
          <w:p w14:paraId="3CFB90CF" w14:textId="77777777" w:rsidR="00BE3C0C" w:rsidRDefault="00000000">
            <w:pPr>
              <w:pStyle w:val="Compact"/>
            </w:pPr>
            <w:r>
              <w:t>Classification</w:t>
            </w:r>
          </w:p>
        </w:tc>
        <w:tc>
          <w:tcPr>
            <w:tcW w:w="4034" w:type="dxa"/>
          </w:tcPr>
          <w:p w14:paraId="19EF327D" w14:textId="77777777" w:rsidR="00BE3C0C" w:rsidRDefault="00000000">
            <w:pPr>
              <w:pStyle w:val="Compact"/>
            </w:pPr>
            <w:r>
              <w:t>Biological Interpretation</w:t>
            </w:r>
          </w:p>
        </w:tc>
      </w:tr>
      <w:tr w:rsidR="00BE3C0C" w14:paraId="0B81DEF6" w14:textId="77777777">
        <w:tc>
          <w:tcPr>
            <w:tcW w:w="1643" w:type="dxa"/>
          </w:tcPr>
          <w:p w14:paraId="6377E4B2" w14:textId="77777777" w:rsidR="00BE3C0C" w:rsidRDefault="00000000">
            <w:pPr>
              <w:pStyle w:val="Compact"/>
            </w:pPr>
            <w:r>
              <w:t>22</w:t>
            </w:r>
          </w:p>
        </w:tc>
        <w:tc>
          <w:tcPr>
            <w:tcW w:w="2241" w:type="dxa"/>
          </w:tcPr>
          <w:p w14:paraId="098D6020" w14:textId="77777777" w:rsidR="00BE3C0C" w:rsidRDefault="00000000">
            <w:pPr>
              <w:pStyle w:val="Compact"/>
            </w:pPr>
            <w:r>
              <w:t>True Regeneration</w:t>
            </w:r>
          </w:p>
        </w:tc>
        <w:tc>
          <w:tcPr>
            <w:tcW w:w="4034" w:type="dxa"/>
          </w:tcPr>
          <w:p w14:paraId="0FAD6ED7" w14:textId="77777777" w:rsidR="00BE3C0C" w:rsidRDefault="00000000">
            <w:pPr>
              <w:pStyle w:val="Compact"/>
            </w:pPr>
            <w:r>
              <w:t>Complete evidentiary convergence across all domains</w:t>
            </w:r>
          </w:p>
        </w:tc>
      </w:tr>
      <w:tr w:rsidR="00BE3C0C" w14:paraId="5442FA6D" w14:textId="77777777">
        <w:tc>
          <w:tcPr>
            <w:tcW w:w="1643" w:type="dxa"/>
          </w:tcPr>
          <w:p w14:paraId="10534755" w14:textId="77777777" w:rsidR="00BE3C0C" w:rsidRDefault="00000000">
            <w:pPr>
              <w:pStyle w:val="Compact"/>
            </w:pPr>
            <w:r>
              <w:t>18–21.5</w:t>
            </w:r>
          </w:p>
        </w:tc>
        <w:tc>
          <w:tcPr>
            <w:tcW w:w="2241" w:type="dxa"/>
          </w:tcPr>
          <w:p w14:paraId="65E431B0" w14:textId="77777777" w:rsidR="00BE3C0C" w:rsidRDefault="00000000">
            <w:pPr>
              <w:pStyle w:val="Compact"/>
            </w:pPr>
            <w:r>
              <w:t>Near-Regeneration</w:t>
            </w:r>
          </w:p>
        </w:tc>
        <w:tc>
          <w:tcPr>
            <w:tcW w:w="4034" w:type="dxa"/>
          </w:tcPr>
          <w:p w14:paraId="7E531469" w14:textId="77777777" w:rsidR="00BE3C0C" w:rsidRDefault="00000000">
            <w:pPr>
              <w:pStyle w:val="Compact"/>
            </w:pPr>
            <w:r>
              <w:t>Substantial evidence; minor domain gaps</w:t>
            </w:r>
          </w:p>
        </w:tc>
      </w:tr>
      <w:tr w:rsidR="00BE3C0C" w14:paraId="6428F048" w14:textId="77777777">
        <w:tc>
          <w:tcPr>
            <w:tcW w:w="1643" w:type="dxa"/>
          </w:tcPr>
          <w:p w14:paraId="288E1239" w14:textId="77777777" w:rsidR="00BE3C0C" w:rsidRDefault="00000000">
            <w:pPr>
              <w:pStyle w:val="Compact"/>
            </w:pPr>
            <w:r>
              <w:t>12–17.5</w:t>
            </w:r>
          </w:p>
        </w:tc>
        <w:tc>
          <w:tcPr>
            <w:tcW w:w="2241" w:type="dxa"/>
          </w:tcPr>
          <w:p w14:paraId="6D5DDA63" w14:textId="77777777" w:rsidR="00BE3C0C" w:rsidRDefault="00000000">
            <w:pPr>
              <w:pStyle w:val="Compact"/>
            </w:pPr>
            <w:r>
              <w:t>Substantial Rejuvenation</w:t>
            </w:r>
          </w:p>
        </w:tc>
        <w:tc>
          <w:tcPr>
            <w:tcW w:w="4034" w:type="dxa"/>
          </w:tcPr>
          <w:p w14:paraId="44900552" w14:textId="77777777" w:rsidR="00BE3C0C" w:rsidRDefault="00000000">
            <w:pPr>
              <w:pStyle w:val="Compact"/>
            </w:pPr>
            <w:r>
              <w:t>Multiple domains evidenced; significant gaps remain</w:t>
            </w:r>
          </w:p>
        </w:tc>
      </w:tr>
      <w:tr w:rsidR="00BE3C0C" w14:paraId="5C6001BC" w14:textId="77777777">
        <w:tc>
          <w:tcPr>
            <w:tcW w:w="1643" w:type="dxa"/>
          </w:tcPr>
          <w:p w14:paraId="1196DDAA" w14:textId="77777777" w:rsidR="00BE3C0C" w:rsidRDefault="00000000">
            <w:pPr>
              <w:pStyle w:val="Compact"/>
            </w:pPr>
            <w:r>
              <w:t>6–11.5</w:t>
            </w:r>
          </w:p>
        </w:tc>
        <w:tc>
          <w:tcPr>
            <w:tcW w:w="2241" w:type="dxa"/>
          </w:tcPr>
          <w:p w14:paraId="63C27EA0" w14:textId="77777777" w:rsidR="00BE3C0C" w:rsidRDefault="00000000">
            <w:pPr>
              <w:pStyle w:val="Compact"/>
            </w:pPr>
            <w:r>
              <w:t>Modest Rejuvenation</w:t>
            </w:r>
          </w:p>
        </w:tc>
        <w:tc>
          <w:tcPr>
            <w:tcW w:w="4034" w:type="dxa"/>
          </w:tcPr>
          <w:p w14:paraId="37809EFC" w14:textId="77777777" w:rsidR="00BE3C0C" w:rsidRDefault="00000000">
            <w:pPr>
              <w:pStyle w:val="Compact"/>
            </w:pPr>
            <w:r>
              <w:t>Limited domain coverage; primarily molecular</w:t>
            </w:r>
          </w:p>
        </w:tc>
      </w:tr>
      <w:tr w:rsidR="00BE3C0C" w14:paraId="00216569" w14:textId="77777777">
        <w:tc>
          <w:tcPr>
            <w:tcW w:w="1643" w:type="dxa"/>
          </w:tcPr>
          <w:p w14:paraId="6A2F817B" w14:textId="77777777" w:rsidR="00BE3C0C" w:rsidRDefault="00000000">
            <w:pPr>
              <w:pStyle w:val="Compact"/>
            </w:pPr>
            <w:r>
              <w:t>1–5.5</w:t>
            </w:r>
          </w:p>
        </w:tc>
        <w:tc>
          <w:tcPr>
            <w:tcW w:w="2241" w:type="dxa"/>
          </w:tcPr>
          <w:p w14:paraId="3B873303" w14:textId="77777777" w:rsidR="00BE3C0C" w:rsidRDefault="00000000">
            <w:pPr>
              <w:pStyle w:val="Compact"/>
            </w:pPr>
            <w:r>
              <w:t>Palliation</w:t>
            </w:r>
          </w:p>
        </w:tc>
        <w:tc>
          <w:tcPr>
            <w:tcW w:w="4034" w:type="dxa"/>
          </w:tcPr>
          <w:p w14:paraId="4CBCC013" w14:textId="77777777" w:rsidR="00BE3C0C" w:rsidRDefault="00000000">
            <w:pPr>
              <w:pStyle w:val="Compact"/>
            </w:pPr>
            <w:r>
              <w:t>Single-domain or sparse evidence; clinical effect without biological restoration</w:t>
            </w:r>
          </w:p>
        </w:tc>
      </w:tr>
      <w:tr w:rsidR="00BE3C0C" w14:paraId="1DDF954E" w14:textId="77777777">
        <w:tc>
          <w:tcPr>
            <w:tcW w:w="1643" w:type="dxa"/>
          </w:tcPr>
          <w:p w14:paraId="1C3C0BB8" w14:textId="77777777" w:rsidR="00BE3C0C" w:rsidRDefault="00000000">
            <w:pPr>
              <w:pStyle w:val="Compact"/>
            </w:pPr>
            <w:r>
              <w:t>0–0.5</w:t>
            </w:r>
          </w:p>
        </w:tc>
        <w:tc>
          <w:tcPr>
            <w:tcW w:w="2241" w:type="dxa"/>
          </w:tcPr>
          <w:p w14:paraId="469A4984" w14:textId="77777777" w:rsidR="00BE3C0C" w:rsidRDefault="00000000">
            <w:pPr>
              <w:pStyle w:val="Compact"/>
            </w:pPr>
            <w:r>
              <w:t>Inadequate Evidence</w:t>
            </w:r>
          </w:p>
        </w:tc>
        <w:tc>
          <w:tcPr>
            <w:tcW w:w="4034" w:type="dxa"/>
          </w:tcPr>
          <w:p w14:paraId="2803339B" w14:textId="77777777" w:rsidR="00BE3C0C" w:rsidRDefault="00000000">
            <w:pPr>
              <w:pStyle w:val="Compact"/>
            </w:pPr>
            <w:r>
              <w:t>No assessable biological endpoints or purely descriptive data</w:t>
            </w:r>
          </w:p>
        </w:tc>
      </w:tr>
    </w:tbl>
    <w:p w14:paraId="256F9C91" w14:textId="77777777" w:rsidR="00BE3C0C" w:rsidRDefault="00B716D3">
      <w:r>
        <w:rPr>
          <w:noProof/>
        </w:rPr>
      </w:r>
      <w:r>
        <w:pict w14:anchorId="208BA25A">
          <v:rect id="Horizontal Line 11" o:spid="_x0000_s1029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5D6283D" w14:textId="77777777" w:rsidR="00BE3C0C" w:rsidRDefault="00000000">
      <w:pPr>
        <w:pStyle w:val="Heading2"/>
      </w:pPr>
      <w:bookmarkStart w:id="35" w:name="v.-lock-declaration"/>
      <w:bookmarkEnd w:id="34"/>
      <w:r>
        <w:t>V. LOCK DECLARATION</w:t>
      </w:r>
    </w:p>
    <w:p w14:paraId="43D28387" w14:textId="77777777" w:rsidR="00BE3C0C" w:rsidRDefault="00000000">
      <w:pPr>
        <w:pStyle w:val="FirstParagraph"/>
      </w:pPr>
      <w:r>
        <w:rPr>
          <w:b/>
          <w:bCs/>
        </w:rPr>
        <w:t>This rubric (MPS v1.0, Dermal Module) is locked as of 2026-08-09.</w:t>
      </w:r>
    </w:p>
    <w:p w14:paraId="7E0CA3F0" w14:textId="77777777" w:rsidR="00BE3C0C" w:rsidRDefault="00000000">
      <w:pPr>
        <w:pStyle w:val="Compact"/>
        <w:numPr>
          <w:ilvl w:val="0"/>
          <w:numId w:val="36"/>
        </w:numPr>
      </w:pPr>
      <w:r>
        <w:rPr>
          <w:b/>
          <w:bCs/>
        </w:rPr>
        <w:t>No amendment:</w:t>
      </w:r>
      <w:r>
        <w:t xml:space="preserve"> The endpoint definitions, scoring thresholds, acceptable assays, and classification boundaries shall not be amended for the living </w:t>
      </w:r>
      <w:r>
        <w:lastRenderedPageBreak/>
        <w:t>systematic review registered at PROSPERO (CRD420261464588). All newly eligible studies will be scored against this locked version.</w:t>
      </w:r>
    </w:p>
    <w:p w14:paraId="45FA1C7B" w14:textId="77777777" w:rsidR="00BE3C0C" w:rsidRDefault="00000000">
      <w:pPr>
        <w:pStyle w:val="Compact"/>
        <w:numPr>
          <w:ilvl w:val="0"/>
          <w:numId w:val="36"/>
        </w:numPr>
      </w:pPr>
      <w:r>
        <w:rPr>
          <w:b/>
          <w:bCs/>
        </w:rPr>
        <w:t>Sensitivity analyses only:</w:t>
      </w:r>
      <w:r>
        <w:t xml:space="preserve"> If future biological evidence suggests an endpoint is non-informative, the canonical v1.0 score shall remain primary. A sensitivity analysis excluding or modifying that endpoint may be reported as supplementary data, clearly labeled as non-canonical.</w:t>
      </w:r>
    </w:p>
    <w:p w14:paraId="272382E9" w14:textId="77777777" w:rsidR="00BE3C0C" w:rsidRDefault="00000000">
      <w:pPr>
        <w:pStyle w:val="Compact"/>
        <w:numPr>
          <w:ilvl w:val="0"/>
          <w:numId w:val="36"/>
        </w:numPr>
      </w:pPr>
      <w:r>
        <w:rPr>
          <w:b/>
          <w:bCs/>
        </w:rPr>
        <w:t>New versions are new instruments:</w:t>
      </w:r>
      <w:r>
        <w:t xml:space="preserve"> Any modification to endpoint definitions, scoring thresholds, or domain structure constitutes a new instrument (e.g., MPS-Derm v2.0) and must be registered separately. Scores from different versions are not interchangeable.</w:t>
      </w:r>
    </w:p>
    <w:p w14:paraId="1861F186" w14:textId="77777777" w:rsidR="00BE3C0C" w:rsidRDefault="00000000">
      <w:pPr>
        <w:pStyle w:val="Compact"/>
        <w:numPr>
          <w:ilvl w:val="0"/>
          <w:numId w:val="36"/>
        </w:numPr>
      </w:pPr>
      <w:r>
        <w:rPr>
          <w:b/>
          <w:bCs/>
        </w:rPr>
        <w:t>Citation requirement:</w:t>
      </w:r>
      <w:r>
        <w:t xml:space="preserve"> Any publication reporting an “MPS score” must specify the version (v1.0) and provide the per-endpoint scoring breakdown. Unspecified “MPS scores” are not valid.</w:t>
      </w:r>
    </w:p>
    <w:p w14:paraId="007B6319" w14:textId="77777777" w:rsidR="00BE3C0C" w:rsidRDefault="00000000">
      <w:pPr>
        <w:pStyle w:val="Compact"/>
        <w:numPr>
          <w:ilvl w:val="0"/>
          <w:numId w:val="36"/>
        </w:numPr>
      </w:pPr>
      <w:r>
        <w:rPr>
          <w:b/>
          <w:bCs/>
        </w:rPr>
        <w:t>Trademark notice:</w:t>
      </w:r>
      <w:r>
        <w:t xml:space="preserve"> “Matrix Profiling Standard,” “MPS,” and “MPS v1.0” are protected identifiers. Use of these terms to describe modified or unvalidated scoring systems constitutes misrepresentation.</w:t>
      </w:r>
    </w:p>
    <w:p w14:paraId="18955927" w14:textId="77777777" w:rsidR="00BE3C0C" w:rsidRDefault="00B716D3">
      <w:r>
        <w:rPr>
          <w:noProof/>
        </w:rPr>
      </w:r>
      <w:r>
        <w:pict w14:anchorId="237ADE75">
          <v:rect id="Horizontal Line 12" o:spid="_x0000_s1028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489E0F2" w14:textId="77777777" w:rsidR="00BE3C0C" w:rsidRDefault="00000000">
      <w:pPr>
        <w:pStyle w:val="Heading2"/>
      </w:pPr>
      <w:bookmarkStart w:id="36" w:name="vi.-inter-rater-reliability-requirements"/>
      <w:bookmarkEnd w:id="35"/>
      <w:r>
        <w:t>VI. INTER-RATER RELIABILITY REQUIREMENTS</w:t>
      </w:r>
    </w:p>
    <w:p w14:paraId="28877699" w14:textId="77777777" w:rsidR="00BE3C0C" w:rsidRDefault="00000000">
      <w:pPr>
        <w:pStyle w:val="Compact"/>
        <w:numPr>
          <w:ilvl w:val="0"/>
          <w:numId w:val="37"/>
        </w:numPr>
      </w:pPr>
      <w:r>
        <w:t>Minimum two independent reviewers per study.</w:t>
      </w:r>
    </w:p>
    <w:p w14:paraId="6FDDA322" w14:textId="77777777" w:rsidR="00BE3C0C" w:rsidRDefault="00000000">
      <w:pPr>
        <w:pStyle w:val="Compact"/>
        <w:numPr>
          <w:ilvl w:val="0"/>
          <w:numId w:val="37"/>
        </w:numPr>
      </w:pPr>
      <w:r>
        <w:t>Disagreement resolution by discussion and consensus; third reviewer if consensus not reached.</w:t>
      </w:r>
    </w:p>
    <w:p w14:paraId="24C845DA" w14:textId="77777777" w:rsidR="00BE3C0C" w:rsidRDefault="00000000">
      <w:pPr>
        <w:pStyle w:val="Compact"/>
        <w:numPr>
          <w:ilvl w:val="0"/>
          <w:numId w:val="37"/>
        </w:numPr>
      </w:pPr>
      <w:r>
        <w:t>Inter-rater agreement reported as Cohen’s kappa (or Fleiss’ kappa for &gt;2 raters) for both screening and scoring.</w:t>
      </w:r>
    </w:p>
    <w:p w14:paraId="322C8D0B" w14:textId="77777777" w:rsidR="00BE3C0C" w:rsidRDefault="00000000">
      <w:pPr>
        <w:pStyle w:val="Compact"/>
        <w:numPr>
          <w:ilvl w:val="0"/>
          <w:numId w:val="37"/>
        </w:numPr>
      </w:pPr>
      <w:r>
        <w:t>Kappa &lt; 0.6 requires retraining and re-scoring before dataset reconciliation.</w:t>
      </w:r>
    </w:p>
    <w:p w14:paraId="722BB875" w14:textId="77777777" w:rsidR="00BE3C0C" w:rsidRDefault="00B716D3">
      <w:r>
        <w:rPr>
          <w:noProof/>
        </w:rPr>
      </w:r>
      <w:r>
        <w:pict w14:anchorId="0139EE10">
          <v:rect id="Horizontal Line 13" o:spid="_x0000_s1027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2505C10" w14:textId="77777777" w:rsidR="00BE3C0C" w:rsidRDefault="00000000">
      <w:pPr>
        <w:pStyle w:val="Heading2"/>
      </w:pPr>
      <w:bookmarkStart w:id="37" w:name="vii.-data-availability-and-audit-trail"/>
      <w:bookmarkEnd w:id="36"/>
      <w:r>
        <w:t>VII. DATA AVAILABILITY AND AUDIT TRAIL</w:t>
      </w:r>
    </w:p>
    <w:p w14:paraId="2FE89985" w14:textId="77777777" w:rsidR="00BE3C0C" w:rsidRDefault="00000000">
      <w:pPr>
        <w:pStyle w:val="Compact"/>
        <w:numPr>
          <w:ilvl w:val="0"/>
          <w:numId w:val="38"/>
        </w:numPr>
      </w:pPr>
      <w:r>
        <w:t>All scoring decisions, per-study endpoint assessments, and reconciliation rationales are documented in the canonical dataset (Supplementary Table S2).</w:t>
      </w:r>
    </w:p>
    <w:p w14:paraId="095656A4" w14:textId="77777777" w:rsidR="00BE3C0C" w:rsidRDefault="00000000">
      <w:pPr>
        <w:pStyle w:val="Compact"/>
        <w:numPr>
          <w:ilvl w:val="0"/>
          <w:numId w:val="38"/>
        </w:numPr>
      </w:pPr>
      <w:r>
        <w:lastRenderedPageBreak/>
        <w:t>The locked rubric file hash (SHA-256) is recorded in the protocol registration to verify file integrity.</w:t>
      </w:r>
    </w:p>
    <w:p w14:paraId="50468474" w14:textId="77777777" w:rsidR="00BE3C0C" w:rsidRDefault="00000000">
      <w:pPr>
        <w:pStyle w:val="Compact"/>
        <w:numPr>
          <w:ilvl w:val="0"/>
          <w:numId w:val="38"/>
        </w:numPr>
      </w:pPr>
      <w:r>
        <w:t>All cleaning actions (duplicate merging, exclusion rationales) are documented in Supplementary Table S6.</w:t>
      </w:r>
    </w:p>
    <w:p w14:paraId="3C543CCB" w14:textId="77777777" w:rsidR="00BE3C0C" w:rsidRDefault="00B716D3">
      <w:r>
        <w:rPr>
          <w:noProof/>
        </w:rPr>
      </w:r>
      <w:r>
        <w:pict w14:anchorId="6B1FB86F">
          <v:rect id="Horizontal Line 14" o:spid="_x0000_s1026" style="width:6in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BP+J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6AD0BBF" w14:textId="77777777" w:rsidR="00BE3C0C" w:rsidRDefault="00000000">
      <w:pPr>
        <w:pStyle w:val="FirstParagraph"/>
      </w:pPr>
      <w:r>
        <w:rPr>
          <w:i/>
          <w:iCs/>
        </w:rPr>
        <w:t>End of MPS v1.0 Locked Rubric — Dermal Module</w:t>
      </w:r>
      <w:bookmarkEnd w:id="0"/>
      <w:bookmarkEnd w:id="37"/>
    </w:p>
    <w:sectPr w:rsidR="00BE3C0C" w:rsidSect="005F6C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800" w:bottom="1440" w:left="1800" w:header="720" w:footer="10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973944" w14:textId="77777777" w:rsidR="00B716D3" w:rsidRDefault="00B716D3">
      <w:pPr>
        <w:spacing w:line="240" w:lineRule="auto"/>
      </w:pPr>
      <w:r>
        <w:separator/>
      </w:r>
    </w:p>
  </w:endnote>
  <w:endnote w:type="continuationSeparator" w:id="0">
    <w:p w14:paraId="648FD255" w14:textId="77777777" w:rsidR="00B716D3" w:rsidRDefault="00B716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notTrueType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标题 CS)">
    <w:altName w:val="宋体"/>
    <w:panose1 w:val="020B0604020202020204"/>
    <w:charset w:val="86"/>
    <w:family w:val="roman"/>
    <w:notTrueType/>
    <w:pitch w:val="default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BD3D90" w14:textId="77777777" w:rsidR="003054F1" w:rsidRDefault="003054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E7BDEA" w14:textId="19249C75" w:rsidR="005F6CBF" w:rsidRPr="005F6CBF" w:rsidRDefault="00C41744" w:rsidP="003054F1">
    <w:pPr>
      <w:pStyle w:val="Footer"/>
      <w:wordWrap w:val="0"/>
      <w:jc w:val="right"/>
      <w:rPr>
        <w:sz w:val="24"/>
        <w:szCs w:val="24"/>
        <w:lang w:eastAsia="zh-CN"/>
      </w:rPr>
    </w:pPr>
    <w:r>
      <w:rPr>
        <w:sz w:val="24"/>
        <w:szCs w:val="24"/>
      </w:rPr>
      <w:t>©</w:t>
    </w:r>
    <w:r w:rsidR="003054F1">
      <w:rPr>
        <w:sz w:val="24"/>
        <w:szCs w:val="24"/>
      </w:rPr>
      <w:t xml:space="preserve"> </w:t>
    </w:r>
    <w:r>
      <w:rPr>
        <w:sz w:val="24"/>
        <w:szCs w:val="24"/>
      </w:rPr>
      <w:t xml:space="preserve">W.R.Webb 2026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EA32F2" w14:textId="77777777" w:rsidR="003054F1" w:rsidRDefault="003054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EDB72B" w14:textId="77777777" w:rsidR="00B716D3" w:rsidRDefault="00B716D3">
      <w:r>
        <w:separator/>
      </w:r>
    </w:p>
  </w:footnote>
  <w:footnote w:type="continuationSeparator" w:id="0">
    <w:p w14:paraId="2ADD1039" w14:textId="77777777" w:rsidR="00B716D3" w:rsidRDefault="00B71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48AA7C" w14:textId="77777777" w:rsidR="003054F1" w:rsidRDefault="003054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E7CCDC" w14:textId="77777777" w:rsidR="003054F1" w:rsidRDefault="003054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D0F465" w14:textId="77777777" w:rsidR="003054F1" w:rsidRDefault="003054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F"/>
    <w:multiLevelType w:val="singleLevel"/>
    <w:tmpl w:val="E34447C8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1" w15:restartNumberingAfterBreak="0">
    <w:nsid w:val="FFFFFF88"/>
    <w:multiLevelType w:val="singleLevel"/>
    <w:tmpl w:val="FBEE7F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2" w15:restartNumberingAfterBreak="0">
    <w:nsid w:val="0000A990"/>
    <w:multiLevelType w:val="multilevel"/>
    <w:tmpl w:val="560EE988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3" w15:restartNumberingAfterBreak="0">
    <w:nsid w:val="0000A991"/>
    <w:multiLevelType w:val="multilevel"/>
    <w:tmpl w:val="BDF4D690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4" w15:restartNumberingAfterBreak="0">
    <w:nsid w:val="00A99411"/>
    <w:multiLevelType w:val="multilevel"/>
    <w:tmpl w:val="D63C4C3E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5" w15:restartNumberingAfterBreak="0">
    <w:nsid w:val="170CD2DE"/>
    <w:multiLevelType w:val="multilevel"/>
    <w:tmpl w:val="76E495A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518012929">
    <w:abstractNumId w:val="5"/>
  </w:num>
  <w:num w:numId="2" w16cid:durableId="1115832812">
    <w:abstractNumId w:val="0"/>
  </w:num>
  <w:num w:numId="3" w16cid:durableId="1385718346">
    <w:abstractNumId w:val="0"/>
  </w:num>
  <w:num w:numId="4" w16cid:durableId="534512707">
    <w:abstractNumId w:val="0"/>
  </w:num>
  <w:num w:numId="5" w16cid:durableId="1318798893">
    <w:abstractNumId w:val="0"/>
  </w:num>
  <w:num w:numId="6" w16cid:durableId="1801877254">
    <w:abstractNumId w:val="0"/>
  </w:num>
  <w:num w:numId="7" w16cid:durableId="295257330">
    <w:abstractNumId w:val="1"/>
  </w:num>
  <w:num w:numId="8" w16cid:durableId="2013414762">
    <w:abstractNumId w:val="1"/>
  </w:num>
  <w:num w:numId="9" w16cid:durableId="815605401">
    <w:abstractNumId w:val="1"/>
  </w:num>
  <w:num w:numId="10" w16cid:durableId="575365733">
    <w:abstractNumId w:val="1"/>
  </w:num>
  <w:num w:numId="11" w16cid:durableId="53547133">
    <w:abstractNumId w:val="2"/>
  </w:num>
  <w:num w:numId="12" w16cid:durableId="20229701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681345">
    <w:abstractNumId w:val="3"/>
  </w:num>
  <w:num w:numId="14" w16cid:durableId="76103095">
    <w:abstractNumId w:val="3"/>
  </w:num>
  <w:num w:numId="15" w16cid:durableId="510416465">
    <w:abstractNumId w:val="3"/>
  </w:num>
  <w:num w:numId="16" w16cid:durableId="1974020617">
    <w:abstractNumId w:val="3"/>
  </w:num>
  <w:num w:numId="17" w16cid:durableId="1927105639">
    <w:abstractNumId w:val="3"/>
  </w:num>
  <w:num w:numId="18" w16cid:durableId="976762622">
    <w:abstractNumId w:val="3"/>
  </w:num>
  <w:num w:numId="19" w16cid:durableId="759064955">
    <w:abstractNumId w:val="3"/>
  </w:num>
  <w:num w:numId="20" w16cid:durableId="1941059392">
    <w:abstractNumId w:val="3"/>
  </w:num>
  <w:num w:numId="21" w16cid:durableId="1963224321">
    <w:abstractNumId w:val="3"/>
  </w:num>
  <w:num w:numId="22" w16cid:durableId="8990724">
    <w:abstractNumId w:val="3"/>
  </w:num>
  <w:num w:numId="23" w16cid:durableId="493493672">
    <w:abstractNumId w:val="3"/>
  </w:num>
  <w:num w:numId="24" w16cid:durableId="1257206882">
    <w:abstractNumId w:val="3"/>
  </w:num>
  <w:num w:numId="25" w16cid:durableId="891691963">
    <w:abstractNumId w:val="3"/>
  </w:num>
  <w:num w:numId="26" w16cid:durableId="1238904722">
    <w:abstractNumId w:val="3"/>
  </w:num>
  <w:num w:numId="27" w16cid:durableId="1648507388">
    <w:abstractNumId w:val="3"/>
  </w:num>
  <w:num w:numId="28" w16cid:durableId="1773084642">
    <w:abstractNumId w:val="3"/>
  </w:num>
  <w:num w:numId="29" w16cid:durableId="59593858">
    <w:abstractNumId w:val="3"/>
  </w:num>
  <w:num w:numId="30" w16cid:durableId="1483307712">
    <w:abstractNumId w:val="3"/>
  </w:num>
  <w:num w:numId="31" w16cid:durableId="450632445">
    <w:abstractNumId w:val="3"/>
  </w:num>
  <w:num w:numId="32" w16cid:durableId="478813994">
    <w:abstractNumId w:val="3"/>
  </w:num>
  <w:num w:numId="33" w16cid:durableId="951518002">
    <w:abstractNumId w:val="3"/>
  </w:num>
  <w:num w:numId="34" w16cid:durableId="364523436">
    <w:abstractNumId w:val="3"/>
  </w:num>
  <w:num w:numId="35" w16cid:durableId="1012680657">
    <w:abstractNumId w:val="3"/>
  </w:num>
  <w:num w:numId="36" w16cid:durableId="8224332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34807584">
    <w:abstractNumId w:val="3"/>
  </w:num>
  <w:num w:numId="38" w16cid:durableId="129914802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57"/>
  <w:embedSystemFonts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A67"/>
    <w:rsid w:val="00196211"/>
    <w:rsid w:val="001C7A67"/>
    <w:rsid w:val="003054F1"/>
    <w:rsid w:val="004825C6"/>
    <w:rsid w:val="0051628A"/>
    <w:rsid w:val="005464E3"/>
    <w:rsid w:val="005F6CBF"/>
    <w:rsid w:val="00643110"/>
    <w:rsid w:val="00746C97"/>
    <w:rsid w:val="008708D9"/>
    <w:rsid w:val="00977478"/>
    <w:rsid w:val="00AF517C"/>
    <w:rsid w:val="00B716D3"/>
    <w:rsid w:val="00BE3C0C"/>
    <w:rsid w:val="00BF08D0"/>
    <w:rsid w:val="00C41744"/>
    <w:rsid w:val="00CF7597"/>
    <w:rsid w:val="00D90F1F"/>
    <w:rsid w:val="00E31934"/>
    <w:rsid w:val="00EC61BB"/>
    <w:rsid w:val="00FA401C"/>
    <w:rsid w:val="00FD76EA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3B830605"/>
  <w15:docId w15:val="{0AAED626-2765-3443-8676-98C17B05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7478"/>
    <w:pPr>
      <w:spacing w:after="0" w:line="360" w:lineRule="auto"/>
    </w:pPr>
    <w:rPr>
      <w:rFonts w:ascii="Arial" w:eastAsia="SimSun" w:hAnsi="Arial" w:cs="Times New Roman (正文 CS 字体)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8708D9"/>
    <w:pPr>
      <w:keepNext/>
      <w:keepLines/>
      <w:outlineLvl w:val="0"/>
    </w:pPr>
    <w:rPr>
      <w:rFonts w:eastAsia="SimHei" w:cs="Times New Roman (标题 CS)"/>
      <w:sz w:val="3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8708D9"/>
    <w:pPr>
      <w:keepNext/>
      <w:keepLines/>
      <w:outlineLvl w:val="1"/>
    </w:pPr>
    <w:rPr>
      <w:rFonts w:eastAsia="SimHei" w:cs="Times New Roman (标题 CS)"/>
      <w:sz w:val="28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8708D9"/>
    <w:pPr>
      <w:keepNext/>
      <w:keepLines/>
      <w:outlineLvl w:val="2"/>
    </w:pPr>
    <w:rPr>
      <w:rFonts w:eastAsia="SimHei" w:cs="Times New Roman (标题 CS)"/>
      <w:sz w:val="26"/>
      <w:szCs w:val="28"/>
    </w:rPr>
  </w:style>
  <w:style w:type="paragraph" w:styleId="Heading4">
    <w:name w:val="heading 4"/>
    <w:basedOn w:val="Heading3"/>
    <w:next w:val="BodyText"/>
    <w:link w:val="Heading4Char"/>
    <w:uiPriority w:val="9"/>
    <w:unhideWhenUsed/>
    <w:qFormat/>
    <w:rsid w:val="00EC61BB"/>
    <w:pPr>
      <w:outlineLvl w:val="3"/>
    </w:pPr>
  </w:style>
  <w:style w:type="paragraph" w:styleId="Heading5">
    <w:name w:val="heading 5"/>
    <w:basedOn w:val="Heading4"/>
    <w:next w:val="BodyText"/>
    <w:link w:val="Heading5Char"/>
    <w:uiPriority w:val="9"/>
    <w:unhideWhenUsed/>
    <w:qFormat/>
    <w:rsid w:val="00EC61BB"/>
    <w:pPr>
      <w:outlineLvl w:val="4"/>
    </w:pPr>
  </w:style>
  <w:style w:type="paragraph" w:styleId="Heading6">
    <w:name w:val="heading 6"/>
    <w:basedOn w:val="Heading5"/>
    <w:next w:val="BodyText"/>
    <w:link w:val="Heading6Char"/>
    <w:uiPriority w:val="9"/>
    <w:unhideWhenUsed/>
    <w:qFormat/>
    <w:rsid w:val="00EC61BB"/>
    <w:pPr>
      <w:outlineLvl w:val="5"/>
    </w:pPr>
  </w:style>
  <w:style w:type="paragraph" w:styleId="Heading7">
    <w:name w:val="heading 7"/>
    <w:basedOn w:val="Heading6"/>
    <w:next w:val="BodyText"/>
    <w:link w:val="Heading7Char"/>
    <w:uiPriority w:val="9"/>
    <w:unhideWhenUsed/>
    <w:qFormat/>
    <w:rsid w:val="00EC61BB"/>
    <w:pPr>
      <w:outlineLvl w:val="6"/>
    </w:pPr>
  </w:style>
  <w:style w:type="paragraph" w:styleId="Heading8">
    <w:name w:val="heading 8"/>
    <w:basedOn w:val="Heading7"/>
    <w:next w:val="BodyText"/>
    <w:link w:val="Heading8Char"/>
    <w:uiPriority w:val="9"/>
    <w:unhideWhenUsed/>
    <w:qFormat/>
    <w:rsid w:val="00EC61BB"/>
    <w:pPr>
      <w:outlineLvl w:val="7"/>
    </w:pPr>
  </w:style>
  <w:style w:type="paragraph" w:styleId="Heading9">
    <w:name w:val="heading 9"/>
    <w:basedOn w:val="Heading8"/>
    <w:next w:val="BodyText"/>
    <w:link w:val="Heading9Char"/>
    <w:uiPriority w:val="9"/>
    <w:unhideWhenUsed/>
    <w:qFormat/>
    <w:rsid w:val="00EC61B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CF7597"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F517C"/>
    <w:pPr>
      <w:contextualSpacing/>
      <w:jc w:val="center"/>
    </w:pPr>
    <w:rPr>
      <w:rFonts w:eastAsia="SimHei" w:cs="Times New Roman (标题 CS)"/>
      <w:sz w:val="3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17C"/>
    <w:rPr>
      <w:rFonts w:ascii="Arial" w:eastAsia="SimHei" w:hAnsi="Arial" w:cs="Times New Roman (标题 CS)"/>
      <w:sz w:val="30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8708D9"/>
    <w:rPr>
      <w:rFonts w:ascii="Arial" w:eastAsia="SimHei" w:hAnsi="Arial" w:cs="Times New Roman (标题 CS)"/>
      <w:sz w:val="3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8D9"/>
    <w:rPr>
      <w:rFonts w:ascii="Arial" w:eastAsia="SimHei" w:hAnsi="Arial" w:cs="Times New Roman (标题 CS)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8D9"/>
    <w:rPr>
      <w:rFonts w:ascii="Arial" w:eastAsia="SimHei" w:hAnsi="Arial" w:cs="Times New Roman (标题 CS)"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C61BB"/>
    <w:rPr>
      <w:rFonts w:ascii="Arial" w:eastAsia="SimHei" w:hAnsi="Arial" w:cs="Times New Roman (标题 CS)"/>
      <w:color w:val="0F4761" w:themeColor="accent1" w:themeShade="BF"/>
      <w:sz w:val="26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C61BB"/>
    <w:rPr>
      <w:rFonts w:ascii="Arial" w:eastAsia="SimHei" w:hAnsi="Arial" w:cs="Times New Roman (标题 CS)"/>
      <w:color w:val="0F4761" w:themeColor="accent1" w:themeShade="BF"/>
      <w:sz w:val="26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EC61BB"/>
    <w:rPr>
      <w:rFonts w:ascii="Arial" w:eastAsia="SimHei" w:hAnsi="Arial" w:cs="Times New Roman (标题 CS)"/>
      <w:color w:val="0F4761" w:themeColor="accent1" w:themeShade="BF"/>
      <w:sz w:val="26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EC61BB"/>
    <w:rPr>
      <w:rFonts w:ascii="Arial" w:eastAsia="SimHei" w:hAnsi="Arial" w:cs="Times New Roman (标题 CS)"/>
      <w:color w:val="0F4761" w:themeColor="accent1" w:themeShade="BF"/>
      <w:sz w:val="26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rsid w:val="00EC61BB"/>
    <w:rPr>
      <w:rFonts w:ascii="Arial" w:eastAsia="SimHei" w:hAnsi="Arial" w:cs="Times New Roman (标题 CS)"/>
      <w:color w:val="0F4761" w:themeColor="accent1" w:themeShade="BF"/>
      <w:sz w:val="26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rsid w:val="00EC61BB"/>
    <w:rPr>
      <w:rFonts w:ascii="Arial" w:eastAsia="SimHei" w:hAnsi="Arial" w:cs="Times New Roman (标题 CS)"/>
      <w:color w:val="0F4761" w:themeColor="accent1" w:themeShade="BF"/>
      <w:sz w:val="26"/>
      <w:szCs w:val="2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  <w:rsid w:val="00746C97"/>
    <w:rPr>
      <w:sz w:val="18"/>
    </w:rPr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rsid w:val="00746C97"/>
    <w:pPr>
      <w:keepNext/>
      <w:spacing w:after="0"/>
      <w:jc w:val="center"/>
    </w:pPr>
    <w:rPr>
      <w:i w:val="0"/>
      <w:sz w:val="20"/>
    </w:rPr>
  </w:style>
  <w:style w:type="paragraph" w:customStyle="1" w:styleId="ImageCaption">
    <w:name w:val="Image Caption"/>
    <w:basedOn w:val="Caption"/>
    <w:rsid w:val="00BF08D0"/>
    <w:pPr>
      <w:spacing w:after="0"/>
      <w:jc w:val="center"/>
    </w:pPr>
    <w:rPr>
      <w:i w:val="0"/>
      <w:sz w:val="20"/>
    </w:rPr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</w:rPr>
  </w:style>
  <w:style w:type="table" w:styleId="TableGrid">
    <w:name w:val="Table Grid"/>
    <w:basedOn w:val="TableNormal"/>
    <w:rsid w:val="00746C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BodyText"/>
    <w:rsid w:val="0051628A"/>
    <w:pPr>
      <w:ind w:firstLineChars="200" w:firstLine="420"/>
    </w:pPr>
  </w:style>
  <w:style w:type="paragraph" w:styleId="Header">
    <w:name w:val="header"/>
    <w:basedOn w:val="Normal"/>
    <w:link w:val="HeaderChar"/>
    <w:rsid w:val="005F6CB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5F6CBF"/>
    <w:rPr>
      <w:rFonts w:ascii="Arial" w:eastAsia="SimSun" w:hAnsi="Arial" w:cs="Times New Roman (正文 CS 字体)"/>
      <w:sz w:val="18"/>
      <w:szCs w:val="18"/>
    </w:rPr>
  </w:style>
  <w:style w:type="paragraph" w:styleId="Footer">
    <w:name w:val="footer"/>
    <w:basedOn w:val="Normal"/>
    <w:link w:val="FooterChar"/>
    <w:rsid w:val="005F6CB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5F6CBF"/>
    <w:rPr>
      <w:rFonts w:ascii="Arial" w:eastAsia="SimSun" w:hAnsi="Arial" w:cs="Times New Roman (正文 CS 字体)"/>
      <w:sz w:val="18"/>
      <w:szCs w:val="18"/>
    </w:rPr>
  </w:style>
  <w:style w:type="paragraph" w:customStyle="1" w:styleId="SourceCode">
    <w:name w:val="Source Cod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16</Pages>
  <Words>2962</Words>
  <Characters>21269</Characters>
  <Application>Microsoft Office Word</Application>
  <DocSecurity>0</DocSecurity>
  <Lines>472</Lines>
  <Paragraphs>252</Paragraphs>
  <ScaleCrop>false</ScaleCrop>
  <Company/>
  <LinksUpToDate>false</LinksUpToDate>
  <CharactersWithSpaces>23979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Richard Webb</cp:lastModifiedBy>
  <cp:revision>2</cp:revision>
  <dcterms:created xsi:type="dcterms:W3CDTF">2026-08-09T16:59:00Z</dcterms:created>
  <dcterms:modified xsi:type="dcterms:W3CDTF">2026-08-09T17:00:00Z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001191110108MACG2KBH8F10000","ProduceID":"d8rqms0c86sdei2sgb7g-19fe7605-9d92-8996-8000-097be71ac6e1-20260809165926","ReservedCode1":"","ContentPropagator":"001191110108MACG2KBH8F20000","PropagateID":"d8rqms0c86sdei2sgb7g-19fe7605-9d92-8996-8000-097be71ac6e1-20260809165926","ReservedCode2":""}</vt:lpwstr>
  </property>
</Properties>
</file>