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DE986" w14:textId="77777777" w:rsidR="00F31709" w:rsidRPr="001D4F7E" w:rsidRDefault="00000000" w:rsidP="001D4F7E">
      <w:pPr>
        <w:pStyle w:val="FirstParagraph"/>
        <w:spacing w:line="276" w:lineRule="auto"/>
        <w:jc w:val="center"/>
        <w:rPr>
          <w:b/>
          <w:bCs/>
        </w:rPr>
      </w:pPr>
      <w:r w:rsidRPr="001D4F7E">
        <w:rPr>
          <w:b/>
          <w:bCs/>
        </w:rPr>
        <w:t>Environmental Monitoring and Assessment</w:t>
      </w:r>
    </w:p>
    <w:p w14:paraId="21146B82" w14:textId="77777777" w:rsidR="00F31709" w:rsidRDefault="00000000" w:rsidP="001D4F7E">
      <w:pPr>
        <w:pStyle w:val="BodyText"/>
        <w:spacing w:line="276" w:lineRule="auto"/>
        <w:jc w:val="center"/>
      </w:pPr>
      <w:r>
        <w:rPr>
          <w:b/>
        </w:rPr>
        <w:t>Electronic Supplementary Material — Online Resource 3</w:t>
      </w:r>
    </w:p>
    <w:p w14:paraId="276D2C0D" w14:textId="77777777" w:rsidR="00F31709" w:rsidRDefault="00000000">
      <w:pPr>
        <w:pStyle w:val="BodyText"/>
        <w:spacing w:line="276" w:lineRule="auto"/>
      </w:pPr>
      <w:r>
        <w:rPr>
          <w:b/>
        </w:rPr>
        <w:t>Supplementary Figures S3–S15.</w:t>
      </w:r>
    </w:p>
    <w:p w14:paraId="223FAFB0" w14:textId="77777777" w:rsidR="00F31709" w:rsidRDefault="00000000" w:rsidP="00897736">
      <w:pPr>
        <w:pStyle w:val="BodyText"/>
        <w:spacing w:before="0" w:after="0" w:line="276" w:lineRule="auto"/>
      </w:pPr>
      <w:r w:rsidRPr="00897736">
        <w:rPr>
          <w:b/>
          <w:bCs/>
        </w:rPr>
        <w:t>Article</w:t>
      </w:r>
      <w:r>
        <w:t>: When Does Model Complexity Pay? Multi-Horizon NO₂ Forecasting in the Sparse Monitoring Network of the City of Buenos Aires</w:t>
      </w:r>
    </w:p>
    <w:p w14:paraId="43E82588" w14:textId="77777777" w:rsidR="001D4F7E" w:rsidRDefault="001D4F7E" w:rsidP="00897736">
      <w:pPr>
        <w:pStyle w:val="BodyText"/>
        <w:spacing w:before="0" w:after="0" w:line="276" w:lineRule="auto"/>
      </w:pPr>
    </w:p>
    <w:p w14:paraId="0043B8ED" w14:textId="0BEAA5D2" w:rsidR="00F31709" w:rsidRPr="00897736" w:rsidRDefault="00000000" w:rsidP="00897736">
      <w:pPr>
        <w:pStyle w:val="BodyText"/>
        <w:spacing w:before="0" w:after="0" w:line="276" w:lineRule="auto"/>
      </w:pPr>
      <w:r w:rsidRPr="00897736">
        <w:rPr>
          <w:b/>
          <w:bCs/>
        </w:rPr>
        <w:t>Author</w:t>
      </w:r>
      <w:r w:rsidRPr="00897736">
        <w:t>: Javier Aira — Independent Researcher, City of Buenos Aires, Argentina. Corresponding author: jj.aira@outlook.com. ORCID: 0000-0003-0879-1380.</w:t>
      </w:r>
    </w:p>
    <w:p w14:paraId="34BA3BF9" w14:textId="77777777" w:rsidR="001D4F7E" w:rsidRPr="00897736" w:rsidRDefault="001D4F7E" w:rsidP="001D4F7E">
      <w:pPr>
        <w:pStyle w:val="BodyText"/>
        <w:spacing w:before="0" w:after="0" w:line="276" w:lineRule="auto"/>
        <w:jc w:val="both"/>
      </w:pPr>
    </w:p>
    <w:p w14:paraId="411A023D" w14:textId="3BF4ADBF" w:rsidR="00F31709" w:rsidRPr="00897736" w:rsidRDefault="00000000" w:rsidP="001D4F7E">
      <w:pPr>
        <w:pStyle w:val="BodyText"/>
        <w:spacing w:before="0" w:after="0" w:line="276" w:lineRule="auto"/>
        <w:jc w:val="both"/>
      </w:pPr>
      <w:r w:rsidRPr="00897736">
        <w:t>This Online Resource groups Supplementary Figures S3–S15, one per page, in the order in which they are first cited in the main text. Figs. S1 (photographs of the stations) and S2 (schematic of the workflow) are included in Online Resource 1; the supplementary tables are in Online Resource 2.</w:t>
      </w:r>
    </w:p>
    <w:p w14:paraId="4AA22F19" w14:textId="77777777" w:rsidR="001D4F7E" w:rsidRPr="00897736" w:rsidRDefault="001D4F7E" w:rsidP="001D4F7E">
      <w:pPr>
        <w:pStyle w:val="BodyText"/>
        <w:spacing w:before="0" w:after="0" w:line="276" w:lineRule="auto"/>
        <w:jc w:val="both"/>
      </w:pPr>
    </w:p>
    <w:p w14:paraId="1DD4A319" w14:textId="77777777" w:rsidR="00F31709" w:rsidRPr="00897736" w:rsidRDefault="00000000" w:rsidP="001D4F7E">
      <w:pPr>
        <w:pStyle w:val="Heading2"/>
        <w:spacing w:before="0" w:line="360" w:lineRule="auto"/>
      </w:pPr>
      <w:r w:rsidRPr="00897736">
        <w:t>Abbreviations</w:t>
      </w:r>
    </w:p>
    <w:p w14:paraId="0181BC25" w14:textId="77777777" w:rsidR="00F31709" w:rsidRDefault="00000000" w:rsidP="001D4F7E">
      <w:pPr>
        <w:pStyle w:val="BodyText"/>
        <w:spacing w:before="0" w:after="0" w:line="276" w:lineRule="auto"/>
        <w:jc w:val="both"/>
      </w:pPr>
      <w:r w:rsidRPr="00897736">
        <w:t xml:space="preserve">APRA, Environmental Protection Agency of the City of Buenos Aires; CABA, Autonomous City of Buenos Aires; CI, confidence interval; CO, carbon monoxide; EU, European Union — the official designations of legal instruments retain their published form, e.g. Directive (EU) 2024/2881; FN, false negatives; FP, false positives; NO, nitrogen monoxide; NO₂, nitrogen dioxide; PM10, particulate matter with an aerodynamic diameter ≤ 10 µm; RMSE, root mean squared error; </w:t>
      </w:r>
      <w:r>
        <w:t>Δ</w:t>
      </w:r>
      <w:r w:rsidRPr="00897736">
        <w:t xml:space="preserve">RMSE, difference in RMSE between two models; SARIMAX, seasonal autoregressive integrated moving average with exogenous regressors; SHAP, Shapley additive explanations; TN, true negatives; TP, true positives; TROPOMI, TROPOspheric Monitoring Instrument; WHO, World Health Organization — the form used in the author–year citations and in the labels embedded in Fig. </w:t>
      </w:r>
      <w:r>
        <w:t>S4, which is not edited; XGBoost, extreme gradient boosting.</w:t>
      </w:r>
    </w:p>
    <w:p w14:paraId="691B848C" w14:textId="77777777" w:rsidR="00F31709" w:rsidRDefault="00000000">
      <w:pPr>
        <w:spacing w:line="276" w:lineRule="auto"/>
      </w:pPr>
      <w:r>
        <w:br w:type="page"/>
      </w:r>
    </w:p>
    <w:p w14:paraId="5FB8D609" w14:textId="77777777" w:rsidR="00F31709" w:rsidRDefault="00000000" w:rsidP="001D4F7E">
      <w:pPr>
        <w:pStyle w:val="BodyText"/>
        <w:spacing w:line="276" w:lineRule="auto"/>
        <w:jc w:val="center"/>
      </w:pPr>
      <w:r>
        <w:rPr>
          <w:noProof/>
        </w:rPr>
        <w:lastRenderedPageBreak/>
        <w:drawing>
          <wp:inline distT="0" distB="0" distL="0" distR="0" wp14:anchorId="23DB98AD" wp14:editId="3A7CEEE1">
            <wp:extent cx="5669280" cy="2490578"/>
            <wp:effectExtent l="0" t="0" r="0" b="0"/>
            <wp:docPr id="1" name="Picture" descr="Matriz de correlación entre las tres estaciones. Dos paneles cuadrados de 3 por 3 celdas; filas y columnas son Parque Centenario, Córdoba y La Boca; el color codifica el coeficiente de correlación de las series horarias de NO2 y cada celda lleva impreso su valor y el número de pares completos. Panel (a), series crudas: los valores fuera de la diagonal van de 0.37 a 0.61. Panel (b), series desestacionalizadas quitando el ciclo hora-de-semana: bajan a un rango de 0.31 a 0.54. El patrón es que ninguna pareja de estaciones supera 0.61 y que quitar el ciclo horario reduce todas las correlaciones."/>
            <wp:cNvGraphicFramePr/>
            <a:graphic xmlns:a="http://schemas.openxmlformats.org/drawingml/2006/main">
              <a:graphicData uri="http://schemas.openxmlformats.org/drawingml/2006/picture">
                <pic:pic xmlns:pic="http://schemas.openxmlformats.org/drawingml/2006/picture">
                  <pic:nvPicPr>
                    <pic:cNvPr id="0" name="Picture" descr="S3.png"/>
                    <pic:cNvPicPr>
                      <a:picLocks noChangeAspect="1" noChangeArrowheads="1"/>
                    </pic:cNvPicPr>
                  </pic:nvPicPr>
                  <pic:blipFill>
                    <a:blip r:embed="rId7"/>
                    <a:stretch>
                      <a:fillRect/>
                    </a:stretch>
                  </pic:blipFill>
                  <pic:spPr bwMode="auto">
                    <a:xfrm>
                      <a:off x="0" y="0"/>
                      <a:ext cx="5669280" cy="2490578"/>
                    </a:xfrm>
                    <a:prstGeom prst="rect">
                      <a:avLst/>
                    </a:prstGeom>
                    <a:noFill/>
                    <a:ln w="9525">
                      <a:noFill/>
                      <a:headEnd/>
                      <a:tailEnd/>
                    </a:ln>
                  </pic:spPr>
                </pic:pic>
              </a:graphicData>
            </a:graphic>
          </wp:inline>
        </w:drawing>
      </w:r>
    </w:p>
    <w:p w14:paraId="50F80124" w14:textId="77777777" w:rsidR="00F31709" w:rsidRPr="00897736" w:rsidRDefault="00000000" w:rsidP="001D4F7E">
      <w:pPr>
        <w:pStyle w:val="BodyText"/>
        <w:spacing w:line="276" w:lineRule="auto"/>
        <w:jc w:val="center"/>
      </w:pPr>
      <w:r w:rsidRPr="00897736">
        <w:rPr>
          <w:b/>
        </w:rPr>
        <w:t xml:space="preserve">Fig. S3 </w:t>
      </w:r>
      <w:r w:rsidRPr="00897736">
        <w:t>Hourly NO₂ correlation matrix between the three stations (2019–2025), on complete observation pairs (n per cell). (a) Raw hourly series: 0.37–0.61. (b) Deseasonalised series (hour-of-week cycle removed): 0.31–0.54</w:t>
      </w:r>
    </w:p>
    <w:p w14:paraId="5550B52B" w14:textId="77777777" w:rsidR="00F31709" w:rsidRPr="00897736" w:rsidRDefault="00000000" w:rsidP="001D4F7E">
      <w:pPr>
        <w:spacing w:line="276" w:lineRule="auto"/>
        <w:jc w:val="center"/>
      </w:pPr>
      <w:r w:rsidRPr="00897736">
        <w:br w:type="page"/>
      </w:r>
    </w:p>
    <w:p w14:paraId="14430C77" w14:textId="77777777" w:rsidR="00F31709" w:rsidRDefault="00000000" w:rsidP="001D4F7E">
      <w:pPr>
        <w:pStyle w:val="BodyText"/>
        <w:spacing w:line="276" w:lineRule="auto"/>
        <w:jc w:val="center"/>
      </w:pPr>
      <w:r>
        <w:rPr>
          <w:noProof/>
        </w:rPr>
        <w:lastRenderedPageBreak/>
        <w:drawing>
          <wp:inline distT="0" distB="0" distL="0" distR="0" wp14:anchorId="65E509E6" wp14:editId="1EB9A66E">
            <wp:extent cx="5669280" cy="3181061"/>
            <wp:effectExtent l="0" t="0" r="0" b="0"/>
            <wp:docPr id="2" name="Picture" descr="Gráfico de barras de la media anual de NO2 de la red, un valor por año de 2019 a 2025. Eje vertical en microgramos por metro cúbico; eje horizontal, el año. Cuatro líneas horizontales de referencia, todas expresadas como media anual: guía de la OMS de 2021 en 10, valor límite de la Unión Europea para 2030 en 20, límite transitorio de la Unión Europea en 40 y el estándar de la Ciudad, que es el único que cambia dentro del período y desciende en escalera de 100 a 80 y a 60. La media de la red se mantiene por debajo del estándar local vigente en todos los años y por encima de la guía de la OMS."/>
            <wp:cNvGraphicFramePr/>
            <a:graphic xmlns:a="http://schemas.openxmlformats.org/drawingml/2006/main">
              <a:graphicData uri="http://schemas.openxmlformats.org/drawingml/2006/picture">
                <pic:pic xmlns:pic="http://schemas.openxmlformats.org/drawingml/2006/picture">
                  <pic:nvPicPr>
                    <pic:cNvPr id="0" name="Picture" descr="S4.png"/>
                    <pic:cNvPicPr>
                      <a:picLocks noChangeAspect="1" noChangeArrowheads="1"/>
                    </pic:cNvPicPr>
                  </pic:nvPicPr>
                  <pic:blipFill>
                    <a:blip r:embed="rId8"/>
                    <a:stretch>
                      <a:fillRect/>
                    </a:stretch>
                  </pic:blipFill>
                  <pic:spPr bwMode="auto">
                    <a:xfrm>
                      <a:off x="0" y="0"/>
                      <a:ext cx="5669280" cy="3181061"/>
                    </a:xfrm>
                    <a:prstGeom prst="rect">
                      <a:avLst/>
                    </a:prstGeom>
                    <a:noFill/>
                    <a:ln w="9525">
                      <a:noFill/>
                      <a:headEnd/>
                      <a:tailEnd/>
                    </a:ln>
                  </pic:spPr>
                </pic:pic>
              </a:graphicData>
            </a:graphic>
          </wp:inline>
        </w:drawing>
      </w:r>
    </w:p>
    <w:p w14:paraId="6B41DC89" w14:textId="77777777" w:rsidR="00F31709" w:rsidRPr="00897736" w:rsidRDefault="00000000" w:rsidP="001D4F7E">
      <w:pPr>
        <w:pStyle w:val="BodyText"/>
        <w:spacing w:line="276" w:lineRule="auto"/>
        <w:jc w:val="center"/>
      </w:pPr>
      <w:r w:rsidRPr="00897736">
        <w:rPr>
          <w:b/>
        </w:rPr>
        <w:t>Fig. S4</w:t>
      </w:r>
      <w:r w:rsidRPr="00897736">
        <w:t xml:space="preserve"> Annual mean NO₂ of the network against the reference guidelines and standards, all expressed as annual means and plotted only as comparative context: the 2021 WHO guideline (10 µg/m³; World Health Organization [WHO], 2021), the 2030 EU annual limit value (20 µg/m³; European Union, 2024), the transitional EU annual limit value (40 µg/m³; European Union, 2008) and the CABA standard at its stage in force (Resolución 68-APRA/21, Annex I; APRA, 2021), the only reference that varies within the period. Only stations with representative annual coverage (≥75%) are considered, and their number varies between years: the bars must not be interpreted as a trend over a fixed composition of the network or as a formal determination of regulatory compliance. In red, the years whose network mean exceeds the transitional EU limit value (2023–2024). The complete regulatory framework — the stage schedule of Resolución 68-APRA/21, the pre-existing standard of Ley N° 1356 (2004), the pending timetable and the short-term values, which are not plotted because they correspond to other averaging periods — and the coverage caveats are in Online Resource 4, §§1–2</w:t>
      </w:r>
    </w:p>
    <w:p w14:paraId="58B67385" w14:textId="77777777" w:rsidR="00F31709" w:rsidRPr="00897736" w:rsidRDefault="00000000" w:rsidP="001D4F7E">
      <w:pPr>
        <w:spacing w:line="276" w:lineRule="auto"/>
        <w:jc w:val="center"/>
      </w:pPr>
      <w:r w:rsidRPr="00897736">
        <w:br w:type="page"/>
      </w:r>
    </w:p>
    <w:p w14:paraId="6A7AA9FA" w14:textId="77777777" w:rsidR="00F31709" w:rsidRDefault="00000000" w:rsidP="001D4F7E">
      <w:pPr>
        <w:pStyle w:val="BodyText"/>
        <w:spacing w:line="276" w:lineRule="auto"/>
        <w:jc w:val="center"/>
      </w:pPr>
      <w:r>
        <w:rPr>
          <w:noProof/>
        </w:rPr>
        <w:lastRenderedPageBreak/>
        <w:drawing>
          <wp:inline distT="0" distB="0" distL="0" distR="0" wp14:anchorId="533296B0" wp14:editId="56CBB7C7">
            <wp:extent cx="5669280" cy="4439853"/>
            <wp:effectExtent l="0" t="0" r="0" b="0"/>
            <wp:docPr id="3" name="Picture" descr="Dos paneles sobre la evolución y la cobertura de los datos. Panel (a): serie de la concentración media anual de NO2 por estación entre 2019 y 2025; eje vertical en ppb, eje horizontal el año, una línea por estación, con símbolos huecos y sin conectar en los años cuya cobertura no llega al 75 por ciento y un sombreado sobre el año de evaluación 2025. Panel (b): cobertura de NO2 como porcentaje de horas del año con medición válida, por estación y año. La cobertura no es homogénea entre estaciones ni entre años, y los años de baja cobertura son los que aparecen marcados como no representativos en el panel (a)."/>
            <wp:cNvGraphicFramePr/>
            <a:graphic xmlns:a="http://schemas.openxmlformats.org/drawingml/2006/main">
              <a:graphicData uri="http://schemas.openxmlformats.org/drawingml/2006/picture">
                <pic:pic xmlns:pic="http://schemas.openxmlformats.org/drawingml/2006/picture">
                  <pic:nvPicPr>
                    <pic:cNvPr id="0" name="Picture" descr="S5.png"/>
                    <pic:cNvPicPr>
                      <a:picLocks noChangeAspect="1" noChangeArrowheads="1"/>
                    </pic:cNvPicPr>
                  </pic:nvPicPr>
                  <pic:blipFill>
                    <a:blip r:embed="rId9"/>
                    <a:stretch>
                      <a:fillRect/>
                    </a:stretch>
                  </pic:blipFill>
                  <pic:spPr bwMode="auto">
                    <a:xfrm>
                      <a:off x="0" y="0"/>
                      <a:ext cx="5669280" cy="4439853"/>
                    </a:xfrm>
                    <a:prstGeom prst="rect">
                      <a:avLst/>
                    </a:prstGeom>
                    <a:noFill/>
                    <a:ln w="9525">
                      <a:noFill/>
                      <a:headEnd/>
                      <a:tailEnd/>
                    </a:ln>
                  </pic:spPr>
                </pic:pic>
              </a:graphicData>
            </a:graphic>
          </wp:inline>
        </w:drawing>
      </w:r>
    </w:p>
    <w:p w14:paraId="7ED7D4E7" w14:textId="77777777" w:rsidR="00F31709" w:rsidRPr="00897736" w:rsidRDefault="00000000" w:rsidP="001D4F7E">
      <w:pPr>
        <w:pStyle w:val="BodyText"/>
        <w:spacing w:line="276" w:lineRule="auto"/>
        <w:jc w:val="center"/>
      </w:pPr>
      <w:r w:rsidRPr="00897736">
        <w:rPr>
          <w:b/>
        </w:rPr>
        <w:t>Fig. S5</w:t>
      </w:r>
      <w:r w:rsidRPr="00897736">
        <w:t xml:space="preserve"> (a) Evolution of the annual mean NO₂ concentration by station (2019–2025); years with coverage below 75% are shown with hollow, unconnected symbols (not representative) and the shading marks the 2025 evaluation year. (b) NO₂ data coverage (percentage of hours in the year with a valid measurement) by station and year</w:t>
      </w:r>
    </w:p>
    <w:p w14:paraId="390F9023" w14:textId="77777777" w:rsidR="00F31709" w:rsidRPr="00897736" w:rsidRDefault="00000000" w:rsidP="001D4F7E">
      <w:pPr>
        <w:spacing w:line="276" w:lineRule="auto"/>
        <w:jc w:val="center"/>
      </w:pPr>
      <w:r w:rsidRPr="00897736">
        <w:br w:type="page"/>
      </w:r>
    </w:p>
    <w:p w14:paraId="2519700C" w14:textId="77777777" w:rsidR="00F31709" w:rsidRDefault="00000000" w:rsidP="001D4F7E">
      <w:pPr>
        <w:pStyle w:val="BodyText"/>
        <w:spacing w:line="276" w:lineRule="auto"/>
        <w:jc w:val="center"/>
      </w:pPr>
      <w:r>
        <w:rPr>
          <w:noProof/>
        </w:rPr>
        <w:lastRenderedPageBreak/>
        <w:drawing>
          <wp:inline distT="0" distB="0" distL="0" distR="0" wp14:anchorId="60561EF7" wp14:editId="62EEC31E">
            <wp:extent cx="5669280" cy="3452761"/>
            <wp:effectExtent l="0" t="0" r="0" b="0"/>
            <wp:docPr id="4" name="Picture" descr="Gráfico de barras agrupadas del RMSE en el año de evaluación 2025 para la configuración completa C. Eje vertical, RMSE de NO2 en ppb; eje horizontal, los tres horizontes de pronóstico de 24, 48 y 72 horas, con el número de observaciones anotado en el eje; una barra por familia de modelos dentro de cada grupo. El error crece con el horizonte en todas las familias y las diferencias entre familias dentro de cada horizonte son pequeñas frente a esa progresión."/>
            <wp:cNvGraphicFramePr/>
            <a:graphic xmlns:a="http://schemas.openxmlformats.org/drawingml/2006/main">
              <a:graphicData uri="http://schemas.openxmlformats.org/drawingml/2006/picture">
                <pic:pic xmlns:pic="http://schemas.openxmlformats.org/drawingml/2006/picture">
                  <pic:nvPicPr>
                    <pic:cNvPr id="0" name="Picture" descr="S6.png"/>
                    <pic:cNvPicPr>
                      <a:picLocks noChangeAspect="1" noChangeArrowheads="1"/>
                    </pic:cNvPicPr>
                  </pic:nvPicPr>
                  <pic:blipFill>
                    <a:blip r:embed="rId10"/>
                    <a:stretch>
                      <a:fillRect/>
                    </a:stretch>
                  </pic:blipFill>
                  <pic:spPr bwMode="auto">
                    <a:xfrm>
                      <a:off x="0" y="0"/>
                      <a:ext cx="5669280" cy="3452761"/>
                    </a:xfrm>
                    <a:prstGeom prst="rect">
                      <a:avLst/>
                    </a:prstGeom>
                    <a:noFill/>
                    <a:ln w="9525">
                      <a:noFill/>
                      <a:headEnd/>
                      <a:tailEnd/>
                    </a:ln>
                  </pic:spPr>
                </pic:pic>
              </a:graphicData>
            </a:graphic>
          </wp:inline>
        </w:drawing>
      </w:r>
    </w:p>
    <w:p w14:paraId="5BEC5453" w14:textId="77777777" w:rsidR="00F31709" w:rsidRPr="00897736" w:rsidRDefault="00000000" w:rsidP="001D4F7E">
      <w:pPr>
        <w:pStyle w:val="BodyText"/>
        <w:spacing w:line="276" w:lineRule="auto"/>
        <w:jc w:val="center"/>
      </w:pPr>
      <w:r w:rsidRPr="00897736">
        <w:rPr>
          <w:b/>
        </w:rPr>
        <w:t>Fig. S6</w:t>
      </w:r>
      <w:r w:rsidRPr="00897736">
        <w:t xml:space="preserve"> RMSE in the 2025 evaluation year, by horizon, for the full configuration C (n per horizon on the axis). Training on the 2019–2024 series; evaluation on all valid hourly rows of 2025</w:t>
      </w:r>
    </w:p>
    <w:p w14:paraId="146BD76F" w14:textId="77777777" w:rsidR="00F31709" w:rsidRPr="00897736" w:rsidRDefault="00000000" w:rsidP="001D4F7E">
      <w:pPr>
        <w:spacing w:line="276" w:lineRule="auto"/>
        <w:jc w:val="center"/>
      </w:pPr>
      <w:r w:rsidRPr="00897736">
        <w:br w:type="page"/>
      </w:r>
    </w:p>
    <w:p w14:paraId="08348AA7" w14:textId="77777777" w:rsidR="00F31709" w:rsidRDefault="00000000" w:rsidP="001D4F7E">
      <w:pPr>
        <w:pStyle w:val="BodyText"/>
        <w:spacing w:line="276" w:lineRule="auto"/>
        <w:jc w:val="center"/>
      </w:pPr>
      <w:r>
        <w:rPr>
          <w:noProof/>
        </w:rPr>
        <w:lastRenderedPageBreak/>
        <w:drawing>
          <wp:inline distT="0" distB="0" distL="0" distR="0" wp14:anchorId="7CC04A7C" wp14:editId="77F66929">
            <wp:extent cx="5669280" cy="2435902"/>
            <wp:effectExtent l="0" t="0" r="0" b="0"/>
            <wp:docPr id="5" name="Picture" descr="Dos paneles de la ablación fina de fuentes para XGBoost en el año de evaluación 2025, sobre configuraciones anidadas A (NO2 más calendario), B1 (más precursores), B2 (más meteorología), B3 (ambos) y C (más satélite TROPOMI). Panel (a): barras del cambio de RMSE respecto de la configuración A, en ppb, para una corrida única con semilla 42. Panel (b): diferencia RMSE de C menos RMSE de B en cinco semillas, con los cinco puntos individuales y la media con su desviación estándar. La mejora se concentra al incorporar meteorología, y en el panel (b) la dispersión entre semillas cubre el cero."/>
            <wp:cNvGraphicFramePr/>
            <a:graphic xmlns:a="http://schemas.openxmlformats.org/drawingml/2006/main">
              <a:graphicData uri="http://schemas.openxmlformats.org/drawingml/2006/picture">
                <pic:pic xmlns:pic="http://schemas.openxmlformats.org/drawingml/2006/picture">
                  <pic:nvPicPr>
                    <pic:cNvPr id="0" name="Picture" descr="S7.png"/>
                    <pic:cNvPicPr>
                      <a:picLocks noChangeAspect="1" noChangeArrowheads="1"/>
                    </pic:cNvPicPr>
                  </pic:nvPicPr>
                  <pic:blipFill>
                    <a:blip r:embed="rId11"/>
                    <a:stretch>
                      <a:fillRect/>
                    </a:stretch>
                  </pic:blipFill>
                  <pic:spPr bwMode="auto">
                    <a:xfrm>
                      <a:off x="0" y="0"/>
                      <a:ext cx="5669280" cy="2435902"/>
                    </a:xfrm>
                    <a:prstGeom prst="rect">
                      <a:avLst/>
                    </a:prstGeom>
                    <a:noFill/>
                    <a:ln w="9525">
                      <a:noFill/>
                      <a:headEnd/>
                      <a:tailEnd/>
                    </a:ln>
                  </pic:spPr>
                </pic:pic>
              </a:graphicData>
            </a:graphic>
          </wp:inline>
        </w:drawing>
      </w:r>
    </w:p>
    <w:p w14:paraId="62B7ED86" w14:textId="77777777" w:rsidR="00F31709" w:rsidRPr="00897736" w:rsidRDefault="00000000" w:rsidP="001D4F7E">
      <w:pPr>
        <w:pStyle w:val="BodyText"/>
        <w:spacing w:line="276" w:lineRule="auto"/>
        <w:jc w:val="center"/>
      </w:pPr>
      <w:r w:rsidRPr="00897736">
        <w:rPr>
          <w:b/>
        </w:rPr>
        <w:t>Fig. S7</w:t>
      </w:r>
      <w:r w:rsidRPr="00897736">
        <w:t xml:space="preserve"> Fine-grained ablation of the marginal contribution by source in the 2025 evaluation year (XGBoost). Nested configurations: A (NO₂ + calendar), B1 (+ precursors), B2 (+ meteorology), B3 (+ both), C (+ TROPOMI). (a) </w:t>
      </w:r>
      <w:r>
        <w:t>Δ</w:t>
      </w:r>
      <w:r w:rsidRPr="00897736">
        <w:t>RMSE relative to A (single run, seed 42). (b) RMSE(C) − RMSE(B) across five seeds: individual points and mean ± standard deviation</w:t>
      </w:r>
    </w:p>
    <w:p w14:paraId="45202B1C" w14:textId="77777777" w:rsidR="00F31709" w:rsidRPr="00897736" w:rsidRDefault="00000000" w:rsidP="001D4F7E">
      <w:pPr>
        <w:spacing w:line="276" w:lineRule="auto"/>
        <w:jc w:val="center"/>
      </w:pPr>
      <w:r w:rsidRPr="00897736">
        <w:br w:type="page"/>
      </w:r>
    </w:p>
    <w:p w14:paraId="7E22AD8E" w14:textId="77777777" w:rsidR="00F31709" w:rsidRDefault="00000000" w:rsidP="001D4F7E">
      <w:pPr>
        <w:pStyle w:val="BodyText"/>
        <w:spacing w:line="276" w:lineRule="auto"/>
        <w:jc w:val="center"/>
      </w:pPr>
      <w:r>
        <w:rPr>
          <w:noProof/>
        </w:rPr>
        <w:lastRenderedPageBreak/>
        <w:drawing>
          <wp:inline distT="0" distB="0" distL="0" distR="0" wp14:anchorId="432D3C4F" wp14:editId="396F8AA0">
            <wp:extent cx="5669280" cy="6154643"/>
            <wp:effectExtent l="0" t="0" r="0" b="0"/>
            <wp:docPr id="6" name="Picture" descr="Dos paneles. Panel (a): barras del RMSE de ARIMAX junto al de las demás familias sobre los orígenes diarios comunes emitidos a las 00 horas del año de evaluación 2025; eje vertical en ppb, una barra por modelo. Panel (b): ventaja definida como RMSE de Ridge menos RMSE de XGBoost, un valor por año de hold-out en ventana expansiva de 2020 a 2025; eje vertical en ppb con el cero marcado, eje horizontal el año. Los asteriscos señalan significación nominal de Diebold-Mariano al 5 y al 1 por ciento y la daga marca los contrastes que sobreviven la corrección global de Benjamini-Hochberg. La ventaja cambia de signo entre años."/>
            <wp:cNvGraphicFramePr/>
            <a:graphic xmlns:a="http://schemas.openxmlformats.org/drawingml/2006/main">
              <a:graphicData uri="http://schemas.openxmlformats.org/drawingml/2006/picture">
                <pic:pic xmlns:pic="http://schemas.openxmlformats.org/drawingml/2006/picture">
                  <pic:nvPicPr>
                    <pic:cNvPr id="0" name="Picture" descr="S8.png"/>
                    <pic:cNvPicPr>
                      <a:picLocks noChangeAspect="1" noChangeArrowheads="1"/>
                    </pic:cNvPicPr>
                  </pic:nvPicPr>
                  <pic:blipFill>
                    <a:blip r:embed="rId12"/>
                    <a:stretch>
                      <a:fillRect/>
                    </a:stretch>
                  </pic:blipFill>
                  <pic:spPr bwMode="auto">
                    <a:xfrm>
                      <a:off x="0" y="0"/>
                      <a:ext cx="5669280" cy="6154643"/>
                    </a:xfrm>
                    <a:prstGeom prst="rect">
                      <a:avLst/>
                    </a:prstGeom>
                    <a:noFill/>
                    <a:ln w="9525">
                      <a:noFill/>
                      <a:headEnd/>
                      <a:tailEnd/>
                    </a:ln>
                  </pic:spPr>
                </pic:pic>
              </a:graphicData>
            </a:graphic>
          </wp:inline>
        </w:drawing>
      </w:r>
    </w:p>
    <w:p w14:paraId="13691F5E" w14:textId="77777777" w:rsidR="00F31709" w:rsidRPr="00897736" w:rsidRDefault="00000000" w:rsidP="001D4F7E">
      <w:pPr>
        <w:pStyle w:val="BodyText"/>
        <w:spacing w:line="276" w:lineRule="auto"/>
        <w:jc w:val="center"/>
      </w:pPr>
      <w:r w:rsidRPr="00897736">
        <w:rPr>
          <w:b/>
        </w:rPr>
        <w:t>Fig. S8</w:t>
      </w:r>
      <w:r w:rsidRPr="00897736">
        <w:t xml:space="preserve"> (a) SARIMAX against the model families on common daily issue times (issued at 00 h; 2025 evaluation year). (b) Advantage </w:t>
      </w:r>
      <w:r>
        <w:rPr>
          <w:lang w:val="es-419"/>
        </w:rPr>
        <w:t>Δ</w:t>
      </w:r>
      <w:r w:rsidRPr="00897736">
        <w:t>RMSE = Ridge − XGBoost by hold-out year in an expanding window 2020–2025 (* p&lt;0.05 and ** p&lt;0.01 nominal, Diebold–Mariano; † survives the global Benjamini–Hochberg correction)</w:t>
      </w:r>
    </w:p>
    <w:p w14:paraId="42E51983" w14:textId="77777777" w:rsidR="00F31709" w:rsidRPr="00897736" w:rsidRDefault="00000000" w:rsidP="001D4F7E">
      <w:pPr>
        <w:spacing w:line="276" w:lineRule="auto"/>
        <w:jc w:val="center"/>
      </w:pPr>
      <w:r w:rsidRPr="00897736">
        <w:br w:type="page"/>
      </w:r>
    </w:p>
    <w:p w14:paraId="6A10918D" w14:textId="77777777" w:rsidR="00F31709" w:rsidRDefault="00000000" w:rsidP="001D4F7E">
      <w:pPr>
        <w:pStyle w:val="BodyText"/>
        <w:spacing w:line="276" w:lineRule="auto"/>
        <w:jc w:val="center"/>
      </w:pPr>
      <w:r>
        <w:rPr>
          <w:noProof/>
        </w:rPr>
        <w:lastRenderedPageBreak/>
        <w:drawing>
          <wp:inline distT="0" distB="0" distL="0" distR="0" wp14:anchorId="0725F37F" wp14:editId="55FAFAAB">
            <wp:extent cx="5669280" cy="3207011"/>
            <wp:effectExtent l="0" t="0" r="0" b="0"/>
            <wp:docPr id="7" name="Picture" descr="Gráfico de barras de la contribución relativa de cada fuente de datos según valores SHAP agregados, para XGBoost en configuración C a 24 horas. Eje vertical, categoría de fuente; eje horizontal, importancia relativa; los colores siguen las categorías de fuente de la figura de los quince atributos principales. El NO2 autorregresivo y el calendario concentran la mayor parte de la importancia y el satélite aporta la fracción menor."/>
            <wp:cNvGraphicFramePr/>
            <a:graphic xmlns:a="http://schemas.openxmlformats.org/drawingml/2006/main">
              <a:graphicData uri="http://schemas.openxmlformats.org/drawingml/2006/picture">
                <pic:pic xmlns:pic="http://schemas.openxmlformats.org/drawingml/2006/picture">
                  <pic:nvPicPr>
                    <pic:cNvPr id="0" name="Picture" descr="S9.png"/>
                    <pic:cNvPicPr>
                      <a:picLocks noChangeAspect="1" noChangeArrowheads="1"/>
                    </pic:cNvPicPr>
                  </pic:nvPicPr>
                  <pic:blipFill>
                    <a:blip r:embed="rId13"/>
                    <a:stretch>
                      <a:fillRect/>
                    </a:stretch>
                  </pic:blipFill>
                  <pic:spPr bwMode="auto">
                    <a:xfrm>
                      <a:off x="0" y="0"/>
                      <a:ext cx="5669280" cy="3207011"/>
                    </a:xfrm>
                    <a:prstGeom prst="rect">
                      <a:avLst/>
                    </a:prstGeom>
                    <a:noFill/>
                    <a:ln w="9525">
                      <a:noFill/>
                      <a:headEnd/>
                      <a:tailEnd/>
                    </a:ln>
                  </pic:spPr>
                </pic:pic>
              </a:graphicData>
            </a:graphic>
          </wp:inline>
        </w:drawing>
      </w:r>
    </w:p>
    <w:p w14:paraId="18ACBBB2" w14:textId="77777777" w:rsidR="00F31709" w:rsidRDefault="00000000" w:rsidP="001D4F7E">
      <w:pPr>
        <w:pStyle w:val="BodyText"/>
        <w:spacing w:line="276" w:lineRule="auto"/>
        <w:jc w:val="center"/>
      </w:pPr>
      <w:r w:rsidRPr="00897736">
        <w:rPr>
          <w:b/>
        </w:rPr>
        <w:t>Fig. S9</w:t>
      </w:r>
      <w:r w:rsidRPr="00897736">
        <w:t xml:space="preserve"> Relative contribution of each data source according to aggregated SHAP values (XGBoost, configuration C, +24 h). </w:t>
      </w:r>
      <w:r>
        <w:t>Colours follow the source categories of Fig. S11</w:t>
      </w:r>
    </w:p>
    <w:p w14:paraId="35A95D9A" w14:textId="77777777" w:rsidR="00F31709" w:rsidRDefault="00000000" w:rsidP="001D4F7E">
      <w:pPr>
        <w:spacing w:line="276" w:lineRule="auto"/>
        <w:jc w:val="center"/>
      </w:pPr>
      <w:r>
        <w:br w:type="page"/>
      </w:r>
    </w:p>
    <w:p w14:paraId="3D78B0CA" w14:textId="77777777" w:rsidR="00F31709" w:rsidRDefault="00000000" w:rsidP="001D4F7E">
      <w:pPr>
        <w:pStyle w:val="BodyText"/>
        <w:spacing w:line="276" w:lineRule="auto"/>
        <w:jc w:val="center"/>
      </w:pPr>
      <w:r>
        <w:rPr>
          <w:noProof/>
        </w:rPr>
        <w:lastRenderedPageBreak/>
        <w:drawing>
          <wp:inline distT="0" distB="0" distL="0" distR="0" wp14:anchorId="186F606B" wp14:editId="03D2AABD">
            <wp:extent cx="5669280" cy="3272157"/>
            <wp:effectExtent l="0" t="0" r="0" b="0"/>
            <wp:docPr id="8" name="Picture" descr="Gráfico de barras del RMSE de NO2 por estrato de concentración observada, para XGBoost en configuración C a 24 horas en el año de evaluación 2025. Eje horizontal, estratos por percentil del NO2 observado, desde p0 a 50 hasta p95 a 100; eje vertical, RMSE en ppb; cada barra lleva su número de observaciones y un intervalo de confianza bootstrap por bloques de fecha. El error crece de forma marcada hacia los estratos superiores."/>
            <wp:cNvGraphicFramePr/>
            <a:graphic xmlns:a="http://schemas.openxmlformats.org/drawingml/2006/main">
              <a:graphicData uri="http://schemas.openxmlformats.org/drawingml/2006/picture">
                <pic:pic xmlns:pic="http://schemas.openxmlformats.org/drawingml/2006/picture">
                  <pic:nvPicPr>
                    <pic:cNvPr id="0" name="Picture" descr="S10.png"/>
                    <pic:cNvPicPr>
                      <a:picLocks noChangeAspect="1" noChangeArrowheads="1"/>
                    </pic:cNvPicPr>
                  </pic:nvPicPr>
                  <pic:blipFill>
                    <a:blip r:embed="rId14"/>
                    <a:stretch>
                      <a:fillRect/>
                    </a:stretch>
                  </pic:blipFill>
                  <pic:spPr bwMode="auto">
                    <a:xfrm>
                      <a:off x="0" y="0"/>
                      <a:ext cx="5669280" cy="3272157"/>
                    </a:xfrm>
                    <a:prstGeom prst="rect">
                      <a:avLst/>
                    </a:prstGeom>
                    <a:noFill/>
                    <a:ln w="9525">
                      <a:noFill/>
                      <a:headEnd/>
                      <a:tailEnd/>
                    </a:ln>
                  </pic:spPr>
                </pic:pic>
              </a:graphicData>
            </a:graphic>
          </wp:inline>
        </w:drawing>
      </w:r>
    </w:p>
    <w:p w14:paraId="5A231909" w14:textId="77777777" w:rsidR="00F31709" w:rsidRPr="00897736" w:rsidRDefault="00000000" w:rsidP="001D4F7E">
      <w:pPr>
        <w:pStyle w:val="BodyText"/>
        <w:spacing w:line="276" w:lineRule="auto"/>
        <w:jc w:val="center"/>
      </w:pPr>
      <w:r w:rsidRPr="00897736">
        <w:rPr>
          <w:b/>
        </w:rPr>
        <w:t>Fig. S10</w:t>
      </w:r>
      <w:r w:rsidRPr="00897736">
        <w:t xml:space="preserve"> NO₂ RMSE by stratum of observed NO₂ (percentiles p0–50 to p95–100) in the 2025 evaluation year (XGBoost, configuration C, +24 h), with n per stratum and a date-block bootstrap CI</w:t>
      </w:r>
    </w:p>
    <w:p w14:paraId="0F845E71" w14:textId="77777777" w:rsidR="00F31709" w:rsidRPr="00897736" w:rsidRDefault="00000000" w:rsidP="001D4F7E">
      <w:pPr>
        <w:spacing w:line="276" w:lineRule="auto"/>
        <w:jc w:val="center"/>
      </w:pPr>
      <w:r w:rsidRPr="00897736">
        <w:br w:type="page"/>
      </w:r>
    </w:p>
    <w:p w14:paraId="6427C54D" w14:textId="77777777" w:rsidR="00F31709" w:rsidRDefault="00000000" w:rsidP="001D4F7E">
      <w:pPr>
        <w:pStyle w:val="BodyText"/>
        <w:spacing w:line="276" w:lineRule="auto"/>
        <w:jc w:val="center"/>
      </w:pPr>
      <w:r>
        <w:rPr>
          <w:noProof/>
        </w:rPr>
        <w:lastRenderedPageBreak/>
        <w:drawing>
          <wp:inline distT="0" distB="0" distL="0" distR="0" wp14:anchorId="43ECBB2C" wp14:editId="6BD56EC2">
            <wp:extent cx="5669280" cy="3586410"/>
            <wp:effectExtent l="0" t="0" r="0" b="0"/>
            <wp:docPr id="9" name="Picture" descr="Gráfico de barras horizontales de los quince atributos más influyentes según el valor absoluto de SHAP, para XGBoost en configuración C a 24 horas. Eje vertical, nombre del atributo ordenado de mayor a menor; eje horizontal, valor absoluto medio de SHAP; el color indica la categoría de fuente. Ningún precursor de superficie (NO, CO ni PM10) aparece entre los quince primeros."/>
            <wp:cNvGraphicFramePr/>
            <a:graphic xmlns:a="http://schemas.openxmlformats.org/drawingml/2006/main">
              <a:graphicData uri="http://schemas.openxmlformats.org/drawingml/2006/picture">
                <pic:pic xmlns:pic="http://schemas.openxmlformats.org/drawingml/2006/picture">
                  <pic:nvPicPr>
                    <pic:cNvPr id="0" name="Picture" descr="S11.png"/>
                    <pic:cNvPicPr>
                      <a:picLocks noChangeAspect="1" noChangeArrowheads="1"/>
                    </pic:cNvPicPr>
                  </pic:nvPicPr>
                  <pic:blipFill>
                    <a:blip r:embed="rId15"/>
                    <a:stretch>
                      <a:fillRect/>
                    </a:stretch>
                  </pic:blipFill>
                  <pic:spPr bwMode="auto">
                    <a:xfrm>
                      <a:off x="0" y="0"/>
                      <a:ext cx="5669280" cy="3586410"/>
                    </a:xfrm>
                    <a:prstGeom prst="rect">
                      <a:avLst/>
                    </a:prstGeom>
                    <a:noFill/>
                    <a:ln w="9525">
                      <a:noFill/>
                      <a:headEnd/>
                      <a:tailEnd/>
                    </a:ln>
                  </pic:spPr>
                </pic:pic>
              </a:graphicData>
            </a:graphic>
          </wp:inline>
        </w:drawing>
      </w:r>
    </w:p>
    <w:p w14:paraId="64C91A46" w14:textId="77777777" w:rsidR="00F31709" w:rsidRDefault="00000000" w:rsidP="001D4F7E">
      <w:pPr>
        <w:pStyle w:val="BodyText"/>
        <w:spacing w:line="276" w:lineRule="auto"/>
        <w:jc w:val="center"/>
      </w:pPr>
      <w:r w:rsidRPr="00897736">
        <w:rPr>
          <w:b/>
        </w:rPr>
        <w:t>Fig. S11</w:t>
      </w:r>
      <w:r w:rsidRPr="00897736">
        <w:t xml:space="preserve"> Fifteen most influential features by |SHAP| value (XGBoost, configuration C, +24 h); the aggregation by source category is shown in Fig. </w:t>
      </w:r>
      <w:r>
        <w:t>S9. No precursor (NO, CO, PM10) appears among the top 15</w:t>
      </w:r>
    </w:p>
    <w:p w14:paraId="1201E093" w14:textId="77777777" w:rsidR="00F31709" w:rsidRDefault="00000000" w:rsidP="001D4F7E">
      <w:pPr>
        <w:spacing w:line="276" w:lineRule="auto"/>
        <w:jc w:val="center"/>
      </w:pPr>
      <w:r>
        <w:br w:type="page"/>
      </w:r>
    </w:p>
    <w:p w14:paraId="6D112584" w14:textId="77777777" w:rsidR="00F31709" w:rsidRDefault="00000000" w:rsidP="001D4F7E">
      <w:pPr>
        <w:pStyle w:val="BodyText"/>
        <w:spacing w:line="276" w:lineRule="auto"/>
        <w:jc w:val="center"/>
      </w:pPr>
      <w:r>
        <w:rPr>
          <w:noProof/>
        </w:rPr>
        <w:lastRenderedPageBreak/>
        <w:drawing>
          <wp:inline distT="0" distB="0" distL="0" distR="0" wp14:anchorId="7606F844" wp14:editId="046F4936">
            <wp:extent cx="5669280" cy="2329779"/>
            <wp:effectExtent l="0" t="0" r="0" b="0"/>
            <wp:docPr id="10" name="Picture" descr="Dos paneles sobre la estructura del error de XGBoost en configuración C a 24 horas, en el año de evaluación 2025. Panel (a): error medio, definido como predicho menos observado, por decil de NO2 observado; eje horizontal el decil, eje vertical el error en ppb con el cero marcado, intervalos de confianza del 95 por ciento y el número de observaciones por bin. Panel (b): RMSE por hora del día, de 0 a 23, con intervalo de confianza bootstrap del 95 por ciento. El error medio pasa de positivo en los deciles bajos a negativo en los altos, el patrón característico de la regresión a la media."/>
            <wp:cNvGraphicFramePr/>
            <a:graphic xmlns:a="http://schemas.openxmlformats.org/drawingml/2006/main">
              <a:graphicData uri="http://schemas.openxmlformats.org/drawingml/2006/picture">
                <pic:pic xmlns:pic="http://schemas.openxmlformats.org/drawingml/2006/picture">
                  <pic:nvPicPr>
                    <pic:cNvPr id="0" name="Picture" descr="S12.png"/>
                    <pic:cNvPicPr>
                      <a:picLocks noChangeAspect="1" noChangeArrowheads="1"/>
                    </pic:cNvPicPr>
                  </pic:nvPicPr>
                  <pic:blipFill>
                    <a:blip r:embed="rId16"/>
                    <a:stretch>
                      <a:fillRect/>
                    </a:stretch>
                  </pic:blipFill>
                  <pic:spPr bwMode="auto">
                    <a:xfrm>
                      <a:off x="0" y="0"/>
                      <a:ext cx="5669280" cy="2329779"/>
                    </a:xfrm>
                    <a:prstGeom prst="rect">
                      <a:avLst/>
                    </a:prstGeom>
                    <a:noFill/>
                    <a:ln w="9525">
                      <a:noFill/>
                      <a:headEnd/>
                      <a:tailEnd/>
                    </a:ln>
                  </pic:spPr>
                </pic:pic>
              </a:graphicData>
            </a:graphic>
          </wp:inline>
        </w:drawing>
      </w:r>
    </w:p>
    <w:p w14:paraId="45D9290C" w14:textId="77777777" w:rsidR="00F31709" w:rsidRPr="00897736" w:rsidRDefault="00000000" w:rsidP="001D4F7E">
      <w:pPr>
        <w:pStyle w:val="BodyText"/>
        <w:spacing w:line="276" w:lineRule="auto"/>
        <w:jc w:val="center"/>
      </w:pPr>
      <w:r w:rsidRPr="00897736">
        <w:rPr>
          <w:b/>
        </w:rPr>
        <w:t>Fig. S12</w:t>
      </w:r>
      <w:r w:rsidRPr="00897736">
        <w:t xml:space="preserve"> Error structure in the 2025 evaluation year (XGBoost, configuration C, +24 h). (a) Mean error ŷ − y by decile of observed NO₂ (± 95% CI; n per bin). (b) RMSE by hour of the day with a 95% bootstrap CI</w:t>
      </w:r>
    </w:p>
    <w:p w14:paraId="37088102" w14:textId="77777777" w:rsidR="00F31709" w:rsidRPr="00897736" w:rsidRDefault="00000000" w:rsidP="001D4F7E">
      <w:pPr>
        <w:spacing w:line="276" w:lineRule="auto"/>
        <w:jc w:val="center"/>
      </w:pPr>
      <w:r w:rsidRPr="00897736">
        <w:br w:type="page"/>
      </w:r>
    </w:p>
    <w:p w14:paraId="5C4A06C9" w14:textId="77777777" w:rsidR="00F31709" w:rsidRDefault="00000000" w:rsidP="001D4F7E">
      <w:pPr>
        <w:pStyle w:val="BodyText"/>
        <w:spacing w:line="276" w:lineRule="auto"/>
        <w:jc w:val="center"/>
      </w:pPr>
      <w:r>
        <w:rPr>
          <w:noProof/>
        </w:rPr>
        <w:lastRenderedPageBreak/>
        <w:drawing>
          <wp:inline distT="0" distB="0" distL="0" distR="0" wp14:anchorId="3C583D83" wp14:editId="0E53FCDE">
            <wp:extent cx="5858444" cy="2450592"/>
            <wp:effectExtent l="0" t="0" r="0" b="0"/>
            <wp:docPr id="11" name="Picture" descr="Serie temporal de NO2 observado frente al pronóstico a 24 horas en la estación La Boca, sobre una ventana de 14 días centrada en el máximo anual observado de 2025. Eje horizontal, fecha y hora; eje vertical, NO2 en ppb. Una línea para la observación, otra para la predicción y una banda sombreada para el intervalo de predicción del 80 por ciento obtenido por regresión por cuantiles sin recalibrar. La banda deja fuera varios de los picos observados dentro de la ventana."/>
            <wp:cNvGraphicFramePr/>
            <a:graphic xmlns:a="http://schemas.openxmlformats.org/drawingml/2006/main">
              <a:graphicData uri="http://schemas.openxmlformats.org/drawingml/2006/picture">
                <pic:pic xmlns:pic="http://schemas.openxmlformats.org/drawingml/2006/picture">
                  <pic:nvPicPr>
                    <pic:cNvPr id="0" name="Picture" descr="S13.png"/>
                    <pic:cNvPicPr>
                      <a:picLocks noChangeAspect="1" noChangeArrowheads="1"/>
                    </pic:cNvPicPr>
                  </pic:nvPicPr>
                  <pic:blipFill>
                    <a:blip r:embed="rId17"/>
                    <a:stretch>
                      <a:fillRect/>
                    </a:stretch>
                  </pic:blipFill>
                  <pic:spPr bwMode="auto">
                    <a:xfrm>
                      <a:off x="0" y="0"/>
                      <a:ext cx="5862939" cy="2452472"/>
                    </a:xfrm>
                    <a:prstGeom prst="rect">
                      <a:avLst/>
                    </a:prstGeom>
                    <a:noFill/>
                    <a:ln w="9525">
                      <a:noFill/>
                      <a:headEnd/>
                      <a:tailEnd/>
                    </a:ln>
                  </pic:spPr>
                </pic:pic>
              </a:graphicData>
            </a:graphic>
          </wp:inline>
        </w:drawing>
      </w:r>
    </w:p>
    <w:p w14:paraId="1EF33DCA" w14:textId="77777777" w:rsidR="00F31709" w:rsidRPr="00897736" w:rsidRDefault="00000000" w:rsidP="001D4F7E">
      <w:pPr>
        <w:pStyle w:val="BodyText"/>
        <w:spacing w:line="276" w:lineRule="auto"/>
        <w:jc w:val="center"/>
      </w:pPr>
      <w:r w:rsidRPr="00897736">
        <w:rPr>
          <w:b/>
        </w:rPr>
        <w:t>Fig. S13</w:t>
      </w:r>
      <w:r w:rsidRPr="00897736">
        <w:t xml:space="preserve"> Observed NO₂ against the +24 h forecast with an 80% prediction interval (quantile regression, without recalibration) at La Boca; 14-day window centred on the observed annual maximum of 2025. Conditional coverage in the high stratum is substantially lower (Online Resource 2, Tables S17–S18)</w:t>
      </w:r>
    </w:p>
    <w:p w14:paraId="74963004" w14:textId="77777777" w:rsidR="00F31709" w:rsidRPr="00897736" w:rsidRDefault="00000000" w:rsidP="001D4F7E">
      <w:pPr>
        <w:spacing w:line="276" w:lineRule="auto"/>
        <w:jc w:val="center"/>
      </w:pPr>
      <w:r w:rsidRPr="00897736">
        <w:br w:type="page"/>
      </w:r>
    </w:p>
    <w:p w14:paraId="40BD0E27" w14:textId="77777777" w:rsidR="00F31709" w:rsidRDefault="00000000" w:rsidP="001D4F7E">
      <w:pPr>
        <w:pStyle w:val="BodyText"/>
        <w:spacing w:line="276" w:lineRule="auto"/>
        <w:jc w:val="center"/>
      </w:pPr>
      <w:r>
        <w:rPr>
          <w:noProof/>
        </w:rPr>
        <w:lastRenderedPageBreak/>
        <w:drawing>
          <wp:inline distT="0" distB="0" distL="0" distR="0" wp14:anchorId="4FFE92D5" wp14:editId="7453D9C8">
            <wp:extent cx="5669280" cy="2504151"/>
            <wp:effectExtent l="0" t="0" r="0" b="0"/>
            <wp:docPr id="12" name="Picture" descr="Matriz de confusión del clasificador horario de horas de alta concentración a 24 horas en el año de evaluación 2025, con el umbral congelado en 35.03 ppb, el percentil 90 del entrenamiento 2019-2024. Dos paneles de 2 por 2 celdas: filas, clase observada (no alta / alta); columnas, clase predicha. Panel (a), conteos absolutos de verdaderos negativos, falsos positivos, falsos negativos y verdaderos positivos. Panel (b), la misma matriz normalizada por fila, es decir por clase observada. La fila de horas altas concentra una proporción elevada de falsos negativos."/>
            <wp:cNvGraphicFramePr/>
            <a:graphic xmlns:a="http://schemas.openxmlformats.org/drawingml/2006/main">
              <a:graphicData uri="http://schemas.openxmlformats.org/drawingml/2006/picture">
                <pic:pic xmlns:pic="http://schemas.openxmlformats.org/drawingml/2006/picture">
                  <pic:nvPicPr>
                    <pic:cNvPr id="0" name="Picture" descr="S14.png"/>
                    <pic:cNvPicPr>
                      <a:picLocks noChangeAspect="1" noChangeArrowheads="1"/>
                    </pic:cNvPicPr>
                  </pic:nvPicPr>
                  <pic:blipFill>
                    <a:blip r:embed="rId18"/>
                    <a:stretch>
                      <a:fillRect/>
                    </a:stretch>
                  </pic:blipFill>
                  <pic:spPr bwMode="auto">
                    <a:xfrm>
                      <a:off x="0" y="0"/>
                      <a:ext cx="5669280" cy="2504151"/>
                    </a:xfrm>
                    <a:prstGeom prst="rect">
                      <a:avLst/>
                    </a:prstGeom>
                    <a:noFill/>
                    <a:ln w="9525">
                      <a:noFill/>
                      <a:headEnd/>
                      <a:tailEnd/>
                    </a:ln>
                  </pic:spPr>
                </pic:pic>
              </a:graphicData>
            </a:graphic>
          </wp:inline>
        </w:drawing>
      </w:r>
    </w:p>
    <w:p w14:paraId="2FD4BC05" w14:textId="77777777" w:rsidR="00F31709" w:rsidRDefault="00000000" w:rsidP="001D4F7E">
      <w:pPr>
        <w:pStyle w:val="BodyText"/>
        <w:spacing w:line="276" w:lineRule="auto"/>
        <w:jc w:val="center"/>
      </w:pPr>
      <w:r w:rsidRPr="00897736">
        <w:rPr>
          <w:b/>
        </w:rPr>
        <w:t>Fig. S14</w:t>
      </w:r>
      <w:r w:rsidRPr="00897736">
        <w:t xml:space="preserve"> Hourly confusion matrix of the high-concentration-hour classifier (threshold frozen at 35.03 ppb, the 90th percentile of the 2019–2024 training data) at +24 h in the 2025 evaluation year. (a) Counts; (b) normalised by row (by observed class). TN/FP/FN/TP: true and false negatives/positives. </w:t>
      </w:r>
      <w:r>
        <w:t>Operational metrics in Online Resource 2, Table S19</w:t>
      </w:r>
    </w:p>
    <w:p w14:paraId="0F3DDB18" w14:textId="77777777" w:rsidR="00F31709" w:rsidRDefault="00000000" w:rsidP="001D4F7E">
      <w:pPr>
        <w:spacing w:line="276" w:lineRule="auto"/>
        <w:jc w:val="center"/>
      </w:pPr>
      <w:r>
        <w:br w:type="page"/>
      </w:r>
    </w:p>
    <w:p w14:paraId="530AE1F0" w14:textId="77777777" w:rsidR="00F31709" w:rsidRDefault="00000000" w:rsidP="001D4F7E">
      <w:pPr>
        <w:pStyle w:val="BodyText"/>
        <w:spacing w:line="276" w:lineRule="auto"/>
        <w:jc w:val="center"/>
      </w:pPr>
      <w:r>
        <w:rPr>
          <w:noProof/>
        </w:rPr>
        <w:lastRenderedPageBreak/>
        <w:drawing>
          <wp:inline distT="0" distB="0" distL="0" distR="0" wp14:anchorId="4FD6B6C8" wp14:editId="7B2EEA7F">
            <wp:extent cx="5669280" cy="3003763"/>
            <wp:effectExtent l="0" t="0" r="0" b="0"/>
            <wp:docPr id="13" name="Picture" descr="Ciclo diurno de NO2 por estación entre 2019 y 2025. Eje horizontal, hora del día de 0 a 23; eje vertical, NO2 en ppb; una línea por estación para la mediana horaria y una banda sombreada para el rango intercuartílico entre los percentiles 25 y 75. Las tres estaciones muestran un doble pico diario y La Boca sostiene los niveles más altos a lo largo de casi todo el ciclo."/>
            <wp:cNvGraphicFramePr/>
            <a:graphic xmlns:a="http://schemas.openxmlformats.org/drawingml/2006/main">
              <a:graphicData uri="http://schemas.openxmlformats.org/drawingml/2006/picture">
                <pic:pic xmlns:pic="http://schemas.openxmlformats.org/drawingml/2006/picture">
                  <pic:nvPicPr>
                    <pic:cNvPr id="0" name="Picture" descr="S15.png"/>
                    <pic:cNvPicPr>
                      <a:picLocks noChangeAspect="1" noChangeArrowheads="1"/>
                    </pic:cNvPicPr>
                  </pic:nvPicPr>
                  <pic:blipFill>
                    <a:blip r:embed="rId19"/>
                    <a:stretch>
                      <a:fillRect/>
                    </a:stretch>
                  </pic:blipFill>
                  <pic:spPr bwMode="auto">
                    <a:xfrm>
                      <a:off x="0" y="0"/>
                      <a:ext cx="5669280" cy="3003763"/>
                    </a:xfrm>
                    <a:prstGeom prst="rect">
                      <a:avLst/>
                    </a:prstGeom>
                    <a:noFill/>
                    <a:ln w="9525">
                      <a:noFill/>
                      <a:headEnd/>
                      <a:tailEnd/>
                    </a:ln>
                  </pic:spPr>
                </pic:pic>
              </a:graphicData>
            </a:graphic>
          </wp:inline>
        </w:drawing>
      </w:r>
    </w:p>
    <w:p w14:paraId="2B937376" w14:textId="18D5549E" w:rsidR="001D4F7E" w:rsidRPr="00897736" w:rsidRDefault="00000000" w:rsidP="00DB19F6">
      <w:pPr>
        <w:pStyle w:val="BodyText"/>
        <w:spacing w:line="276" w:lineRule="auto"/>
        <w:jc w:val="center"/>
      </w:pPr>
      <w:r w:rsidRPr="00897736">
        <w:rPr>
          <w:b/>
        </w:rPr>
        <w:t>Fig. S15</w:t>
      </w:r>
      <w:r w:rsidRPr="00897736">
        <w:t xml:space="preserve"> Diurnal cycle of NO₂ by station (2019–2025): hourly median and interquartile band (percentiles 25–75)</w:t>
      </w:r>
    </w:p>
    <w:p w14:paraId="563DCB4A" w14:textId="77777777" w:rsidR="00F31709" w:rsidRPr="001D4F7E" w:rsidRDefault="00000000" w:rsidP="001D4F7E">
      <w:pPr>
        <w:pStyle w:val="Heading2"/>
        <w:spacing w:line="360" w:lineRule="auto"/>
        <w:rPr>
          <w:lang w:val="es-419"/>
        </w:rPr>
      </w:pPr>
      <w:r>
        <w:rPr>
          <w:lang w:val="es-419"/>
        </w:rPr>
        <w:t>References</w:t>
      </w:r>
    </w:p>
    <w:p w14:paraId="1BACC5D4" w14:textId="389116F0" w:rsidR="00F31709" w:rsidRDefault="00000000" w:rsidP="001D4F7E">
      <w:pPr>
        <w:pStyle w:val="FirstParagraph"/>
        <w:keepLines/>
        <w:spacing w:before="0" w:after="0" w:line="276" w:lineRule="auto"/>
        <w:jc w:val="both"/>
        <w:rPr>
          <w:lang w:val="es-419"/>
        </w:rPr>
      </w:pPr>
      <w:r w:rsidRPr="001D4F7E">
        <w:rPr>
          <w:lang w:val="es-419"/>
        </w:rPr>
        <w:t xml:space="preserve">Agencia de Protección Ambiental (APRA). (2021). </w:t>
      </w:r>
      <w:r w:rsidRPr="001D4F7E">
        <w:rPr>
          <w:i/>
          <w:lang w:val="es-419"/>
        </w:rPr>
        <w:t>Resolución N° 68-APRA/21: Estándares de calidad de aire y cronograma de adecuación progresiva [Resolution No. 68-APRA/21: Air quality standards and progressive compliance schedule]. Gobierno</w:t>
      </w:r>
      <w:r w:rsidRPr="001D4F7E">
        <w:rPr>
          <w:lang w:val="es-419"/>
        </w:rPr>
        <w:t xml:space="preserve"> de la Ciudad Autónoma de Buenos Aires. Boletín Oficial de la Ciudad Autónoma de Buenos Aires, N° 6112, 29 de abril de 2021. Anexo I: Estándares de calidad de aire [Annex I: Air quality standards] (Informe N° 12564371-GCABA-APRA/21). </w:t>
      </w:r>
      <w:hyperlink r:id="rId20" w:history="1">
        <w:r w:rsidR="00897736" w:rsidRPr="00AF4F35">
          <w:rPr>
            <w:rStyle w:val="Hyperlink"/>
            <w:lang w:val="es-419"/>
          </w:rPr>
          <w:t>https://documentosboletinoficial.buenosaires.gob.ar/publico/PE-RES-SECA-APRA-68-21-ANX.pdf</w:t>
        </w:r>
      </w:hyperlink>
    </w:p>
    <w:p w14:paraId="4E2E17BA" w14:textId="77777777" w:rsidR="00F31709" w:rsidRDefault="00000000" w:rsidP="001D4F7E">
      <w:pPr>
        <w:pStyle w:val="FirstParagraph"/>
        <w:keepLines/>
        <w:spacing w:before="0" w:after="0" w:line="276" w:lineRule="auto"/>
        <w:jc w:val="both"/>
      </w:pPr>
      <w:r>
        <w:t xml:space="preserve">European Union. (2008). Directive 2008/50/EC of the European Parliament and of the Council of 21 May 2008 on ambient air quality and cleaner air for Europe. </w:t>
      </w:r>
      <w:r>
        <w:rPr>
          <w:i/>
        </w:rPr>
        <w:t>Official Journal of the European Union, L 152</w:t>
      </w:r>
      <w:r>
        <w:t>, 1–44.</w:t>
      </w:r>
    </w:p>
    <w:p w14:paraId="59511FDF" w14:textId="77777777" w:rsidR="00F31709" w:rsidRDefault="00000000" w:rsidP="001D4F7E">
      <w:pPr>
        <w:pStyle w:val="FirstParagraph"/>
        <w:keepLines/>
        <w:spacing w:before="0" w:after="0" w:line="276" w:lineRule="auto"/>
        <w:jc w:val="both"/>
      </w:pPr>
      <w:r>
        <w:t xml:space="preserve">European Union. (2024). Directive (EU) 2024/2881 of the European Parliament and of the Council of 23 October 2024 on ambient air quality and cleaner air for Europe (recast). </w:t>
      </w:r>
      <w:r>
        <w:rPr>
          <w:i/>
        </w:rPr>
        <w:t>Official Journal of the European Union, L</w:t>
      </w:r>
      <w:r>
        <w:t>, 2024/2881, 20 November 2024.</w:t>
      </w:r>
    </w:p>
    <w:p w14:paraId="297FAB4D" w14:textId="356248FC" w:rsidR="00897736" w:rsidRPr="00897736" w:rsidRDefault="00000000" w:rsidP="001D4F7E">
      <w:pPr>
        <w:pStyle w:val="FirstParagraph"/>
        <w:keepLines/>
        <w:spacing w:before="0" w:after="0" w:line="276" w:lineRule="auto"/>
        <w:jc w:val="both"/>
      </w:pPr>
      <w:r>
        <w:t xml:space="preserve">Ley N° 1356. </w:t>
      </w:r>
      <w:r w:rsidRPr="00897736">
        <w:t xml:space="preserve">(2004). </w:t>
      </w:r>
      <w:r w:rsidRPr="00897736">
        <w:rPr>
          <w:i/>
        </w:rPr>
        <w:t xml:space="preserve">Preservación del recurso aire y prevención y control de la contaminación atmosférica [Preservation of the air resource and prevention and control of atmospheric pollution]. </w:t>
      </w:r>
      <w:r w:rsidRPr="001D4F7E">
        <w:rPr>
          <w:i/>
          <w:lang w:val="es-419"/>
        </w:rPr>
        <w:t>Legislatura</w:t>
      </w:r>
      <w:r w:rsidRPr="001D4F7E">
        <w:rPr>
          <w:lang w:val="es-419"/>
        </w:rPr>
        <w:t xml:space="preserve"> de la Ciudad Autónoma de Buenos Aires. Boletín Oficial de la Ciudad Autónoma de Buenos Aires, N° 2000, 10 de agosto de 2004 (republicada en el N° 2006, 19 de agosto de 2004, por fe de erratas en los artículos 35 y 66). Anexo I: Estándares de calidad de aire ambiente (Tabla A) [Annex I: Ambient air quality standards (Table A)]. </w:t>
      </w:r>
      <w:hyperlink r:id="rId21" w:history="1">
        <w:r w:rsidR="00897736" w:rsidRPr="00897736">
          <w:rPr>
            <w:rStyle w:val="Hyperlink"/>
          </w:rPr>
          <w:t>https://boletinoficial.buenosaires.gob.ar/normativaba/norma/59418</w:t>
        </w:r>
      </w:hyperlink>
    </w:p>
    <w:p w14:paraId="01FB6197" w14:textId="7A585346" w:rsidR="00F31709" w:rsidRDefault="00000000" w:rsidP="001D4F7E">
      <w:pPr>
        <w:pStyle w:val="FirstParagraph"/>
        <w:keepLines/>
        <w:spacing w:before="0" w:after="0" w:line="276" w:lineRule="auto"/>
        <w:jc w:val="both"/>
      </w:pPr>
      <w:r>
        <w:lastRenderedPageBreak/>
        <w:t xml:space="preserve">World Health Organization. (2021). </w:t>
      </w:r>
      <w:r>
        <w:rPr>
          <w:i/>
        </w:rPr>
        <w:t>WHO global air quality guidelines: Particulate matter (PM2.5 and PM10), ozone, nitrogen dioxide, sulfur dioxide and carbon monoxide</w:t>
      </w:r>
      <w:r>
        <w:t xml:space="preserve">. World Health Organization. </w:t>
      </w:r>
      <w:hyperlink r:id="rId22" w:history="1">
        <w:r w:rsidR="00897736" w:rsidRPr="00AF4F35">
          <w:rPr>
            <w:rStyle w:val="Hyperlink"/>
          </w:rPr>
          <w:t>https://www.who.int/publications/i/item/9789240034228</w:t>
        </w:r>
      </w:hyperlink>
    </w:p>
    <w:sectPr w:rsidR="00F31709">
      <w:pgSz w:w="12240" w:h="15840"/>
      <w:pgMar w:top="1440" w:right="1440" w:bottom="1440" w:left="1440" w:header="0" w:footer="0" w:gutter="0"/>
      <w:cols w:space="72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AAD0D" w14:textId="77777777" w:rsidR="007244BE" w:rsidRDefault="007244BE">
      <w:pPr>
        <w:spacing w:after="0"/>
      </w:pPr>
      <w:r>
        <w:separator/>
      </w:r>
    </w:p>
  </w:endnote>
  <w:endnote w:type="continuationSeparator" w:id="0">
    <w:p w14:paraId="7E2A4463" w14:textId="77777777" w:rsidR="007244BE" w:rsidRDefault="007244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CB23F" w14:textId="77777777" w:rsidR="007244BE" w:rsidRDefault="007244BE">
      <w:r>
        <w:separator/>
      </w:r>
    </w:p>
  </w:footnote>
  <w:footnote w:type="continuationSeparator" w:id="0">
    <w:p w14:paraId="23B20DEE" w14:textId="77777777" w:rsidR="007244BE" w:rsidRDefault="007244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1AE401"/>
    <w:multiLevelType w:val="multilevel"/>
    <w:tmpl w:val="2CEE0D9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65686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E437C"/>
    <w:rsid w:val="001D4F7E"/>
    <w:rsid w:val="0041037C"/>
    <w:rsid w:val="004E29B3"/>
    <w:rsid w:val="00590D07"/>
    <w:rsid w:val="007244BE"/>
    <w:rsid w:val="00784D58"/>
    <w:rsid w:val="00897736"/>
    <w:rsid w:val="008D6863"/>
    <w:rsid w:val="00B86B75"/>
    <w:rsid w:val="00BC48D5"/>
    <w:rsid w:val="00C36279"/>
    <w:rsid w:val="00DB19F6"/>
    <w:rsid w:val="00E315A3"/>
    <w:rsid w:val="00F31709"/>
    <w:rsid w:val="00FA725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AA87C"/>
  <w15:docId w15:val="{1F7723F7-99B4-4052-9F32-4A880FE55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UnresolvedMention">
    <w:name w:val="Unresolved Mention"/>
    <w:basedOn w:val="DefaultParagraphFont"/>
    <w:uiPriority w:val="99"/>
    <w:semiHidden/>
    <w:unhideWhenUsed/>
    <w:rsid w:val="008977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yperlink" Target="https://boletinoficial.buenosaires.gob.ar/normativaba/norma/59418"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documentosboletinoficial.buenosaires.gob.ar/publico/PE-RES-SECA-APRA-68-21-ANX.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www.who.int/publications/i/item/97892400342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15</Pages>
  <Words>1196</Words>
  <Characters>6687</Characters>
  <Application>Microsoft Office Word</Application>
  <DocSecurity>0</DocSecurity>
  <Lines>133</Lines>
  <Paragraphs>32</Paragraphs>
  <ScaleCrop>false</ScaleCrop>
  <Company/>
  <LinksUpToDate>false</LinksUpToDate>
  <CharactersWithSpaces>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Resource 3 — Supplementary figures S3–S15</dc:title>
  <dc:subject>When Does Model Complexity Pay? Multi-Horizon NO₂ Forecasting in the Sparse Monitoring Network of the City of Buenos Aires</dc:subject>
  <dc:creator>Javier Aira</dc:creator>
  <cp:keywords/>
  <cp:lastModifiedBy>Javier Aira</cp:lastModifiedBy>
  <cp:revision>4</cp:revision>
  <dcterms:created xsi:type="dcterms:W3CDTF">2026-07-13T20:06:00Z</dcterms:created>
  <dcterms:modified xsi:type="dcterms:W3CDTF">2026-08-10T16:59:00Z</dcterms:modified>
</cp:coreProperties>
</file>