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4C913" w14:textId="77777777" w:rsidR="00714291" w:rsidRPr="006259EE" w:rsidRDefault="00000000" w:rsidP="006259EE">
      <w:pPr>
        <w:pStyle w:val="FirstParagraph"/>
        <w:spacing w:line="276" w:lineRule="auto"/>
        <w:jc w:val="center"/>
        <w:rPr>
          <w:b/>
          <w:bCs/>
        </w:rPr>
      </w:pPr>
      <w:r>
        <w:rPr>
          <w:b/>
          <w:bCs/>
        </w:rPr>
        <w:t>Environmental Monitoring and Assessment</w:t>
      </w:r>
    </w:p>
    <w:p w14:paraId="3072D0EB" w14:textId="77777777" w:rsidR="00714291" w:rsidRDefault="00000000" w:rsidP="006259EE">
      <w:pPr>
        <w:pStyle w:val="BodyText"/>
        <w:spacing w:line="276" w:lineRule="auto"/>
        <w:jc w:val="center"/>
      </w:pPr>
      <w:r>
        <w:rPr>
          <w:b/>
        </w:rPr>
        <w:t>Electronic Supplementary Material — Online Resource 1</w:t>
      </w:r>
    </w:p>
    <w:p w14:paraId="3FC59A3E" w14:textId="77777777" w:rsidR="00714291" w:rsidRPr="007D5663" w:rsidRDefault="00000000" w:rsidP="006259EE">
      <w:pPr>
        <w:pStyle w:val="FirstParagraph"/>
        <w:spacing w:before="0" w:after="0" w:line="276" w:lineRule="auto"/>
        <w:jc w:val="both"/>
        <w:rPr>
          <w:b/>
          <w:bCs/>
        </w:rPr>
      </w:pPr>
      <w:r w:rsidRPr="007D5663">
        <w:rPr>
          <w:b/>
          <w:bCs/>
        </w:rPr>
        <w:t xml:space="preserve">Supplementary methods: </w:t>
      </w:r>
      <w:r w:rsidRPr="007D5663">
        <w:t>study area, data processing, models and evaluation protocol.</w:t>
      </w:r>
    </w:p>
    <w:p w14:paraId="1ABB1252" w14:textId="77777777" w:rsidR="006259EE" w:rsidRPr="007D5663" w:rsidRDefault="006259EE" w:rsidP="006259EE">
      <w:pPr>
        <w:pStyle w:val="FirstParagraph"/>
        <w:spacing w:before="0" w:after="0" w:line="276" w:lineRule="auto"/>
        <w:jc w:val="both"/>
        <w:rPr>
          <w:b/>
          <w:bCs/>
        </w:rPr>
      </w:pPr>
    </w:p>
    <w:p w14:paraId="15BA8672" w14:textId="77777777" w:rsidR="00714291" w:rsidRPr="006259EE" w:rsidRDefault="00000000" w:rsidP="007D5663">
      <w:pPr>
        <w:pStyle w:val="FirstParagraph"/>
        <w:spacing w:before="0" w:after="0" w:line="276" w:lineRule="auto"/>
      </w:pPr>
      <w:r>
        <w:rPr>
          <w:b/>
          <w:bCs/>
        </w:rPr>
        <w:t>Article</w:t>
      </w:r>
      <w:r>
        <w:t>: When Does Model Complexity Pay? Multi-Horizon NO₂ Forecasting in the Sparse Monitoring Network of the City of Buenos Aires</w:t>
      </w:r>
    </w:p>
    <w:p w14:paraId="2FC46ECD" w14:textId="77777777" w:rsidR="006259EE" w:rsidRPr="006259EE" w:rsidRDefault="006259EE" w:rsidP="007D5663">
      <w:pPr>
        <w:pStyle w:val="FirstParagraph"/>
        <w:spacing w:before="0" w:after="0" w:line="276" w:lineRule="auto"/>
      </w:pPr>
    </w:p>
    <w:p w14:paraId="1DDB6878" w14:textId="77777777" w:rsidR="00714291" w:rsidRPr="007D5663" w:rsidRDefault="00000000" w:rsidP="007D5663">
      <w:pPr>
        <w:pStyle w:val="FirstParagraph"/>
        <w:spacing w:before="0" w:after="0" w:line="276" w:lineRule="auto"/>
      </w:pPr>
      <w:r w:rsidRPr="007D5663">
        <w:rPr>
          <w:b/>
          <w:bCs/>
        </w:rPr>
        <w:t>Author</w:t>
      </w:r>
      <w:r w:rsidRPr="007D5663">
        <w:t>: Javier Aira — Independent Researcher, City of Buenos Aires, Argentina. Corresponding author: jj.aira@outlook.com. ORCID: 0000-0003-0879-1380.</w:t>
      </w:r>
    </w:p>
    <w:p w14:paraId="05438DB4" w14:textId="77777777" w:rsidR="006259EE" w:rsidRPr="007D5663" w:rsidRDefault="006259EE" w:rsidP="006259EE">
      <w:pPr>
        <w:pStyle w:val="FirstParagraph"/>
        <w:spacing w:before="0" w:after="0" w:line="276" w:lineRule="auto"/>
        <w:jc w:val="both"/>
      </w:pPr>
    </w:p>
    <w:p w14:paraId="0B9FD828" w14:textId="77777777" w:rsidR="006259EE" w:rsidRPr="007D5663" w:rsidRDefault="00000000" w:rsidP="006259EE">
      <w:pPr>
        <w:pStyle w:val="FirstParagraph"/>
        <w:spacing w:before="0" w:after="0" w:line="276" w:lineRule="auto"/>
        <w:jc w:val="both"/>
      </w:pPr>
      <w:r w:rsidRPr="007D5663">
        <w:t>This Online Resource expands the Materials and methods section of the main text. It brings together the detailed description of the study area and the stations, the quality control and regulatory validation chain, the integration of sources and feature engineering, the complete data-processing pipeline, the model families with their hyperparameters, the mechanics of the evaluation protocol and the SARIMAX specification. No conclusion of the main text rests on results reported only in this Online Resource. The supplementary tables are in Online Resource 2 and Supplementary Figures S3–S15 are in Online Resource 3; Figs. S1 and S2 are included below.</w:t>
      </w:r>
    </w:p>
    <w:p w14:paraId="19E37063" w14:textId="77777777" w:rsidR="00A30C99" w:rsidRPr="007D5663" w:rsidRDefault="00A30C99" w:rsidP="00A30C99">
      <w:pPr>
        <w:pStyle w:val="BodyText"/>
        <w:spacing w:before="0" w:after="0"/>
      </w:pPr>
    </w:p>
    <w:p w14:paraId="0E343EFE" w14:textId="77777777" w:rsidR="00714291" w:rsidRPr="007D5663" w:rsidRDefault="00000000" w:rsidP="006259EE">
      <w:pPr>
        <w:pStyle w:val="Heading2"/>
        <w:spacing w:before="0" w:line="360" w:lineRule="auto"/>
      </w:pPr>
      <w:r w:rsidRPr="007D5663">
        <w:t>Abbreviations</w:t>
      </w:r>
    </w:p>
    <w:p w14:paraId="31037E98" w14:textId="20B56967" w:rsidR="00A30C99" w:rsidRPr="007D5663" w:rsidRDefault="00000000" w:rsidP="00CA6F28">
      <w:pPr>
        <w:pStyle w:val="FirstParagraph"/>
        <w:spacing w:before="0" w:after="0" w:line="276" w:lineRule="auto"/>
        <w:jc w:val="both"/>
      </w:pPr>
      <w:r w:rsidRPr="007D5663">
        <w:t xml:space="preserve">ACF, autocorrelation function; AIC, Akaike information criterion; API, application programming interface; APRA, Environmental Protection Agency of the City of Buenos Aires; CABA, Autonomous City of Buenos Aires; CUDA, Compute Unified Device Architecture; DM, Diebold–Mariano; ECMWF, European Centre for Medium-Range Weather Forecasts; ERA5, ECMWF Reanalysis v5; GRU, gated recurrent unit; HAC, heteroskedasticity- and autocorrelation-consistent; L3, Level 3 (satellite processing level 3); LSTM, long short-term memory; MAE, mean absolute error; NO₂, nitrogen dioxide; OFFL, offline (reprocessed satellite product); RMSE, root mean squared error; SARIMA, seasonal autoregressive integrated moving average; SARIMAX, seasonal autoregressive integrated moving average with exogenous regressors; Sentinel-5P, Sentinel-5 Precursor; SHAP, Shapley additive explanations; TROPOMI, </w:t>
      </w:r>
      <w:proofErr w:type="spellStart"/>
      <w:r w:rsidRPr="007D5663">
        <w:t>TROPOspheric</w:t>
      </w:r>
      <w:proofErr w:type="spellEnd"/>
      <w:r w:rsidRPr="007D5663">
        <w:t xml:space="preserve"> Monitoring Instrument; US EPA, United States Environmental Protection Agency; UTC, Coordinated Universal Time; WHO, World Health Organization; </w:t>
      </w:r>
      <w:proofErr w:type="spellStart"/>
      <w:r w:rsidRPr="007D5663">
        <w:t>XGBoost</w:t>
      </w:r>
      <w:proofErr w:type="spellEnd"/>
      <w:r w:rsidRPr="007D5663">
        <w:t>, extreme gradient boosting.</w:t>
      </w:r>
    </w:p>
    <w:p w14:paraId="17EBD0E6" w14:textId="77777777" w:rsidR="00CA6F28" w:rsidRPr="007D5663" w:rsidRDefault="00CA6F28" w:rsidP="00CA6F28">
      <w:pPr>
        <w:pStyle w:val="BodyText"/>
        <w:spacing w:before="0" w:after="0"/>
      </w:pPr>
    </w:p>
    <w:p w14:paraId="3121566A" w14:textId="5CE3620D" w:rsidR="00714291" w:rsidRPr="007D5663" w:rsidRDefault="00000000" w:rsidP="006259EE">
      <w:pPr>
        <w:pStyle w:val="Heading2"/>
        <w:spacing w:before="0" w:line="360" w:lineRule="auto"/>
      </w:pPr>
      <w:r w:rsidRPr="007D5663">
        <w:t>1 Monitoring stations and site settings</w:t>
      </w:r>
    </w:p>
    <w:p w14:paraId="66FCF7A6" w14:textId="77777777" w:rsidR="00714291" w:rsidRPr="007D5663" w:rsidRDefault="00000000" w:rsidP="006259EE">
      <w:pPr>
        <w:pStyle w:val="FirstParagraph"/>
        <w:spacing w:before="0" w:after="0" w:line="276" w:lineRule="auto"/>
        <w:jc w:val="both"/>
      </w:pPr>
      <w:r w:rsidRPr="007D5663">
        <w:t xml:space="preserve">Parque Centenario (Ramos Mejía 800; APRA, n.d.-c) is in the geographical </w:t>
      </w:r>
      <w:proofErr w:type="spellStart"/>
      <w:r w:rsidRPr="007D5663">
        <w:t>centre</w:t>
      </w:r>
      <w:proofErr w:type="spellEnd"/>
      <w:r w:rsidRPr="007D5663">
        <w:t xml:space="preserve"> of the city, adjacent to a green space. It has operated since 2005 and represents a relatively homogeneous urban background, in a residential-commercial area with moderate traffic; it provides the longest </w:t>
      </w:r>
      <w:r w:rsidRPr="007D5663">
        <w:lastRenderedPageBreak/>
        <w:t xml:space="preserve">and most regular series. Córdoba (Av. Córdoba and Rodríguez Peña; APRA, n.d.-a), operational since May 2009, </w:t>
      </w:r>
      <w:proofErr w:type="gramStart"/>
      <w:r w:rsidRPr="007D5663">
        <w:t>is located in</w:t>
      </w:r>
      <w:proofErr w:type="gramEnd"/>
      <w:r w:rsidRPr="007D5663">
        <w:t xml:space="preserve"> a residential-commercial area with heavy traffic and very low influence from stationary </w:t>
      </w:r>
      <w:proofErr w:type="gramStart"/>
      <w:r w:rsidRPr="007D5663">
        <w:t>sources, and</w:t>
      </w:r>
      <w:proofErr w:type="gramEnd"/>
      <w:r w:rsidRPr="007D5663">
        <w:t xml:space="preserve"> captures the direct signal of vehicle combustion. La Boca (Av. </w:t>
      </w:r>
      <w:proofErr w:type="spellStart"/>
      <w:r w:rsidRPr="007D5663">
        <w:t>Brasil</w:t>
      </w:r>
      <w:proofErr w:type="spellEnd"/>
      <w:r w:rsidRPr="007D5663">
        <w:t xml:space="preserve"> 100; APRA, n.d.-b), operational since May 2009 and situated in the Matanza-</w:t>
      </w:r>
      <w:proofErr w:type="spellStart"/>
      <w:r w:rsidRPr="007D5663">
        <w:t>Riachuelo</w:t>
      </w:r>
      <w:proofErr w:type="spellEnd"/>
      <w:r w:rsidRPr="007D5663">
        <w:t xml:space="preserve"> basin, combines a mixed urban and industrial character with influence from stationary sources; it exhibits the greatest variability and the highest levels. All three are automatic EPA-type stations (Fig. S1); their complete official record — address, coordinates, setting, start of operations and measured variables — is detailed in Online Resource 2 (Table S1). The </w:t>
      </w:r>
      <w:proofErr w:type="gramStart"/>
      <w:r w:rsidRPr="007D5663">
        <w:t>City</w:t>
      </w:r>
      <w:proofErr w:type="gramEnd"/>
      <w:r w:rsidRPr="007D5663">
        <w:t xml:space="preserve"> also maintains an official inventory of stationary sources (879 establishments surveyed in 2023), consistent with the industrial influence of the setting of La Boca (APRA, 2023). This diversity of settings, together with the low correlation between stations, is what makes station-level forecasting informative in a spatially sparse network. The relative location of the three stations is shown in Fig. 1 of the main article.</w:t>
      </w:r>
    </w:p>
    <w:p w14:paraId="11B57EAA" w14:textId="77777777" w:rsidR="00714291" w:rsidRDefault="00000000" w:rsidP="006259EE">
      <w:pPr>
        <w:pStyle w:val="BodyText"/>
        <w:spacing w:line="276" w:lineRule="auto"/>
        <w:jc w:val="center"/>
      </w:pPr>
      <w:r>
        <w:rPr>
          <w:noProof/>
        </w:rPr>
        <w:drawing>
          <wp:inline distT="0" distB="0" distL="0" distR="0" wp14:anchorId="04544612" wp14:editId="40AE97D1">
            <wp:extent cx="5368634" cy="1558138"/>
            <wp:effectExtent l="0" t="0" r="0" b="0"/>
            <wp:docPr id="1" name="Picture" descr="Fotografías de las tres estaciones de monitoreo continuo de calidad del aire de la Ciudad de Buenos Aires, en tres paneles: (a) Córdoba, entorno de tráfico; (b) La Boca, entorno mixto urbano-industrial; (c) Parque Centenario, fondo urbano. Las tres son cabinas automáticas tipo EPA operadas por APRA. Las imágenes documentan la heterogeneidad de entorno que sustenta la baja redundancia entre est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5"/>
                    <a:stretch>
                      <a:fillRect/>
                    </a:stretch>
                  </pic:blipFill>
                  <pic:spPr bwMode="auto">
                    <a:xfrm>
                      <a:off x="0" y="0"/>
                      <a:ext cx="5383489" cy="1562449"/>
                    </a:xfrm>
                    <a:prstGeom prst="rect">
                      <a:avLst/>
                    </a:prstGeom>
                  </pic:spPr>
                </pic:pic>
              </a:graphicData>
            </a:graphic>
          </wp:inline>
        </w:drawing>
      </w:r>
    </w:p>
    <w:p w14:paraId="7AC8EDB0" w14:textId="77777777" w:rsidR="00714291" w:rsidRPr="007D5663" w:rsidRDefault="00000000" w:rsidP="002F017F">
      <w:pPr>
        <w:pStyle w:val="BodyText"/>
        <w:spacing w:line="276" w:lineRule="auto"/>
        <w:jc w:val="center"/>
      </w:pPr>
      <w:r w:rsidRPr="007D5663">
        <w:rPr>
          <w:b/>
        </w:rPr>
        <w:t>Fig. S1</w:t>
      </w:r>
      <w:r w:rsidRPr="007D5663">
        <w:t xml:space="preserve"> Continuous air quality monitoring stations of the City of Buenos Aires: (a) Córdoba (traffic), (b) La Boca (mixed urban-industrial) and (c) Parque Centenario (urban background). All three are automatic EPA-type monitoring stations operated by APRA. Photographs by the author</w:t>
      </w:r>
    </w:p>
    <w:p w14:paraId="0953600B" w14:textId="77777777" w:rsidR="00714291" w:rsidRPr="007D5663" w:rsidRDefault="00000000" w:rsidP="00A30C99">
      <w:pPr>
        <w:pStyle w:val="Heading2"/>
        <w:spacing w:line="360" w:lineRule="auto"/>
      </w:pPr>
      <w:r w:rsidRPr="007D5663">
        <w:t>2 Quality control and regulatory validation chain</w:t>
      </w:r>
    </w:p>
    <w:p w14:paraId="5E983713" w14:textId="77777777" w:rsidR="00714291" w:rsidRPr="007D5663" w:rsidRDefault="00000000" w:rsidP="00A30C99">
      <w:pPr>
        <w:pStyle w:val="FirstParagraph"/>
        <w:spacing w:before="0" w:after="0" w:line="276" w:lineRule="auto"/>
        <w:jc w:val="both"/>
      </w:pPr>
      <w:r w:rsidRPr="007D5663">
        <w:t xml:space="preserve">The raw data underwent quality control with </w:t>
      </w:r>
      <w:proofErr w:type="gramStart"/>
      <w:r w:rsidRPr="007D5663">
        <w:t>physical-consistency</w:t>
      </w:r>
      <w:proofErr w:type="gramEnd"/>
      <w:r w:rsidRPr="007D5663">
        <w:t xml:space="preserve"> checks before the merge. The nitrogen oxide balance (NOₓ ≈ NO + NO₂, with a tolerance of ±0.6 ppb — an operational diagnostic criterion of the pipeline, set empirically and of the order of the reporting resolution of the hourly measurements, not an instrumental accuracy specification) was used as a unit-homogeneity check: over 134,298 records with the three species present, 85.4% satisfy the balance criterion, above the acceptance threshold for the dataset (80%). Records outside tolerance are retained — the balance operates as a check, not as a discard filter — and the absence of negative values was confirmed for all pollutants (Online Resource 2, Table S2). This decision does not materially affect the results: when the evaluation over the 2025 evaluation year is restricted to the forecast pairs whose origin and target (</w:t>
      </w:r>
      <w:proofErr w:type="spellStart"/>
      <w:r w:rsidRPr="007D5663">
        <w:t>t+h</w:t>
      </w:r>
      <w:proofErr w:type="spellEnd"/>
      <w:r w:rsidRPr="007D5663">
        <w:t xml:space="preserve">) records both satisfy the balance criterion, the RMSE varies by ≤0.11 ppb in every model × horizon cell, and the </w:t>
      </w:r>
      <w:proofErr w:type="spellStart"/>
      <w:r w:rsidRPr="007D5663">
        <w:t>XGBoost</w:t>
      </w:r>
      <w:proofErr w:type="spellEnd"/>
      <w:r w:rsidRPr="007D5663">
        <w:t xml:space="preserve">−Ridge gap stays within 0.02 ppb of the full sample (−0.48/−0.22/−0.14 against −0.49/−0.20/−0.14 ppb </w:t>
      </w:r>
      <w:r w:rsidRPr="007D5663">
        <w:lastRenderedPageBreak/>
        <w:t>at 24/48/72 h), without altering any ranking or conclusion (script sensitivity_nox_balance.py and its output in the reproducibility package).</w:t>
      </w:r>
    </w:p>
    <w:p w14:paraId="1085ACC5" w14:textId="062C67D4" w:rsidR="00714291" w:rsidRPr="007D5663" w:rsidRDefault="00000000" w:rsidP="00A30C99">
      <w:pPr>
        <w:pStyle w:val="FirstParagraph"/>
        <w:spacing w:before="0" w:after="0" w:line="276" w:lineRule="auto"/>
        <w:jc w:val="both"/>
      </w:pPr>
      <w:r w:rsidRPr="007D5663">
        <w:t>Monitoring is carried out under the air-quality act of the City of Buenos Aires (</w:t>
      </w:r>
      <w:r w:rsidR="00133B14" w:rsidRPr="00133B14">
        <w:t xml:space="preserve">Law No. </w:t>
      </w:r>
      <w:r w:rsidRPr="007D5663">
        <w:t>1356) and its implementing decree (</w:t>
      </w:r>
      <w:r w:rsidR="00133B14" w:rsidRPr="00133B14">
        <w:t xml:space="preserve">Decree No. </w:t>
      </w:r>
      <w:r w:rsidRPr="007D5663">
        <w:t xml:space="preserve">198/06), with local standards updated by </w:t>
      </w:r>
      <w:r w:rsidR="00133B14" w:rsidRPr="00133B14">
        <w:t>Resolution</w:t>
      </w:r>
      <w:r w:rsidR="00133B14">
        <w:t xml:space="preserve"> </w:t>
      </w:r>
      <w:r w:rsidRPr="007D5663">
        <w:t xml:space="preserve">68-APRA/21 (APRA, 2021), which sets a schedule of progressive convergence towards the WHO guidelines. Before delivery, APRA itself applies a four-level validation protocol: automatic and operator daily review; basic verification against calibrations; intermediate review with quantitative checks and between-site comparison; and a final monthly validation focused on regulatory exceedances. Reference instruments type-approved under US EPA (40 CFR) and European Union standards are used, with traceable calibration by means of EPA-certified span gases; records affected by maintenance, calibration or failure are flagged as missing. The operational 75% hourly sufficiency rule used in this work coincides with the one APRA applies when compiling its hourly data. No validated PM2.5 data </w:t>
      </w:r>
      <w:proofErr w:type="gramStart"/>
      <w:r w:rsidRPr="007D5663">
        <w:t>were</w:t>
      </w:r>
      <w:proofErr w:type="gramEnd"/>
      <w:r w:rsidRPr="007D5663">
        <w:t xml:space="preserve"> available, so PM10 is used. Finally, prolonged instrument outages, characteristic of a sparse network, do not automatically trigger exclusion; their handling depends on the model family and is detailed in “Missing-data handling” (§4).</w:t>
      </w:r>
    </w:p>
    <w:p w14:paraId="7341C560" w14:textId="77777777" w:rsidR="00714291" w:rsidRPr="007D5663" w:rsidRDefault="00000000" w:rsidP="00A30C99">
      <w:pPr>
        <w:pStyle w:val="Heading2"/>
        <w:spacing w:line="360" w:lineRule="auto"/>
      </w:pPr>
      <w:r w:rsidRPr="007D5663">
        <w:t>3 Source integration and feature engineering</w:t>
      </w:r>
    </w:p>
    <w:p w14:paraId="3D3DDC7A" w14:textId="77777777" w:rsidR="00714291" w:rsidRPr="007D5663" w:rsidRDefault="00000000" w:rsidP="00A30C99">
      <w:pPr>
        <w:pStyle w:val="FirstParagraph"/>
        <w:spacing w:before="0" w:after="0" w:line="276" w:lineRule="auto"/>
        <w:jc w:val="both"/>
      </w:pPr>
      <w:r w:rsidRPr="007D5663">
        <w:t>Three sources were integrated on a common hourly grid. The APRA surface measurements provide NO₂, its precursors and associated pollutants; NO₂ was measured in 73% of the hours, with structural blocks of missing data due to operation and maintenance. The meteorological variables were taken from the ERA5 reanalysis (</w:t>
      </w:r>
      <w:proofErr w:type="spellStart"/>
      <w:r w:rsidRPr="007D5663">
        <w:t>Hersbach</w:t>
      </w:r>
      <w:proofErr w:type="spellEnd"/>
      <w:r w:rsidRPr="007D5663">
        <w:t xml:space="preserve"> et al., 2020), downloaded per station and per year and corrected to local time. ERA5 was used because the meteorological records available for this study did not have the continuity and documentation required for homogeneous integration over the whole period; ERA5 was, therefore, the temporally homogeneous meteorological source selected and validated for this work. The NO₂ tropospheric columns of TROPOMI/Sentinel-5P (Veefkind et al., 2012) — a consolidated product for urban tropospheric NO₂ monitoring (Shabbir et al., 2024) — were obtained from the reprocessed OFFL L3 product, which applies the recommended quality filter (</w:t>
      </w:r>
      <w:proofErr w:type="spellStart"/>
      <w:r w:rsidRPr="007D5663">
        <w:t>qa_value</w:t>
      </w:r>
      <w:proofErr w:type="spellEnd"/>
      <w:r w:rsidRPr="007D5663">
        <w:t xml:space="preserve"> &gt; 0.75) in its gridding. These columns were averaged within a 3.5 km radius around each station — comparable to the native footprint of the sensor, of the order of 3.5 × 5.5 km — and were incorporated with a causal lag of one day (the orbital overpass occurs at around 13:30 local time). The merge yields an analytical dataset of 184,104 hourly records (61,368 timestamps × 3 stations) and, after feature construction, a matrix of 52 columns; approximately 134,000 samples per horizon have a target available for training. Missing-data handling is model-specific: </w:t>
      </w:r>
      <w:proofErr w:type="spellStart"/>
      <w:r w:rsidRPr="007D5663">
        <w:t>XGBoost</w:t>
      </w:r>
      <w:proofErr w:type="spellEnd"/>
      <w:r w:rsidRPr="007D5663">
        <w:t xml:space="preserve"> handles them natively in its splits; Ridge and Random Forest use a median imputer fitted on training data only; the recurrent networks (LSTM/GRU) use masking with an availability channel.</w:t>
      </w:r>
    </w:p>
    <w:p w14:paraId="093FFDAE" w14:textId="77777777" w:rsidR="00714291" w:rsidRPr="007D5663" w:rsidRDefault="00000000" w:rsidP="00A30C99">
      <w:pPr>
        <w:pStyle w:val="Heading2"/>
        <w:spacing w:line="360" w:lineRule="auto"/>
      </w:pPr>
      <w:r w:rsidRPr="007D5663">
        <w:lastRenderedPageBreak/>
        <w:t xml:space="preserve">4 Data-processing </w:t>
      </w:r>
      <w:proofErr w:type="gramStart"/>
      <w:r w:rsidRPr="007D5663">
        <w:t>pipeline</w:t>
      </w:r>
      <w:proofErr w:type="gramEnd"/>
      <w:r w:rsidRPr="007D5663">
        <w:t xml:space="preserve"> (detailed)</w:t>
      </w:r>
    </w:p>
    <w:p w14:paraId="3A4AFC43" w14:textId="69BC622A" w:rsidR="00A30C99" w:rsidRPr="007D5663" w:rsidRDefault="00000000" w:rsidP="00A30C99">
      <w:pPr>
        <w:pStyle w:val="FirstParagraph"/>
        <w:spacing w:before="0" w:after="0" w:line="276" w:lineRule="auto"/>
        <w:jc w:val="both"/>
      </w:pPr>
      <w:r w:rsidRPr="007D5663">
        <w:t xml:space="preserve">The processing was implemented entirely in Python (pandas, </w:t>
      </w:r>
      <w:proofErr w:type="spellStart"/>
      <w:r w:rsidRPr="007D5663">
        <w:t>numpy</w:t>
      </w:r>
      <w:proofErr w:type="spellEnd"/>
      <w:r w:rsidRPr="007D5663">
        <w:t xml:space="preserve">, </w:t>
      </w:r>
      <w:proofErr w:type="spellStart"/>
      <w:r w:rsidRPr="007D5663">
        <w:t>xarray</w:t>
      </w:r>
      <w:proofErr w:type="spellEnd"/>
      <w:r w:rsidRPr="007D5663">
        <w:t xml:space="preserve">, scikit-learn, </w:t>
      </w:r>
      <w:proofErr w:type="spellStart"/>
      <w:r w:rsidRPr="007D5663">
        <w:t>xgboost</w:t>
      </w:r>
      <w:proofErr w:type="spellEnd"/>
      <w:r w:rsidRPr="007D5663">
        <w:t xml:space="preserve">, </w:t>
      </w:r>
      <w:proofErr w:type="spellStart"/>
      <w:r w:rsidRPr="007D5663">
        <w:t>PyTorch</w:t>
      </w:r>
      <w:proofErr w:type="spellEnd"/>
      <w:r w:rsidRPr="007D5663">
        <w:t>) with a modular design: each source is ingested and validated independently before being merged onto a common canonical hourly grid.</w:t>
      </w:r>
    </w:p>
    <w:p w14:paraId="5996D3FE" w14:textId="77777777" w:rsidR="00A30C99" w:rsidRPr="007D5663" w:rsidRDefault="00A30C99" w:rsidP="00A30C99">
      <w:pPr>
        <w:pStyle w:val="Compact"/>
        <w:spacing w:before="0" w:after="0" w:line="276" w:lineRule="auto"/>
        <w:ind w:left="480"/>
        <w:jc w:val="both"/>
      </w:pPr>
    </w:p>
    <w:p w14:paraId="7CA7F01E" w14:textId="53AAC6BB" w:rsidR="00714291" w:rsidRPr="007D5663" w:rsidRDefault="00000000" w:rsidP="00A30C99">
      <w:pPr>
        <w:pStyle w:val="Compact"/>
        <w:numPr>
          <w:ilvl w:val="0"/>
          <w:numId w:val="1"/>
        </w:numPr>
        <w:spacing w:before="0" w:after="0" w:line="276" w:lineRule="auto"/>
        <w:jc w:val="both"/>
      </w:pPr>
      <w:r w:rsidRPr="007D5663">
        <w:rPr>
          <w:b/>
        </w:rPr>
        <w:t>Surface data (APRA).</w:t>
      </w:r>
      <w:r w:rsidRPr="007D5663">
        <w:t xml:space="preserve"> Delivered in a legacy spreadsheet format with a particular time encoding that required reconstructing the hourly index from the anchor row of each day. Physical checks were applied as acceptance conditions: the NOₓ ≈ NO + NO₂ balance stayed within ±0.6 ppb in 85.4% of the hours, and there were no negative values. NO₂ was measured in 73% of the hours, with gaps in structural blocks associated with instrument operation and maintenance.</w:t>
      </w:r>
    </w:p>
    <w:p w14:paraId="51B39DDE" w14:textId="77777777" w:rsidR="00714291" w:rsidRPr="007D5663" w:rsidRDefault="00000000" w:rsidP="00A30C99">
      <w:pPr>
        <w:pStyle w:val="Compact"/>
        <w:numPr>
          <w:ilvl w:val="0"/>
          <w:numId w:val="1"/>
        </w:numPr>
        <w:spacing w:before="0" w:after="0" w:line="276" w:lineRule="auto"/>
        <w:jc w:val="both"/>
      </w:pPr>
      <w:r w:rsidRPr="007D5663">
        <w:rPr>
          <w:b/>
        </w:rPr>
        <w:t>Meteorological reanalysis (ERA5).</w:t>
      </w:r>
      <w:r w:rsidRPr="007D5663">
        <w:t xml:space="preserve"> Downloaded per station and per year through the Climate Data Store API (</w:t>
      </w:r>
      <w:proofErr w:type="spellStart"/>
      <w:r w:rsidRPr="007D5663">
        <w:t>cdsapi</w:t>
      </w:r>
      <w:proofErr w:type="spellEnd"/>
      <w:r w:rsidRPr="007D5663">
        <w:t xml:space="preserve">), with unit conversion and a </w:t>
      </w:r>
      <w:proofErr w:type="spellStart"/>
      <w:r w:rsidRPr="007D5663">
        <w:t>UTC→local</w:t>
      </w:r>
      <w:proofErr w:type="spellEnd"/>
      <w:r w:rsidRPr="007D5663">
        <w:t xml:space="preserve"> time correction (UTC−3) validated against the expected diurnal cycles.</w:t>
      </w:r>
    </w:p>
    <w:p w14:paraId="72BC27EF" w14:textId="77777777" w:rsidR="00714291" w:rsidRPr="007D5663" w:rsidRDefault="00000000" w:rsidP="00A30C99">
      <w:pPr>
        <w:pStyle w:val="Compact"/>
        <w:numPr>
          <w:ilvl w:val="0"/>
          <w:numId w:val="1"/>
        </w:numPr>
        <w:spacing w:before="0" w:after="0" w:line="276" w:lineRule="auto"/>
        <w:jc w:val="both"/>
      </w:pPr>
      <w:r w:rsidRPr="007D5663">
        <w:rPr>
          <w:b/>
        </w:rPr>
        <w:t>Satellite (TROPOMI/Sentinel-5P).</w:t>
      </w:r>
      <w:r w:rsidRPr="007D5663">
        <w:t xml:space="preserve"> Spatially aggregated in Google Earth Engine and incorporated with a causal lag of one day, so that only information available at prediction time is used.</w:t>
      </w:r>
    </w:p>
    <w:p w14:paraId="3754F74F" w14:textId="77777777" w:rsidR="00714291" w:rsidRPr="007D5663" w:rsidRDefault="00000000" w:rsidP="00A30C99">
      <w:pPr>
        <w:pStyle w:val="Compact"/>
        <w:numPr>
          <w:ilvl w:val="0"/>
          <w:numId w:val="1"/>
        </w:numPr>
        <w:spacing w:before="0" w:after="0" w:line="276" w:lineRule="auto"/>
        <w:jc w:val="both"/>
      </w:pPr>
      <w:r w:rsidRPr="007D5663">
        <w:rPr>
          <w:b/>
        </w:rPr>
        <w:t>Interfaces and traceability.</w:t>
      </w:r>
      <w:r w:rsidRPr="007D5663">
        <w:t xml:space="preserve"> The download mechanics, the programmatic interfaces (</w:t>
      </w:r>
      <w:proofErr w:type="spellStart"/>
      <w:r w:rsidRPr="007D5663">
        <w:t>cdsapi</w:t>
      </w:r>
      <w:proofErr w:type="spellEnd"/>
      <w:r w:rsidRPr="007D5663">
        <w:t xml:space="preserve">, Google Earth Engine) and the persisted intermediate artefacts that guarantee the exact correspondence between reported and modelled data are documented here and in the </w:t>
      </w:r>
      <w:proofErr w:type="gramStart"/>
      <w:r w:rsidRPr="007D5663">
        <w:t>reproducibility</w:t>
      </w:r>
      <w:proofErr w:type="gramEnd"/>
      <w:r w:rsidRPr="007D5663">
        <w:t xml:space="preserve"> package accompanying the article.</w:t>
      </w:r>
    </w:p>
    <w:p w14:paraId="0C254C93" w14:textId="77777777" w:rsidR="00A30C99" w:rsidRPr="007D5663" w:rsidRDefault="00A30C99" w:rsidP="00A30C99">
      <w:pPr>
        <w:pStyle w:val="FirstParagraph"/>
        <w:spacing w:before="0" w:after="0" w:line="276" w:lineRule="auto"/>
        <w:jc w:val="both"/>
        <w:rPr>
          <w:b/>
          <w:bCs/>
        </w:rPr>
      </w:pPr>
    </w:p>
    <w:p w14:paraId="51A0525D" w14:textId="7083D23C" w:rsidR="00714291" w:rsidRPr="007D5663" w:rsidRDefault="00000000" w:rsidP="00A30C99">
      <w:pPr>
        <w:pStyle w:val="FirstParagraph"/>
        <w:spacing w:before="0" w:after="0" w:line="276" w:lineRule="auto"/>
        <w:jc w:val="both"/>
      </w:pPr>
      <w:r w:rsidRPr="007D5663">
        <w:rPr>
          <w:b/>
          <w:bCs/>
        </w:rPr>
        <w:t>Missing-data handling.</w:t>
      </w:r>
      <w:r w:rsidRPr="007D5663">
        <w:t xml:space="preserve"> The treatment is model-specific: </w:t>
      </w:r>
      <w:proofErr w:type="spellStart"/>
      <w:r w:rsidRPr="007D5663">
        <w:t>XGBoost</w:t>
      </w:r>
      <w:proofErr w:type="spellEnd"/>
      <w:r w:rsidRPr="007D5663">
        <w:t xml:space="preserve"> handles missing values natively in its splits; Ridge and Random Forest use a median imputer fitted on the training set only; the recurrent networks (LSTM/GRU) use masking with an availability channel. Prolonged instrument outages, typical of a sparse network, thus do not automatically trigger exclusion: </w:t>
      </w:r>
      <w:proofErr w:type="spellStart"/>
      <w:r w:rsidRPr="007D5663">
        <w:t>XGBoost</w:t>
      </w:r>
      <w:proofErr w:type="spellEnd"/>
      <w:r w:rsidRPr="007D5663">
        <w:t xml:space="preserve"> and the recurrent networks can represent, implicitly or explicitly, availability patterns, whereas Ridge and Random Forest receive values imputed by means of statistics computed exclusively on the training set and do not necessarily receive an explicit indicator of absence.</w:t>
      </w:r>
    </w:p>
    <w:p w14:paraId="0E848A43" w14:textId="77777777" w:rsidR="00714291" w:rsidRPr="007D5663" w:rsidRDefault="00000000" w:rsidP="00A30C99">
      <w:pPr>
        <w:pStyle w:val="Heading2"/>
        <w:spacing w:line="360" w:lineRule="auto"/>
      </w:pPr>
      <w:r w:rsidRPr="007D5663">
        <w:t>5 Model families, nested ablation and uniform tuning budget</w:t>
      </w:r>
    </w:p>
    <w:p w14:paraId="0DB8E2F7" w14:textId="78184949" w:rsidR="00714291" w:rsidRPr="007D5663" w:rsidRDefault="00000000" w:rsidP="00A30C99">
      <w:pPr>
        <w:pStyle w:val="FirstParagraph"/>
        <w:spacing w:before="0" w:after="0" w:line="276" w:lineRule="auto"/>
        <w:jc w:val="both"/>
      </w:pPr>
      <w:r w:rsidRPr="007D5663">
        <w:t xml:space="preserve">To attribute the contribution of each source, a nested ablation scheme was defined: A (autoregressive NO₂ + calendar), B (A + precursors + meteorology) and C (B + satellite). Eight main approaches were evaluated, together with a weekly variant of persistence, grouped into six methodological families: a naive persistence baseline (which projects the last observed value), with its weekly seasonal variant as a reference; a classical statistical model (SARIMA, fitted per station and evaluated as a rolling fixed-parameter forecast with daily cadence, avoiding averaging across stations) and its extension with exogenous meteorology (SARIMAX, seasonal autoregressive integrated moving average with exogenous regressors; specified in §7; the artefacts of the package retain for this model the historical internal label ARIMAX); a </w:t>
      </w:r>
      <w:proofErr w:type="spellStart"/>
      <w:r w:rsidRPr="007D5663">
        <w:lastRenderedPageBreak/>
        <w:t>regularised</w:t>
      </w:r>
      <w:proofErr w:type="spellEnd"/>
      <w:r w:rsidRPr="007D5663">
        <w:t xml:space="preserve"> linear model (Ridge; Hoerl &amp; Kennard, 1970); tree ensembles — Random Forest, by bagging, and </w:t>
      </w:r>
      <w:proofErr w:type="spellStart"/>
      <w:r w:rsidRPr="007D5663">
        <w:t>XGBoost</w:t>
      </w:r>
      <w:proofErr w:type="spellEnd"/>
      <w:r w:rsidRPr="007D5663">
        <w:t xml:space="preserve">, by gradient boosting (Chen &amp; </w:t>
      </w:r>
      <w:proofErr w:type="spellStart"/>
      <w:r w:rsidRPr="007D5663">
        <w:t>Guestrin</w:t>
      </w:r>
      <w:proofErr w:type="spellEnd"/>
      <w:r w:rsidRPr="007D5663">
        <w:t xml:space="preserve">, 2016); and recurrent networks (LSTM and GRU). The hyperparameters of each family are </w:t>
      </w:r>
      <w:proofErr w:type="spellStart"/>
      <w:r w:rsidRPr="007D5663">
        <w:t>summarised</w:t>
      </w:r>
      <w:proofErr w:type="spellEnd"/>
      <w:r w:rsidRPr="007D5663">
        <w:t xml:space="preserve"> in Table OR1-1. They were fixed a priori at standard values, identical across evaluation regimes and without any search on the evaluation year: a uniform and deliberately limited tuning budget that conditions </w:t>
      </w:r>
      <w:proofErr w:type="gramStart"/>
      <w:r w:rsidRPr="007D5663">
        <w:t>in particular</w:t>
      </w:r>
      <w:proofErr w:type="gramEnd"/>
      <w:r w:rsidRPr="007D5663">
        <w:t xml:space="preserve"> the comparison with the recurrent networks, which are more sensitive to tuning than the other families. The ERA5 meteorology enters with its values at the issue time t — and not at the valid time </w:t>
      </w:r>
      <w:proofErr w:type="spellStart"/>
      <w:r w:rsidRPr="007D5663">
        <w:t>t+h</w:t>
      </w:r>
      <w:proofErr w:type="spellEnd"/>
      <w:r w:rsidRPr="007D5663">
        <w:t xml:space="preserve"> — a causal and conservative choice whose </w:t>
      </w:r>
      <w:proofErr w:type="spellStart"/>
      <w:r w:rsidRPr="007D5663">
        <w:t>idealisation</w:t>
      </w:r>
      <w:proofErr w:type="spellEnd"/>
      <w:r w:rsidRPr="007D5663">
        <w:t xml:space="preserve"> of availability is bounded empirically by sensitivity analysis (see Limitations in the main text). Performance was quantified with the RMSE, the MAE and the coefficient of determination (R²), under an eight-fold blocked temporal cross-validation that respects the temporal structure and avoids information leakage (</w:t>
      </w:r>
      <w:proofErr w:type="spellStart"/>
      <w:r w:rsidRPr="007D5663">
        <w:t>Bergmeir</w:t>
      </w:r>
      <w:proofErr w:type="spellEnd"/>
      <w:r w:rsidRPr="007D5663">
        <w:t xml:space="preserve"> &amp; Benítez, 2012) (Online Resource 2, Table S5). Significance was assessed with the Diebold–Mariano test with a HAC correction (Diebold &amp; Mariano, 1995) on the 2025 evaluation year, and with Wilcoxon tests across folds; the intervals were obtained by block bootstrap (</w:t>
      </w:r>
      <w:proofErr w:type="spellStart"/>
      <w:r w:rsidRPr="007D5663">
        <w:t>Künsch</w:t>
      </w:r>
      <w:proofErr w:type="spellEnd"/>
      <w:r w:rsidRPr="007D5663">
        <w:t xml:space="preserve">, 1989). Interpretability was addressed with SHAP values (Lundberg &amp; Lee, 2017). The modelling matrix has 52 columns: 46 predictive features (set </w:t>
      </w:r>
      <w:proofErr w:type="spellStart"/>
      <w:r w:rsidRPr="007D5663">
        <w:t>C_full</w:t>
      </w:r>
      <w:proofErr w:type="spellEnd"/>
      <w:r w:rsidRPr="007D5663">
        <w:t xml:space="preserve"> in </w:t>
      </w:r>
      <w:proofErr w:type="spellStart"/>
      <w:r w:rsidRPr="007D5663">
        <w:t>feature_</w:t>
      </w:r>
      <w:proofErr w:type="gramStart"/>
      <w:r w:rsidRPr="007D5663">
        <w:t>meta.json</w:t>
      </w:r>
      <w:proofErr w:type="spellEnd"/>
      <w:proofErr w:type="gramEnd"/>
      <w:r w:rsidRPr="007D5663">
        <w:t>), 3 identifiers (</w:t>
      </w:r>
      <w:proofErr w:type="spellStart"/>
      <w:r w:rsidRPr="007D5663">
        <w:t>ts</w:t>
      </w:r>
      <w:proofErr w:type="spellEnd"/>
      <w:r w:rsidRPr="007D5663">
        <w:t>, station, year) and 3 targets (y_h24/48/72); of those 46 features, A uses 12 and B uses 43.</w:t>
      </w:r>
    </w:p>
    <w:p w14:paraId="08E7E12B" w14:textId="77777777" w:rsidR="00714291" w:rsidRPr="007D5663" w:rsidRDefault="00000000">
      <w:pPr>
        <w:pStyle w:val="Heading3"/>
        <w:spacing w:line="276" w:lineRule="auto"/>
      </w:pPr>
      <w:r w:rsidRPr="007D5663">
        <w:t>Hyperparameters (fixed a priori, identical across regimes)</w:t>
      </w:r>
    </w:p>
    <w:p w14:paraId="42B5F461" w14:textId="77777777" w:rsidR="00FB7078" w:rsidRPr="007D5663" w:rsidRDefault="00000000">
      <w:pPr>
        <w:pStyle w:val="BodyText"/>
        <w:keepNext/>
        <w:keepLines/>
        <w:spacing w:after="60" w:line="276" w:lineRule="auto"/>
      </w:pPr>
      <w:r w:rsidRPr="007D5663">
        <w:rPr>
          <w:b/>
        </w:rPr>
        <w:t xml:space="preserve">Table OR1-1 </w:t>
      </w:r>
      <w:r w:rsidRPr="007D5663">
        <w:t>Hyperparameters of each model family, fixed a priori and identical across data regimes</w:t>
      </w:r>
    </w:p>
    <w:tbl>
      <w:tblPr>
        <w:tblStyle w:val="Table"/>
        <w:tblW w:w="5000" w:type="pct"/>
        <w:tblInd w:w="0" w:type="dxa"/>
        <w:tblBorders>
          <w:top w:val="single" w:sz="8" w:space="0" w:color="000000"/>
          <w:bottom w:val="single" w:sz="8" w:space="0" w:color="000000"/>
        </w:tblBorders>
        <w:tblLayout w:type="fixed"/>
        <w:tblLook w:val="07E0" w:firstRow="1" w:lastRow="1" w:firstColumn="1" w:lastColumn="1" w:noHBand="1" w:noVBand="1"/>
      </w:tblPr>
      <w:tblGrid>
        <w:gridCol w:w="2802"/>
        <w:gridCol w:w="6774"/>
      </w:tblGrid>
      <w:tr w:rsidR="00714291" w:rsidRPr="006259EE" w14:paraId="67B59F90" w14:textId="77777777" w:rsidTr="006259EE">
        <w:trPr>
          <w:cantSplit/>
          <w:tblHeader/>
        </w:trPr>
        <w:tc>
          <w:tcPr>
            <w:tcW w:w="2802" w:type="dxa"/>
            <w:tcBorders>
              <w:bottom w:val="single" w:sz="6" w:space="0" w:color="000000"/>
            </w:tcBorders>
            <w:vAlign w:val="bottom"/>
          </w:tcPr>
          <w:p w14:paraId="596D0B32" w14:textId="77777777" w:rsidR="00714291" w:rsidRPr="006259EE" w:rsidRDefault="00000000">
            <w:pPr>
              <w:pStyle w:val="Compact"/>
              <w:rPr>
                <w:rFonts w:ascii="Times New Roman" w:eastAsia="Times New Roman" w:hAnsi="Times New Roman"/>
                <w:b/>
                <w:bCs/>
              </w:rPr>
            </w:pPr>
            <w:r>
              <w:rPr>
                <w:rFonts w:eastAsia="Times New Roman"/>
                <w:b/>
                <w:bCs/>
              </w:rPr>
              <w:t>Model</w:t>
            </w:r>
          </w:p>
        </w:tc>
        <w:tc>
          <w:tcPr>
            <w:tcW w:w="6774" w:type="dxa"/>
            <w:tcBorders>
              <w:bottom w:val="single" w:sz="6" w:space="0" w:color="000000"/>
            </w:tcBorders>
            <w:vAlign w:val="bottom"/>
          </w:tcPr>
          <w:p w14:paraId="475374D3" w14:textId="77777777" w:rsidR="00714291" w:rsidRPr="006259EE" w:rsidRDefault="00000000">
            <w:pPr>
              <w:pStyle w:val="Compact"/>
              <w:rPr>
                <w:rFonts w:ascii="Times New Roman" w:eastAsia="Times New Roman" w:hAnsi="Times New Roman"/>
                <w:b/>
                <w:bCs/>
              </w:rPr>
            </w:pPr>
            <w:r>
              <w:rPr>
                <w:rFonts w:eastAsia="Times New Roman"/>
                <w:b/>
                <w:bCs/>
              </w:rPr>
              <w:t>Hyperparameters</w:t>
            </w:r>
          </w:p>
        </w:tc>
      </w:tr>
      <w:tr w:rsidR="00714291" w:rsidRPr="002F017F" w14:paraId="2A0E9260" w14:textId="77777777" w:rsidTr="006259EE">
        <w:trPr>
          <w:cantSplit/>
        </w:trPr>
        <w:tc>
          <w:tcPr>
            <w:tcW w:w="2802" w:type="dxa"/>
          </w:tcPr>
          <w:p w14:paraId="3DB73A25" w14:textId="77777777" w:rsidR="00714291" w:rsidRPr="006259EE" w:rsidRDefault="00000000">
            <w:pPr>
              <w:pStyle w:val="Compact"/>
              <w:rPr>
                <w:rFonts w:ascii="Times New Roman" w:eastAsia="Times New Roman" w:hAnsi="Times New Roman"/>
              </w:rPr>
            </w:pPr>
            <w:r>
              <w:rPr>
                <w:rFonts w:eastAsia="Times New Roman"/>
              </w:rPr>
              <w:t>Persistence</w:t>
            </w:r>
          </w:p>
        </w:tc>
        <w:tc>
          <w:tcPr>
            <w:tcW w:w="6774" w:type="dxa"/>
          </w:tcPr>
          <w:p w14:paraId="393E6752" w14:textId="77777777" w:rsidR="00714291" w:rsidRPr="007D5663" w:rsidRDefault="00000000">
            <w:pPr>
              <w:pStyle w:val="Compact"/>
              <w:rPr>
                <w:rFonts w:ascii="Times New Roman" w:eastAsia="Times New Roman" w:hAnsi="Times New Roman"/>
              </w:rPr>
            </w:pPr>
            <w:r w:rsidRPr="007D5663">
              <w:rPr>
                <w:rFonts w:eastAsia="Times New Roman"/>
              </w:rPr>
              <w:t>ŷ(</w:t>
            </w:r>
            <w:proofErr w:type="spellStart"/>
            <w:r w:rsidRPr="007D5663">
              <w:rPr>
                <w:rFonts w:eastAsia="Times New Roman"/>
              </w:rPr>
              <w:t>t+h</w:t>
            </w:r>
            <w:proofErr w:type="spellEnd"/>
            <w:r w:rsidRPr="007D5663">
              <w:rPr>
                <w:rFonts w:eastAsia="Times New Roman"/>
              </w:rPr>
              <w:t>) = NO₂(t); no parameters</w:t>
            </w:r>
          </w:p>
        </w:tc>
      </w:tr>
      <w:tr w:rsidR="00714291" w:rsidRPr="002F017F" w14:paraId="477E76E2" w14:textId="77777777" w:rsidTr="006259EE">
        <w:trPr>
          <w:cantSplit/>
        </w:trPr>
        <w:tc>
          <w:tcPr>
            <w:tcW w:w="2802" w:type="dxa"/>
          </w:tcPr>
          <w:p w14:paraId="0C1241B3" w14:textId="77777777" w:rsidR="00714291" w:rsidRPr="006259EE" w:rsidRDefault="00000000">
            <w:pPr>
              <w:pStyle w:val="Compact"/>
              <w:rPr>
                <w:rFonts w:ascii="Times New Roman" w:eastAsia="Times New Roman" w:hAnsi="Times New Roman"/>
              </w:rPr>
            </w:pPr>
            <w:r>
              <w:rPr>
                <w:rFonts w:eastAsia="Times New Roman"/>
              </w:rPr>
              <w:t>Seasonal persistence</w:t>
            </w:r>
          </w:p>
        </w:tc>
        <w:tc>
          <w:tcPr>
            <w:tcW w:w="6774" w:type="dxa"/>
          </w:tcPr>
          <w:p w14:paraId="336F14D1" w14:textId="77777777" w:rsidR="00714291" w:rsidRPr="007D5663" w:rsidRDefault="00000000">
            <w:pPr>
              <w:pStyle w:val="Compact"/>
              <w:rPr>
                <w:rFonts w:ascii="Times New Roman" w:eastAsia="Times New Roman" w:hAnsi="Times New Roman"/>
              </w:rPr>
            </w:pPr>
            <w:r w:rsidRPr="007D5663">
              <w:rPr>
                <w:rFonts w:eastAsia="Times New Roman"/>
              </w:rPr>
              <w:t>ŷ(</w:t>
            </w:r>
            <w:proofErr w:type="spellStart"/>
            <w:r w:rsidRPr="007D5663">
              <w:rPr>
                <w:rFonts w:eastAsia="Times New Roman"/>
              </w:rPr>
              <w:t>t+h</w:t>
            </w:r>
            <w:proofErr w:type="spellEnd"/>
            <w:r w:rsidRPr="007D5663">
              <w:rPr>
                <w:rFonts w:eastAsia="Times New Roman"/>
              </w:rPr>
              <w:t>) = NO₂(t+h−168); weekly window</w:t>
            </w:r>
          </w:p>
        </w:tc>
      </w:tr>
      <w:tr w:rsidR="00714291" w:rsidRPr="002F017F" w14:paraId="0AD44DB2" w14:textId="77777777" w:rsidTr="006259EE">
        <w:trPr>
          <w:cantSplit/>
        </w:trPr>
        <w:tc>
          <w:tcPr>
            <w:tcW w:w="2802" w:type="dxa"/>
          </w:tcPr>
          <w:p w14:paraId="59A39796" w14:textId="77777777" w:rsidR="00714291" w:rsidRPr="006259EE" w:rsidRDefault="00000000">
            <w:pPr>
              <w:pStyle w:val="Compact"/>
              <w:rPr>
                <w:rFonts w:ascii="Times New Roman" w:eastAsia="Times New Roman" w:hAnsi="Times New Roman"/>
              </w:rPr>
            </w:pPr>
            <w:r>
              <w:rPr>
                <w:rFonts w:eastAsia="Times New Roman"/>
              </w:rPr>
              <w:t>SARIMA</w:t>
            </w:r>
          </w:p>
        </w:tc>
        <w:tc>
          <w:tcPr>
            <w:tcW w:w="6774" w:type="dxa"/>
          </w:tcPr>
          <w:p w14:paraId="73FB4D60" w14:textId="77777777" w:rsidR="00714291" w:rsidRPr="007D5663" w:rsidRDefault="00000000" w:rsidP="00CA6F28">
            <w:pPr>
              <w:pStyle w:val="Compact"/>
              <w:jc w:val="both"/>
              <w:rPr>
                <w:rFonts w:ascii="Times New Roman" w:eastAsia="Times New Roman" w:hAnsi="Times New Roman"/>
              </w:rPr>
            </w:pPr>
            <w:proofErr w:type="spellStart"/>
            <w:r w:rsidRPr="007D5663">
              <w:rPr>
                <w:rFonts w:eastAsia="Times New Roman"/>
              </w:rPr>
              <w:t>statsmodels</w:t>
            </w:r>
            <w:proofErr w:type="spellEnd"/>
            <w:r w:rsidRPr="007D5663">
              <w:rPr>
                <w:rFonts w:eastAsia="Times New Roman"/>
              </w:rPr>
              <w:t xml:space="preserve"> SARIMAX(1,0,0)(1,0,1,24): COMMON specification selected within training (2019–2024) among five candidates, with internal per-station hold-outs and an aggregate criterion (§7); fitted per station on its own previous years (without pooling across stations), with adaptive calendar windows and gaps treated as </w:t>
            </w:r>
            <w:proofErr w:type="spellStart"/>
            <w:r w:rsidRPr="007D5663">
              <w:rPr>
                <w:rFonts w:eastAsia="Times New Roman"/>
              </w:rPr>
              <w:t>NaN</w:t>
            </w:r>
            <w:proofErr w:type="spellEnd"/>
            <w:r w:rsidRPr="007D5663">
              <w:rPr>
                <w:rFonts w:eastAsia="Times New Roman"/>
              </w:rPr>
              <w:t xml:space="preserve"> by the Kalman filter; parameters frozen and applied as a rolling fixed-parameter forecast issued with daily cadence (2-week filtering window per origin), producing genuine forecasts at +24/+48/+72 h.</w:t>
            </w:r>
          </w:p>
        </w:tc>
      </w:tr>
      <w:tr w:rsidR="00714291" w:rsidRPr="002F017F" w14:paraId="3DC8EAF3" w14:textId="77777777" w:rsidTr="006259EE">
        <w:trPr>
          <w:cantSplit/>
        </w:trPr>
        <w:tc>
          <w:tcPr>
            <w:tcW w:w="2802" w:type="dxa"/>
          </w:tcPr>
          <w:p w14:paraId="0DB555D9" w14:textId="77777777" w:rsidR="00714291" w:rsidRPr="006259EE" w:rsidRDefault="00000000">
            <w:pPr>
              <w:pStyle w:val="Compact"/>
              <w:rPr>
                <w:rFonts w:ascii="Times New Roman" w:eastAsia="Times New Roman" w:hAnsi="Times New Roman"/>
              </w:rPr>
            </w:pPr>
            <w:r>
              <w:rPr>
                <w:rFonts w:eastAsia="Times New Roman"/>
              </w:rPr>
              <w:lastRenderedPageBreak/>
              <w:t>SARIMAX</w:t>
            </w:r>
          </w:p>
        </w:tc>
        <w:tc>
          <w:tcPr>
            <w:tcW w:w="6774" w:type="dxa"/>
          </w:tcPr>
          <w:p w14:paraId="00AB1172" w14:textId="77777777" w:rsidR="00714291" w:rsidRPr="007D5663" w:rsidRDefault="00000000" w:rsidP="00CA6F28">
            <w:pPr>
              <w:pStyle w:val="Compact"/>
              <w:jc w:val="both"/>
              <w:rPr>
                <w:rFonts w:ascii="Times New Roman" w:eastAsia="Times New Roman" w:hAnsi="Times New Roman"/>
              </w:rPr>
            </w:pPr>
            <w:proofErr w:type="gramStart"/>
            <w:r w:rsidRPr="007D5663">
              <w:rPr>
                <w:rFonts w:eastAsia="Times New Roman"/>
              </w:rPr>
              <w:t>SARIMAX(</w:t>
            </w:r>
            <w:proofErr w:type="gramEnd"/>
            <w:r w:rsidRPr="007D5663">
              <w:rPr>
                <w:rFonts w:eastAsia="Times New Roman"/>
              </w:rPr>
              <w:t>1,0,</w:t>
            </w:r>
            <w:proofErr w:type="gramStart"/>
            <w:r w:rsidRPr="007D5663">
              <w:rPr>
                <w:rFonts w:eastAsia="Times New Roman"/>
              </w:rPr>
              <w:t>0)(</w:t>
            </w:r>
            <w:proofErr w:type="gramEnd"/>
            <w:r w:rsidRPr="007D5663">
              <w:rPr>
                <w:rFonts w:eastAsia="Times New Roman"/>
              </w:rPr>
              <w:t xml:space="preserve">1,0,1,24) with exogenous meteorology — boundary layer height, wind and temperature, taken at the forecast origin and held over the horizon, </w:t>
            </w:r>
            <w:proofErr w:type="spellStart"/>
            <w:r w:rsidRPr="007D5663">
              <w:rPr>
                <w:rFonts w:eastAsia="Times New Roman"/>
              </w:rPr>
              <w:t>standardised</w:t>
            </w:r>
            <w:proofErr w:type="spellEnd"/>
            <w:r w:rsidRPr="007D5663">
              <w:rPr>
                <w:rFonts w:eastAsia="Times New Roman"/>
              </w:rPr>
              <w:t xml:space="preserve"> and imputed as specified; same order as the selected SARIMA and the same rolling fixed-parameter protocol with daily cadence as SARIMA. A classical multivariate baseline that allows the contribution of exogenous information to be assessed in part against a more flexible nonlinear representation, without completely isolating information and complexity.</w:t>
            </w:r>
          </w:p>
        </w:tc>
      </w:tr>
      <w:tr w:rsidR="00714291" w:rsidRPr="002F017F" w14:paraId="065237AB" w14:textId="77777777" w:rsidTr="006259EE">
        <w:trPr>
          <w:cantSplit/>
        </w:trPr>
        <w:tc>
          <w:tcPr>
            <w:tcW w:w="2802" w:type="dxa"/>
          </w:tcPr>
          <w:p w14:paraId="5FEA5062" w14:textId="77777777" w:rsidR="00714291" w:rsidRPr="006259EE" w:rsidRDefault="00000000">
            <w:pPr>
              <w:pStyle w:val="Compact"/>
              <w:rPr>
                <w:rFonts w:ascii="Times New Roman" w:eastAsia="Times New Roman" w:hAnsi="Times New Roman"/>
              </w:rPr>
            </w:pPr>
            <w:r>
              <w:rPr>
                <w:rFonts w:eastAsia="Times New Roman"/>
              </w:rPr>
              <w:t>Ridge</w:t>
            </w:r>
          </w:p>
        </w:tc>
        <w:tc>
          <w:tcPr>
            <w:tcW w:w="6774" w:type="dxa"/>
          </w:tcPr>
          <w:p w14:paraId="3B1A9851" w14:textId="77777777" w:rsidR="00714291" w:rsidRPr="007D5663" w:rsidRDefault="00000000" w:rsidP="00CA6F28">
            <w:pPr>
              <w:pStyle w:val="Compact"/>
              <w:jc w:val="both"/>
              <w:rPr>
                <w:rFonts w:ascii="Times New Roman" w:eastAsia="Times New Roman" w:hAnsi="Times New Roman"/>
              </w:rPr>
            </w:pPr>
            <w:r w:rsidRPr="007D5663">
              <w:rPr>
                <w:rFonts w:eastAsia="Times New Roman"/>
              </w:rPr>
              <w:t>alpha = 10.0; scaler fitted on the training partition</w:t>
            </w:r>
          </w:p>
        </w:tc>
      </w:tr>
      <w:tr w:rsidR="00714291" w:rsidRPr="006259EE" w14:paraId="2FFB6C6B" w14:textId="77777777" w:rsidTr="006259EE">
        <w:trPr>
          <w:cantSplit/>
        </w:trPr>
        <w:tc>
          <w:tcPr>
            <w:tcW w:w="2802" w:type="dxa"/>
          </w:tcPr>
          <w:p w14:paraId="1B2E3F3D" w14:textId="77777777" w:rsidR="00714291" w:rsidRPr="006259EE" w:rsidRDefault="00000000">
            <w:pPr>
              <w:pStyle w:val="Compact"/>
              <w:rPr>
                <w:rFonts w:ascii="Times New Roman" w:eastAsia="Times New Roman" w:hAnsi="Times New Roman"/>
              </w:rPr>
            </w:pPr>
            <w:r>
              <w:rPr>
                <w:rFonts w:eastAsia="Times New Roman"/>
              </w:rPr>
              <w:t>Random Forest</w:t>
            </w:r>
          </w:p>
        </w:tc>
        <w:tc>
          <w:tcPr>
            <w:tcW w:w="6774" w:type="dxa"/>
          </w:tcPr>
          <w:p w14:paraId="583CCFC4" w14:textId="77777777" w:rsidR="00714291" w:rsidRPr="006259EE" w:rsidRDefault="00000000" w:rsidP="00CA6F28">
            <w:pPr>
              <w:pStyle w:val="Compact"/>
              <w:jc w:val="both"/>
              <w:rPr>
                <w:rFonts w:ascii="Times New Roman" w:eastAsia="Times New Roman" w:hAnsi="Times New Roman"/>
              </w:rPr>
            </w:pPr>
            <w:r>
              <w:rPr>
                <w:rFonts w:eastAsia="Times New Roman"/>
              </w:rPr>
              <w:t>n_estimators = 300; max_depth = 16; min_samples_leaf = 5; n_jobs = −1</w:t>
            </w:r>
          </w:p>
        </w:tc>
      </w:tr>
      <w:tr w:rsidR="00714291" w:rsidRPr="006259EE" w14:paraId="540D80D4" w14:textId="77777777" w:rsidTr="006259EE">
        <w:trPr>
          <w:cantSplit/>
        </w:trPr>
        <w:tc>
          <w:tcPr>
            <w:tcW w:w="2802" w:type="dxa"/>
          </w:tcPr>
          <w:p w14:paraId="5B7B1305" w14:textId="77777777" w:rsidR="00714291" w:rsidRPr="006259EE" w:rsidRDefault="00000000">
            <w:pPr>
              <w:pStyle w:val="Compact"/>
              <w:rPr>
                <w:rFonts w:ascii="Times New Roman" w:eastAsia="Times New Roman" w:hAnsi="Times New Roman"/>
              </w:rPr>
            </w:pPr>
            <w:r>
              <w:rPr>
                <w:rFonts w:eastAsia="Times New Roman"/>
              </w:rPr>
              <w:t>XGBoost</w:t>
            </w:r>
          </w:p>
        </w:tc>
        <w:tc>
          <w:tcPr>
            <w:tcW w:w="6774" w:type="dxa"/>
          </w:tcPr>
          <w:p w14:paraId="1B9591F7" w14:textId="77777777" w:rsidR="00714291" w:rsidRPr="006259EE" w:rsidRDefault="00000000" w:rsidP="00CA6F28">
            <w:pPr>
              <w:pStyle w:val="Compact"/>
              <w:jc w:val="both"/>
              <w:rPr>
                <w:rFonts w:ascii="Times New Roman" w:eastAsia="Times New Roman" w:hAnsi="Times New Roman"/>
              </w:rPr>
            </w:pPr>
            <w:r>
              <w:rPr>
                <w:rFonts w:eastAsia="Times New Roman"/>
              </w:rPr>
              <w:t>n_estimators = 500; max_depth = 6; learning_rate = 0.05; subsample = 0.8; colsample_bytree = 0.8; min_child_weight = 5</w:t>
            </w:r>
          </w:p>
        </w:tc>
      </w:tr>
      <w:tr w:rsidR="00714291" w:rsidRPr="002F017F" w14:paraId="70484617" w14:textId="77777777" w:rsidTr="006259EE">
        <w:trPr>
          <w:cantSplit/>
        </w:trPr>
        <w:tc>
          <w:tcPr>
            <w:tcW w:w="2802" w:type="dxa"/>
          </w:tcPr>
          <w:p w14:paraId="25142586" w14:textId="77777777" w:rsidR="00714291" w:rsidRPr="006259EE" w:rsidRDefault="00000000">
            <w:pPr>
              <w:pStyle w:val="Compact"/>
              <w:rPr>
                <w:rFonts w:ascii="Times New Roman" w:eastAsia="Times New Roman" w:hAnsi="Times New Roman"/>
              </w:rPr>
            </w:pPr>
            <w:r>
              <w:rPr>
                <w:rFonts w:eastAsia="Times New Roman"/>
              </w:rPr>
              <w:t>LSTM / GRU</w:t>
            </w:r>
          </w:p>
        </w:tc>
        <w:tc>
          <w:tcPr>
            <w:tcW w:w="6774" w:type="dxa"/>
          </w:tcPr>
          <w:p w14:paraId="10F05DB9" w14:textId="77777777" w:rsidR="00714291" w:rsidRPr="007D5663" w:rsidRDefault="00000000" w:rsidP="00CA6F28">
            <w:pPr>
              <w:pStyle w:val="Compact"/>
              <w:jc w:val="both"/>
              <w:rPr>
                <w:rFonts w:ascii="Times New Roman" w:eastAsia="Times New Roman" w:hAnsi="Times New Roman"/>
              </w:rPr>
            </w:pPr>
            <w:proofErr w:type="spellStart"/>
            <w:r w:rsidRPr="007D5663">
              <w:rPr>
                <w:rFonts w:eastAsia="Times New Roman"/>
              </w:rPr>
              <w:t>hidden_units</w:t>
            </w:r>
            <w:proofErr w:type="spellEnd"/>
            <w:r w:rsidRPr="007D5663">
              <w:rPr>
                <w:rFonts w:eastAsia="Times New Roman"/>
              </w:rPr>
              <w:t xml:space="preserve"> = 64; dropout = 0.2; dense head 32 + </w:t>
            </w:r>
            <w:proofErr w:type="spellStart"/>
            <w:r w:rsidRPr="007D5663">
              <w:rPr>
                <w:rFonts w:eastAsia="Times New Roman"/>
              </w:rPr>
              <w:t>ReLU</w:t>
            </w:r>
            <w:proofErr w:type="spellEnd"/>
            <w:r w:rsidRPr="007D5663">
              <w:rPr>
                <w:rFonts w:eastAsia="Times New Roman"/>
              </w:rPr>
              <w:t xml:space="preserve">; Adam </w:t>
            </w:r>
            <w:proofErr w:type="spellStart"/>
            <w:r w:rsidRPr="007D5663">
              <w:rPr>
                <w:rFonts w:eastAsia="Times New Roman"/>
              </w:rPr>
              <w:t>optimiser</w:t>
            </w:r>
            <w:proofErr w:type="spellEnd"/>
            <w:r w:rsidRPr="007D5663">
              <w:rPr>
                <w:rFonts w:eastAsia="Times New Roman"/>
              </w:rPr>
              <w:t xml:space="preserve">; </w:t>
            </w:r>
            <w:proofErr w:type="spellStart"/>
            <w:r w:rsidRPr="007D5663">
              <w:rPr>
                <w:rFonts w:eastAsia="Times New Roman"/>
              </w:rPr>
              <w:t>lr</w:t>
            </w:r>
            <w:proofErr w:type="spellEnd"/>
            <w:r w:rsidRPr="007D5663">
              <w:rPr>
                <w:rFonts w:eastAsia="Times New Roman"/>
              </w:rPr>
              <w:t xml:space="preserve"> = 1e−3; </w:t>
            </w:r>
            <w:proofErr w:type="spellStart"/>
            <w:r w:rsidRPr="007D5663">
              <w:rPr>
                <w:rFonts w:eastAsia="Times New Roman"/>
              </w:rPr>
              <w:t>weight_decay</w:t>
            </w:r>
            <w:proofErr w:type="spellEnd"/>
            <w:r w:rsidRPr="007D5663">
              <w:rPr>
                <w:rFonts w:eastAsia="Times New Roman"/>
              </w:rPr>
              <w:t xml:space="preserve"> = 1e−5; </w:t>
            </w:r>
            <w:proofErr w:type="spellStart"/>
            <w:r w:rsidRPr="007D5663">
              <w:rPr>
                <w:rFonts w:eastAsia="Times New Roman"/>
              </w:rPr>
              <w:t>batch_size</w:t>
            </w:r>
            <w:proofErr w:type="spellEnd"/>
            <w:r w:rsidRPr="007D5663">
              <w:rPr>
                <w:rFonts w:eastAsia="Times New Roman"/>
              </w:rPr>
              <w:t xml:space="preserve"> = 256; epochs ≤ 80; early stopping (patience = 10) on an internal PURGED CHRONOLOGICAL partition: last ~15% of the training data by target timestamp, with purging of sequences that cross the cut per station and strict exclusion of 2025 (module temporal_val_split.py; es_* columns in seq_*_metrics.csv); gradient clipping; </w:t>
            </w:r>
            <w:proofErr w:type="spellStart"/>
            <w:r w:rsidRPr="007D5663">
              <w:rPr>
                <w:rFonts w:eastAsia="Times New Roman"/>
              </w:rPr>
              <w:t>LayerNorm</w:t>
            </w:r>
            <w:proofErr w:type="spellEnd"/>
            <w:r w:rsidRPr="007D5663">
              <w:rPr>
                <w:rFonts w:eastAsia="Times New Roman"/>
              </w:rPr>
              <w:t>; delta formulation (NO₂(t−1+H) − NO₂(t−1))</w:t>
            </w:r>
          </w:p>
        </w:tc>
      </w:tr>
    </w:tbl>
    <w:p w14:paraId="019C5259" w14:textId="77777777" w:rsidR="00A30C99" w:rsidRPr="007D5663" w:rsidRDefault="00A30C99" w:rsidP="00A30C99">
      <w:pPr>
        <w:pStyle w:val="BodyText"/>
        <w:spacing w:before="0" w:after="0" w:line="276" w:lineRule="auto"/>
        <w:jc w:val="both"/>
        <w:rPr>
          <w:b/>
        </w:rPr>
      </w:pPr>
    </w:p>
    <w:p w14:paraId="1FB5CFED" w14:textId="294971B7" w:rsidR="00714291" w:rsidRPr="007D5663" w:rsidRDefault="00000000" w:rsidP="00A30C99">
      <w:pPr>
        <w:pStyle w:val="BodyText"/>
        <w:spacing w:before="0" w:after="0" w:line="276" w:lineRule="auto"/>
        <w:jc w:val="both"/>
      </w:pPr>
      <w:r>
        <w:rPr>
          <w:b/>
        </w:rPr>
        <w:t>Seeds:</w:t>
      </w:r>
      <w:r>
        <w:t xml:space="preserve"> SEED = 42 in all scripts (numpy, scikit-learn, XGBoost, PyTorch). </w:t>
      </w:r>
      <w:proofErr w:type="spellStart"/>
      <w:r w:rsidRPr="007D5663">
        <w:rPr>
          <w:b/>
        </w:rPr>
        <w:t>Standardisation</w:t>
      </w:r>
      <w:proofErr w:type="spellEnd"/>
      <w:r w:rsidRPr="007D5663">
        <w:rPr>
          <w:b/>
        </w:rPr>
        <w:t>:</w:t>
      </w:r>
      <w:r w:rsidRPr="007D5663">
        <w:t xml:space="preserve"> fitted only on the training partition of each fold. Reproducibility of the recurrent networks: LSTM/GRU are not bit-reproducible (</w:t>
      </w:r>
      <w:proofErr w:type="spellStart"/>
      <w:r w:rsidRPr="007D5663">
        <w:t>torch.use_deterministic_algorithms</w:t>
      </w:r>
      <w:proofErr w:type="spellEnd"/>
      <w:r w:rsidRPr="007D5663">
        <w:t xml:space="preserve"> is not set and the device may vary between CUDA and CPU); this does not affect any headline figure, since none depends on the recurrent networks. Prediction intervals: the generator is 01_scripts/05_analysis/make_intervals.py, an </w:t>
      </w:r>
      <w:proofErr w:type="spellStart"/>
      <w:r w:rsidRPr="007D5663">
        <w:t>XGBoost</w:t>
      </w:r>
      <w:proofErr w:type="spellEnd"/>
      <w:r w:rsidRPr="007D5663">
        <w:t xml:space="preserve"> quantile model (</w:t>
      </w:r>
      <w:proofErr w:type="spellStart"/>
      <w:proofErr w:type="gramStart"/>
      <w:r w:rsidRPr="007D5663">
        <w:t>reg:quantileerror</w:t>
      </w:r>
      <w:proofErr w:type="spellEnd"/>
      <w:proofErr w:type="gramEnd"/>
      <w:r w:rsidRPr="007D5663">
        <w:t>, levels 0.10/0.50/0.90) trained only on 2019–2024 (same matrix/split C as run_test2025.py); 2025 never takes part in its fitting.</w:t>
      </w:r>
    </w:p>
    <w:p w14:paraId="764A8BF2" w14:textId="77777777" w:rsidR="00A30C99" w:rsidRPr="007D5663" w:rsidRDefault="00A30C99" w:rsidP="00A30C99">
      <w:pPr>
        <w:pStyle w:val="BodyText"/>
        <w:spacing w:before="0" w:after="0" w:line="276" w:lineRule="auto"/>
        <w:jc w:val="both"/>
      </w:pPr>
    </w:p>
    <w:p w14:paraId="1CF67C69" w14:textId="77777777" w:rsidR="00714291" w:rsidRPr="007D5663" w:rsidRDefault="00000000" w:rsidP="00A30C99">
      <w:pPr>
        <w:pStyle w:val="Heading2"/>
        <w:spacing w:before="0" w:line="360" w:lineRule="auto"/>
      </w:pPr>
      <w:r w:rsidRPr="007D5663">
        <w:t>Learning-curve experiment (controlled analysis)</w:t>
      </w:r>
    </w:p>
    <w:p w14:paraId="370F7C4C" w14:textId="526BD3D9" w:rsidR="00714291" w:rsidRPr="007D5663" w:rsidRDefault="00000000" w:rsidP="00A30C99">
      <w:pPr>
        <w:pStyle w:val="FirstParagraph"/>
        <w:spacing w:before="0" w:after="0" w:line="276" w:lineRule="auto"/>
        <w:jc w:val="both"/>
      </w:pPr>
      <w:r w:rsidRPr="007D5663">
        <w:t xml:space="preserve">The learning-curve analysis compares Ridge (alpha = 10.0) and </w:t>
      </w:r>
      <w:proofErr w:type="spellStart"/>
      <w:r w:rsidRPr="007D5663">
        <w:t>XGBoost</w:t>
      </w:r>
      <w:proofErr w:type="spellEnd"/>
      <w:r w:rsidRPr="007D5663">
        <w:t xml:space="preserve"> with the production configuration (</w:t>
      </w:r>
      <w:proofErr w:type="spellStart"/>
      <w:r w:rsidRPr="007D5663">
        <w:t>n_estimators</w:t>
      </w:r>
      <w:proofErr w:type="spellEnd"/>
      <w:r w:rsidRPr="007D5663">
        <w:t xml:space="preserve"> = 500, </w:t>
      </w:r>
      <w:proofErr w:type="spellStart"/>
      <w:r w:rsidRPr="007D5663">
        <w:t>max_depth</w:t>
      </w:r>
      <w:proofErr w:type="spellEnd"/>
      <w:r w:rsidRPr="007D5663">
        <w:t xml:space="preserve"> = 6, </w:t>
      </w:r>
      <w:proofErr w:type="spellStart"/>
      <w:r w:rsidRPr="007D5663">
        <w:t>learning_rate</w:t>
      </w:r>
      <w:proofErr w:type="spellEnd"/>
      <w:r w:rsidRPr="007D5663">
        <w:t xml:space="preserve"> = 0.05, subsample = 0.8, </w:t>
      </w:r>
      <w:proofErr w:type="spellStart"/>
      <w:r w:rsidRPr="007D5663">
        <w:t>colsample_bytree</w:t>
      </w:r>
      <w:proofErr w:type="spellEnd"/>
      <w:r w:rsidRPr="007D5663">
        <w:t xml:space="preserve"> = 0.8, </w:t>
      </w:r>
      <w:proofErr w:type="spellStart"/>
      <w:r w:rsidRPr="007D5663">
        <w:t>min_child_weight</w:t>
      </w:r>
      <w:proofErr w:type="spellEnd"/>
      <w:r w:rsidRPr="007D5663">
        <w:t xml:space="preserve"> = 5) across training volumes of K = {2, 4, 6, 8, 12, 16, 18} station-year blocks, with five seeds (42/7/123/2024/777) averaged per subset, always evaluated on the fixed 2025 evaluation set. The mean advantage of </w:t>
      </w:r>
      <w:proofErr w:type="spellStart"/>
      <w:r w:rsidRPr="007D5663">
        <w:t>XGBoost</w:t>
      </w:r>
      <w:proofErr w:type="spellEnd"/>
      <w:r w:rsidRPr="007D5663">
        <w:t xml:space="preserve"> begins to emerge at approximately six to eight station-years, but no single robust threshold is identified; </w:t>
      </w:r>
      <w:proofErr w:type="gramStart"/>
      <w:r w:rsidRPr="007D5663">
        <w:t>the level</w:t>
      </w:r>
      <w:proofErr w:type="gramEnd"/>
      <w:r w:rsidRPr="007D5663">
        <w:t xml:space="preserve"> K = 18 corresponds to the complete universe with a single admissible composition and is reported as </w:t>
      </w:r>
      <w:r w:rsidRPr="007D5663">
        <w:lastRenderedPageBreak/>
        <w:t>a point without a between-composition band. The bands of sampled subsets represent variability conditional on the common 2025 evaluation set and must not be interpreted as independent population confidence intervals. A complementary check by station-year block bootstrap with refitting (200 replicates per level, multi-hold-out arm 2021–2025; exploratory in nature) reproduces the pattern — negative with two station-years, close to zero with four to six, increasingly positive from eight — with bands that cross zero at all the levels evaluated and with decreasing chronological evidence at the higher levels, in line with the absence of a single robust threshold reported in the main text.</w:t>
      </w:r>
    </w:p>
    <w:p w14:paraId="67F494E8" w14:textId="77777777" w:rsidR="00A30C99" w:rsidRPr="007D5663" w:rsidRDefault="00A30C99" w:rsidP="00A30C99">
      <w:pPr>
        <w:pStyle w:val="BodyText"/>
        <w:spacing w:before="0" w:after="0" w:line="276" w:lineRule="auto"/>
        <w:jc w:val="both"/>
        <w:rPr>
          <w:b/>
        </w:rPr>
      </w:pPr>
    </w:p>
    <w:p w14:paraId="68203344" w14:textId="5516D4F5" w:rsidR="00714291" w:rsidRPr="007D5663" w:rsidRDefault="00000000" w:rsidP="00A30C99">
      <w:pPr>
        <w:pStyle w:val="BodyText"/>
        <w:spacing w:before="0" w:after="0" w:line="276" w:lineRule="auto"/>
        <w:jc w:val="both"/>
      </w:pPr>
      <w:r w:rsidRPr="007D5663">
        <w:rPr>
          <w:b/>
        </w:rPr>
        <w:t>SHAP.</w:t>
      </w:r>
      <w:r w:rsidRPr="007D5663">
        <w:t xml:space="preserve"> Computed with </w:t>
      </w:r>
      <w:proofErr w:type="spellStart"/>
      <w:proofErr w:type="gramStart"/>
      <w:r w:rsidRPr="007D5663">
        <w:t>shap.TreeExplainer</w:t>
      </w:r>
      <w:proofErr w:type="spellEnd"/>
      <w:proofErr w:type="gramEnd"/>
      <w:r w:rsidRPr="007D5663">
        <w:t xml:space="preserve"> (</w:t>
      </w:r>
      <w:proofErr w:type="spellStart"/>
      <w:r w:rsidRPr="007D5663">
        <w:t>feature_perturbation</w:t>
      </w:r>
      <w:proofErr w:type="spellEnd"/>
      <w:r w:rsidRPr="007D5663">
        <w:t>=</w:t>
      </w:r>
      <w:proofErr w:type="spellStart"/>
      <w:r w:rsidRPr="007D5663">
        <w:t>tree_path_dependent</w:t>
      </w:r>
      <w:proofErr w:type="spellEnd"/>
      <w:r w:rsidRPr="007D5663">
        <w:t xml:space="preserve">, the </w:t>
      </w:r>
      <w:proofErr w:type="spellStart"/>
      <w:r w:rsidRPr="007D5663">
        <w:t>XGBoost</w:t>
      </w:r>
      <w:proofErr w:type="spellEnd"/>
      <w:r w:rsidRPr="007D5663">
        <w:t xml:space="preserve"> default) on a deterministic sample of 4,000 rows from 2025; the attributions distribute credit among correlated features, which reconciles the ~6% aggregated satellite importance with its marginal (ablation) contribution of ~0.</w:t>
      </w:r>
    </w:p>
    <w:p w14:paraId="5F2CDAC5" w14:textId="77777777" w:rsidR="00A30C99" w:rsidRPr="007D5663" w:rsidRDefault="00A30C99" w:rsidP="00A30C99">
      <w:pPr>
        <w:pStyle w:val="BodyText"/>
        <w:spacing w:before="0" w:after="0" w:line="276" w:lineRule="auto"/>
        <w:jc w:val="both"/>
      </w:pPr>
    </w:p>
    <w:p w14:paraId="365BB8BB" w14:textId="77777777" w:rsidR="00714291" w:rsidRPr="007D5663" w:rsidRDefault="00000000" w:rsidP="00A30C99">
      <w:pPr>
        <w:pStyle w:val="Heading2"/>
        <w:spacing w:before="0" w:line="360" w:lineRule="auto"/>
      </w:pPr>
      <w:r w:rsidRPr="007D5663">
        <w:t>6 Evaluation protocol: regimes and statistical mechanics</w:t>
      </w:r>
    </w:p>
    <w:p w14:paraId="77CAAF87" w14:textId="77777777" w:rsidR="00714291" w:rsidRPr="00A30C99" w:rsidRDefault="00000000" w:rsidP="00A30C99">
      <w:pPr>
        <w:pStyle w:val="BodyText"/>
        <w:spacing w:before="0" w:after="0" w:line="276" w:lineRule="auto"/>
        <w:jc w:val="both"/>
        <w:rPr>
          <w:lang w:val="es-419"/>
        </w:rPr>
      </w:pPr>
      <w:r w:rsidRPr="007D5663">
        <w:t xml:space="preserve">The evaluation philosophy distinguishes two complementary regimes. The blocked temporal cross-validation, with its eight folds, informs the relative ranking of the families, but it has few truly independent partitions, which limits its statistical power; its role is therefore exploratory. The primary inference rests on the year 2025, excluded from model fitting and from the primary selection. That year also serves as a common evaluation set for several secondary analyses (learning curves, ablations, sensitivity, hourly exceedance classification) and for the internal conformal calibration/evaluation </w:t>
      </w:r>
      <w:proofErr w:type="gramStart"/>
      <w:r w:rsidRPr="007D5663">
        <w:t>partition, and</w:t>
      </w:r>
      <w:proofErr w:type="gramEnd"/>
      <w:r w:rsidRPr="007D5663">
        <w:t xml:space="preserve"> must not therefore be described as a </w:t>
      </w:r>
      <w:proofErr w:type="gramStart"/>
      <w:r w:rsidRPr="007D5663">
        <w:t>single-use</w:t>
      </w:r>
      <w:proofErr w:type="gramEnd"/>
      <w:r w:rsidRPr="007D5663">
        <w:t xml:space="preserve"> set. It comprises approximately twenty-five thousand forecasts per horizon, a volume on which the Diebold–Mariano test acquires far greater power. For the comparison with SARIMA — issued with daily cadence — the test is computed on the issue times common to the families, with a Newey–West long-run variance (Newey &amp; West, 1987) (lag h/24 − 1 in origin units), in three aggregation variants: pooled panel, per station with a Bonferroni correction, and date-collapsed (which by construction removes the contemporaneous correlation between stations). It is accompanied by a paired block bootstrap (seven-day blocks, 2,000 replicates) of </w:t>
      </w:r>
      <w:r>
        <w:rPr>
          <w:lang w:val="es-419"/>
        </w:rPr>
        <w:t>Δ</w:t>
      </w:r>
      <w:r w:rsidRPr="007D5663">
        <w:t xml:space="preserve">RMSE, and the conclusion that remains stable across variants is reported. The per-station metrics are aggregated by weighting by the number of observations, and the station-weighted R² — more conservative than the global one — is reported so as not to overstate the predictive skill. All processing is reproducible from the code and data package accompanying this work, with persisted intermediate artefacts that guarantee the exact correspondence between reported and modelled data. The complete data, modelling and evaluation flow is </w:t>
      </w:r>
      <w:proofErr w:type="spellStart"/>
      <w:r w:rsidRPr="007D5663">
        <w:t>summarised</w:t>
      </w:r>
      <w:proofErr w:type="spellEnd"/>
      <w:r w:rsidRPr="007D5663">
        <w:t xml:space="preserve"> in Fig. </w:t>
      </w:r>
      <w:r>
        <w:rPr>
          <w:lang w:val="es-419"/>
        </w:rPr>
        <w:t>S2.</w:t>
      </w:r>
    </w:p>
    <w:p w14:paraId="35BCC6D4" w14:textId="77777777" w:rsidR="00714291" w:rsidRDefault="00000000" w:rsidP="00A30C99">
      <w:pPr>
        <w:pStyle w:val="BodyText"/>
        <w:spacing w:line="276" w:lineRule="auto"/>
        <w:jc w:val="center"/>
      </w:pPr>
      <w:r>
        <w:rPr>
          <w:noProof/>
        </w:rPr>
        <w:lastRenderedPageBreak/>
        <w:drawing>
          <wp:inline distT="0" distB="0" distL="0" distR="0" wp14:anchorId="0E71E859" wp14:editId="644A89F7">
            <wp:extent cx="5671283" cy="3669030"/>
            <wp:effectExtent l="0" t="0" r="0" b="0"/>
            <wp:docPr id="2" name="Image2" descr="Esquema del protocolo de trabajo: cinco etapas dispuestas sobre una cinta de proceso que recorre la figura de izquierda a derecha, agrupadas en tres fases —datos, modelos y evaluación—. (1) Las tres fuentes (red de superficie APRA, reanálisis ERA5 y satélite TROPOMI) confluyen en un colector común resuelto sobre los mismos sitios. (2) Control de calidad y fusión horaria. (3) Construcción de atributos con purga por tiempo objetivo. (4) Entrenamiento de las familias de modelos sobre 2019-2024. (5) Evaluación sobre el año retenido 2025 e inferencia estadística. El diagrama muestra que el año de evaluación no entra en el aju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rotWithShape="1">
                    <a:blip r:embed="rId6"/>
                    <a:srcRect l="2061" r="2480"/>
                    <a:stretch>
                      <a:fillRect/>
                    </a:stretch>
                  </pic:blipFill>
                  <pic:spPr bwMode="auto">
                    <a:xfrm>
                      <a:off x="0" y="0"/>
                      <a:ext cx="5688801" cy="3680363"/>
                    </a:xfrm>
                    <a:prstGeom prst="rect">
                      <a:avLst/>
                    </a:prstGeom>
                    <a:ln>
                      <a:noFill/>
                    </a:ln>
                    <a:extLst>
                      <a:ext uri="{53640926-AAD7-44D8-BBD7-CCE9431645EC}">
                        <a14:shadowObscured xmlns:a14="http://schemas.microsoft.com/office/drawing/2010/main"/>
                      </a:ext>
                    </a:extLst>
                  </pic:spPr>
                </pic:pic>
              </a:graphicData>
            </a:graphic>
          </wp:inline>
        </w:drawing>
      </w:r>
    </w:p>
    <w:p w14:paraId="2624855D" w14:textId="77777777" w:rsidR="00714291" w:rsidRPr="007D5663" w:rsidRDefault="00000000" w:rsidP="00A30C99">
      <w:pPr>
        <w:pStyle w:val="BodyText"/>
        <w:spacing w:before="0" w:after="0" w:line="276" w:lineRule="auto"/>
        <w:jc w:val="both"/>
      </w:pPr>
      <w:r w:rsidRPr="007D5663">
        <w:rPr>
          <w:b/>
        </w:rPr>
        <w:t>Fig. S2</w:t>
      </w:r>
      <w:r w:rsidRPr="007D5663">
        <w:t xml:space="preserve"> Schematic of the protocol. The five stages are laid out on a single process ribbon that runs across the figure from left to right, grouped into the three phases that structure the work: data, models and evaluation. (1) The three sources converge into a common collector and are all resolved on the same sites: the APRA surface network provides the three continuous monitoring stations of the </w:t>
      </w:r>
      <w:proofErr w:type="gramStart"/>
      <w:r w:rsidRPr="007D5663">
        <w:t>City</w:t>
      </w:r>
      <w:proofErr w:type="gramEnd"/>
      <w:r w:rsidRPr="007D5663">
        <w:t xml:space="preserve">, which define those sites; the ERA5 meteorological reanalysis is extracted per station; and the TROPOMI/Sentinel-5P tropospheric column is averaged within a 3.5 km radius around each station. The three are integrated (2) on a common hourly grid, preserving gaps as missing values, with causal lags, calendar features, the nested A/B/C ablation and quality control by NOₓ balance and 75% coverage. (3) Classical and machine-learning families are compared under a uniform tuning budget. (4) The point evaluation and (5) the uncertainty quantification and hourly detection of high concentrations are represented as separate stages, each with its own data period. The lower bar makes the temporal protocol explicit, which is where leakage control is concentrated: the period 2019–2024 supports training and blocked cross-validation, of exploratory role, whereas the year 2025 — excluded from fitting and from the primary model selection — supports the primary inference. At the boundary between the two operates the target-time purge, which discards every observation whose origin or whose label crosses 1 January 2025 (audit: zero residual crossings). The sub-bar under 2025 shows the only declared reuse of that year: the conformal calibration uses January–July and evaluates August–December, so that the evaluation year must not be described as untouched in its entirety. The outputs of the system are the +24/+48/+72 h forecasts, the prediction intervals and the detection of high-concentration hours. The visual encoding is deliberate and carries a single meaning per channel: </w:t>
      </w:r>
      <w:proofErr w:type="spellStart"/>
      <w:r w:rsidRPr="007D5663">
        <w:t>colour</w:t>
      </w:r>
      <w:proofErr w:type="spellEnd"/>
      <w:r w:rsidRPr="007D5663">
        <w:t xml:space="preserve"> is reserved for the identity of the data sources, with the same tones used in Figs. </w:t>
      </w:r>
      <w:r w:rsidRPr="007D5663">
        <w:lastRenderedPageBreak/>
        <w:t>S9 and S11, whereas the structure of the schematic is achromatic and the phases are separated by tonal steps; the temporal regimes are distinguished by texture — hatched, a period used for fitting or calibration; solid, a period evaluated once and never fitted — and the leakage controls are drawn as rules in ink, so that no tone carries two meanings or collides with the model-family palettes used elsewhere in the work</w:t>
      </w:r>
    </w:p>
    <w:p w14:paraId="621D0C29" w14:textId="77777777" w:rsidR="00714291" w:rsidRPr="007D5663" w:rsidRDefault="00000000" w:rsidP="00A30C99">
      <w:pPr>
        <w:pStyle w:val="BodyText"/>
        <w:spacing w:before="0" w:after="0" w:line="276" w:lineRule="auto"/>
        <w:jc w:val="both"/>
      </w:pPr>
      <w:r w:rsidRPr="007D5663">
        <w:t xml:space="preserve">Multiplicity control and hierarchical inference. The three </w:t>
      </w:r>
      <w:proofErr w:type="spellStart"/>
      <w:r w:rsidRPr="007D5663">
        <w:t>XGBoost</w:t>
      </w:r>
      <w:proofErr w:type="spellEnd"/>
      <w:r w:rsidRPr="007D5663">
        <w:t>-versus-SARIMA Diebold–Mariano contrasts on common 00 h issue times (h = 24/48/72; date-collapsed variant, which by construction removes the contemporaneous correlation between stations) are designated as the primary inferential family. All other contrasts — aggregation variants (pooled panel; per station with Bonferroni), 08/12 h issue times, SARIMAX and the persistence baselines, and year-by-year analyses — are secondary and exploratory. Benjamini–Hochberg (</w:t>
      </w:r>
      <w:r>
        <w:rPr>
          <w:lang w:val="es-419"/>
        </w:rPr>
        <w:t>α</w:t>
      </w:r>
      <w:r w:rsidRPr="007D5663">
        <w:t xml:space="preserve"> = 0.05) is applied to the full battery (162 p values) at two levels (primary family and global); raw and adjusted p values are reported (multiplicity_fdr.csv) and only what survives the global correction is described as “significant”. As a robustness check, the collapsed DM was recomputed with alternative HAC lags (L = 0, L = 7 and the automatic Newey–West rule; hac_lag_robustness.csv) and </w:t>
      </w:r>
      <w:r>
        <w:rPr>
          <w:lang w:val="es-419"/>
        </w:rPr>
        <w:t>Δ</w:t>
      </w:r>
      <w:r w:rsidRPr="007D5663">
        <w:t>RMSE is accompanied by a paired block bootstrap CI (7 days, B = 2000) at the three issue hours.</w:t>
      </w:r>
    </w:p>
    <w:p w14:paraId="0F6876C3" w14:textId="77777777" w:rsidR="00FB7078" w:rsidRPr="002F017F" w:rsidRDefault="00000000" w:rsidP="00A30C99">
      <w:pPr>
        <w:pStyle w:val="BodyText"/>
        <w:spacing w:before="0" w:after="0" w:line="276" w:lineRule="auto"/>
        <w:jc w:val="both"/>
      </w:pPr>
      <w:r w:rsidRPr="007D5663">
        <w:t xml:space="preserve">Aligned-information sensitivity. The common issue times align forecast issuance across model families but do not </w:t>
      </w:r>
      <w:proofErr w:type="spellStart"/>
      <w:r w:rsidRPr="007D5663">
        <w:t>equalise</w:t>
      </w:r>
      <w:proofErr w:type="spellEnd"/>
      <w:r w:rsidRPr="007D5663">
        <w:t xml:space="preserve"> the information set, since the classical models and the persistence baselines observe NO₂(t) whereas the machine-learning features begin at t−1. That asymmetry, declared in the main text, is bounded empirically by retraining the complete pipeline with NO₂(t) incorporated into the feature set — only the variable observed by the classical model at the forecast origin — and recomputing the three Diebold–Mariano variants, with the same paired block bootstrap, the same target-time purge, the same hyperparameters and seed, and the same row filter as the headline comparison (n = 1,025, 1,020 and 1,017 pairs for 24, 48 and 72 h, respectively). The unaligned configuration is re-run through the same procedure and acts as a reproduction control. Because this is a robustness </w:t>
      </w:r>
      <w:proofErr w:type="spellStart"/>
      <w:r w:rsidRPr="007D5663">
        <w:t>recomputation</w:t>
      </w:r>
      <w:proofErr w:type="spellEnd"/>
      <w:r w:rsidRPr="007D5663">
        <w:t xml:space="preserve"> of contrasts already accounted for and not of new hypotheses, the resulting p values are reported raw and remain outside both the primary inferential family and the global multiplicity correction. </w:t>
      </w:r>
      <w:r>
        <w:t>Script: aligned_information_sensitivity.py; artefacts: aligned_information_dm.csv and aligned_information_aggregate.csv; results in Online Resource 4, §9(e), and in Online Resource 2, Table S24.</w:t>
      </w:r>
    </w:p>
    <w:p w14:paraId="436BD3DE" w14:textId="77777777" w:rsidR="00A30C99" w:rsidRPr="002F017F" w:rsidRDefault="00A30C99" w:rsidP="00A30C99">
      <w:pPr>
        <w:pStyle w:val="BodyText"/>
        <w:spacing w:before="0" w:after="0" w:line="276" w:lineRule="auto"/>
        <w:jc w:val="both"/>
      </w:pPr>
    </w:p>
    <w:p w14:paraId="35A0BF9A" w14:textId="77777777" w:rsidR="00714291" w:rsidRPr="007D5663" w:rsidRDefault="00000000" w:rsidP="00A30C99">
      <w:pPr>
        <w:pStyle w:val="Heading2"/>
        <w:spacing w:before="0" w:line="360" w:lineRule="auto"/>
      </w:pPr>
      <w:r w:rsidRPr="007D5663">
        <w:t>7 Specification of the classical models: SARIMA selection and SARIMAX</w:t>
      </w:r>
    </w:p>
    <w:p w14:paraId="72E34997" w14:textId="77777777" w:rsidR="00714291" w:rsidRPr="007D5663" w:rsidRDefault="00000000" w:rsidP="00A30C99">
      <w:pPr>
        <w:pStyle w:val="BodyText"/>
        <w:spacing w:before="0" w:after="0" w:line="276" w:lineRule="auto"/>
        <w:jc w:val="both"/>
      </w:pPr>
      <w:r w:rsidRPr="007D5663">
        <w:t>SARIMAX is specified with exogenous meteorology (boundary layer height, wind and temperature, taken at the origin and held over the horizon). It acts as a classical multivariate reference that allows a partial assessment of whether access to meteorological information explains the observed difference. The contrast does not, however, completely isolate the effects of functional form, interactions, precursors, temporal representation and missing-value handling, which differ simultaneously between the two families (see §5; Online Resource 3, Fig. S8a, and Online Resource 2, Table S9).</w:t>
      </w:r>
    </w:p>
    <w:p w14:paraId="148B0D1C" w14:textId="77777777" w:rsidR="00714291" w:rsidRPr="007D5663" w:rsidRDefault="00000000" w:rsidP="00A30C99">
      <w:pPr>
        <w:pStyle w:val="BodyText"/>
        <w:spacing w:before="0" w:after="0" w:line="276" w:lineRule="auto"/>
        <w:jc w:val="both"/>
      </w:pPr>
      <w:r w:rsidRPr="007D5663">
        <w:lastRenderedPageBreak/>
        <w:t xml:space="preserve">The candidates for the classical model are evaluated with station-specific internal temporal </w:t>
      </w:r>
      <w:proofErr w:type="gramStart"/>
      <w:r w:rsidRPr="007D5663">
        <w:t>hold-outs</w:t>
      </w:r>
      <w:proofErr w:type="gramEnd"/>
      <w:r w:rsidRPr="007D5663">
        <w:t xml:space="preserve"> within training (2019–2024), without touching 2025, and a single common specification is selected by an aggregate criterion (minimum mean RMSE across stations and horizons); that common specification is then fitted separately at each station. Five candidates — SARIMA (1,0,</w:t>
      </w:r>
      <w:proofErr w:type="gramStart"/>
      <w:r w:rsidRPr="007D5663">
        <w:t>0)×</w:t>
      </w:r>
      <w:proofErr w:type="gramEnd"/>
      <w:r w:rsidRPr="007D5663">
        <w:t>(1,0,1)24, (1,0,</w:t>
      </w:r>
      <w:proofErr w:type="gramStart"/>
      <w:r w:rsidRPr="007D5663">
        <w:t>1)×</w:t>
      </w:r>
      <w:proofErr w:type="gramEnd"/>
      <w:r w:rsidRPr="007D5663">
        <w:t>(1,0,1)24, (2,0,</w:t>
      </w:r>
      <w:proofErr w:type="gramStart"/>
      <w:r w:rsidRPr="007D5663">
        <w:t>1)×</w:t>
      </w:r>
      <w:proofErr w:type="gramEnd"/>
      <w:r w:rsidRPr="007D5663">
        <w:t>(1,0,1)24, (2,0,</w:t>
      </w:r>
      <w:proofErr w:type="gramStart"/>
      <w:r w:rsidRPr="007D5663">
        <w:t>2)×</w:t>
      </w:r>
      <w:proofErr w:type="gramEnd"/>
      <w:r w:rsidRPr="007D5663">
        <w:t>(1,0,1)24 and a dynamic regression with weekly Fourier harmonics — are evaluated with daily 00 h issue times over an internal selection year (the last year before 2025 with coverage ≥60%: 2023 at Parque Centenario and 2024 at Córdoba and La Boca), with a criterion of minimum mean RMSE across stations and horizons and AIC as a tie-breaker. (1,0,</w:t>
      </w:r>
      <w:proofErr w:type="gramStart"/>
      <w:r w:rsidRPr="007D5663">
        <w:t>0)×</w:t>
      </w:r>
      <w:proofErr w:type="gramEnd"/>
      <w:r w:rsidRPr="007D5663">
        <w:t>(1,0,1)24 wins (mean RMSE 10.24; 9/9 fits converged), against 10.36 for (2,0,</w:t>
      </w:r>
      <w:proofErr w:type="gramStart"/>
      <w:r w:rsidRPr="007D5663">
        <w:t>1)×</w:t>
      </w:r>
      <w:proofErr w:type="gramEnd"/>
      <w:r w:rsidRPr="007D5663">
        <w:t>(1,0,1)24 (6/9 converged) and 10.38 for (1,0,</w:t>
      </w:r>
      <w:proofErr w:type="gramStart"/>
      <w:r w:rsidRPr="007D5663">
        <w:t>1)×</w:t>
      </w:r>
      <w:proofErr w:type="gramEnd"/>
      <w:r w:rsidRPr="007D5663">
        <w:t>(1,0,1)24; (2,0,</w:t>
      </w:r>
      <w:proofErr w:type="gramStart"/>
      <w:r w:rsidRPr="007D5663">
        <w:t>2)×</w:t>
      </w:r>
      <w:proofErr w:type="gramEnd"/>
      <w:r w:rsidRPr="007D5663">
        <w:t>(1,0,1)24 diverges numerically and the dynamic regression performs substantially worse (RMSE 18.9). A sixth candidate with seasonal differencing, (2,0,</w:t>
      </w:r>
      <w:proofErr w:type="gramStart"/>
      <w:r w:rsidRPr="007D5663">
        <w:t>1)×</w:t>
      </w:r>
      <w:proofErr w:type="gramEnd"/>
      <w:r w:rsidRPr="007D5663">
        <w:t>(0,1,1)24, was excluded with documented justification: its state dimension (~50) exceeds the available memory of the verification environment and produces degenerate forecasts (sarima_spec_select.py).</w:t>
      </w:r>
    </w:p>
    <w:p w14:paraId="3582AA56" w14:textId="77777777" w:rsidR="00714291" w:rsidRPr="007D5663" w:rsidRDefault="00000000" w:rsidP="00A30C99">
      <w:pPr>
        <w:pStyle w:val="BodyText"/>
        <w:spacing w:before="0" w:after="0" w:line="276" w:lineRule="auto"/>
        <w:jc w:val="both"/>
      </w:pPr>
      <w:r w:rsidRPr="007D5663">
        <w:t>The parameters are estimated by maximum likelihood (</w:t>
      </w:r>
      <w:proofErr w:type="spellStart"/>
      <w:r w:rsidRPr="007D5663">
        <w:t>maxiter</w:t>
      </w:r>
      <w:proofErr w:type="spellEnd"/>
      <w:r w:rsidRPr="007D5663">
        <w:t xml:space="preserve"> = 200, without imposing stationarity or invertibility) over adaptive calendar windows: a base of 4,380 h (~6 months) extended until ≥3,000 valid observations are gathered (cap 35,064 h; at Parque Centenario the final window reaches 13,140 h because of the 2024 outage); gaps remain as </w:t>
      </w:r>
      <w:proofErr w:type="spellStart"/>
      <w:r w:rsidRPr="007D5663">
        <w:t>NaN</w:t>
      </w:r>
      <w:proofErr w:type="spellEnd"/>
      <w:r w:rsidRPr="007D5663">
        <w:t xml:space="preserve"> and are handled by the state-space Kalman filter, without interpolation or compression of the time index, and the parameters are frozen throughout 2025; each forecast applies the filter over a causal rolling window of 336 calendar hours that includes the origin (SARIMAX shares this convention, with exogenous variables </w:t>
      </w:r>
      <w:proofErr w:type="spellStart"/>
      <w:r w:rsidRPr="007D5663">
        <w:t>standardised</w:t>
      </w:r>
      <w:proofErr w:type="spellEnd"/>
      <w:r w:rsidRPr="007D5663">
        <w:t xml:space="preserve"> and imputed as specified). The diagnostics of the final fit (artefact sarima_diagnostics.csv) show remaining residual autocorrelation (the Ljung–Box test rejects the null of white-noise residuals at 24 and 168 lags at Parque Centenario and La Boca; at Córdoba p = 0.0012 and 0.084; </w:t>
      </w:r>
      <w:proofErr w:type="gramStart"/>
      <w:r w:rsidRPr="007D5663">
        <w:t>ACF(</w:t>
      </w:r>
      <w:proofErr w:type="gramEnd"/>
      <w:r w:rsidRPr="007D5663">
        <w:t xml:space="preserve">1) between 0.04 and 0.22): the specification is chosen by out-of-sample predictive skill and this limitation is declared. The complete selection, candidate by candidate and window by window, is provided in sarima_spec_selection.csv. In cross-validation, the 2021 fold at La Boca, fitted on 2020 (58% gaps despite the extension of the window to 8,760 h) does not converge and produces divergent rolling forecasts at long horizons (up to ≈49 ppb of RMSE at 72 h); the </w:t>
      </w:r>
      <w:proofErr w:type="spellStart"/>
      <w:r w:rsidRPr="007D5663">
        <w:t>behaviour</w:t>
      </w:r>
      <w:proofErr w:type="spellEnd"/>
      <w:r w:rsidRPr="007D5663">
        <w:t xml:space="preserve"> is recorded in sarima_fit_log.csv and confined to the exploratory regime of the cross-validation: the three final fits of the 2025 evaluation year converge with sufficient coverage.</w:t>
      </w:r>
    </w:p>
    <w:p w14:paraId="38CE4328" w14:textId="77777777" w:rsidR="00A30C99" w:rsidRPr="007D5663" w:rsidRDefault="00A30C99" w:rsidP="00A30C99">
      <w:pPr>
        <w:pStyle w:val="BodyText"/>
        <w:spacing w:before="0" w:after="0" w:line="276" w:lineRule="auto"/>
        <w:jc w:val="both"/>
      </w:pPr>
    </w:p>
    <w:p w14:paraId="70CD83CD" w14:textId="77777777" w:rsidR="00714291" w:rsidRPr="006259EE" w:rsidRDefault="00000000" w:rsidP="00A30C99">
      <w:pPr>
        <w:pStyle w:val="Heading2"/>
        <w:spacing w:before="0" w:line="360" w:lineRule="auto"/>
        <w:rPr>
          <w:lang w:val="es-419"/>
        </w:rPr>
      </w:pPr>
      <w:proofErr w:type="spellStart"/>
      <w:r>
        <w:rPr>
          <w:lang w:val="es-419"/>
        </w:rPr>
        <w:t>References</w:t>
      </w:r>
      <w:proofErr w:type="spellEnd"/>
    </w:p>
    <w:p w14:paraId="17463228" w14:textId="3128B0C5" w:rsidR="00714291" w:rsidRPr="007D5663" w:rsidRDefault="00000000" w:rsidP="00A30C99">
      <w:pPr>
        <w:pStyle w:val="FirstParagraph"/>
        <w:spacing w:before="0" w:after="0" w:line="276" w:lineRule="auto"/>
        <w:jc w:val="both"/>
        <w:rPr>
          <w:lang w:val="es-419"/>
        </w:rPr>
      </w:pPr>
      <w:r>
        <w:rPr>
          <w:lang w:val="es-419"/>
        </w:rPr>
        <w:t xml:space="preserve">Agencia de Protección Ambiental (APRA). (2021). </w:t>
      </w:r>
      <w:r w:rsidR="00133B14">
        <w:rPr>
          <w:i/>
          <w:lang w:val="es-419"/>
        </w:rPr>
        <w:t xml:space="preserve">Resolución </w:t>
      </w:r>
      <w:proofErr w:type="spellStart"/>
      <w:r w:rsidR="00133B14">
        <w:rPr>
          <w:i/>
          <w:lang w:val="es-419"/>
        </w:rPr>
        <w:t>N°</w:t>
      </w:r>
      <w:proofErr w:type="spellEnd"/>
      <w:r w:rsidR="00133B14">
        <w:rPr>
          <w:i/>
          <w:lang w:val="es-419"/>
        </w:rPr>
        <w:t xml:space="preserve"> </w:t>
      </w:r>
      <w:r>
        <w:rPr>
          <w:i/>
          <w:lang w:val="es-419"/>
        </w:rPr>
        <w:t>68-APRA/21: Estándares de calidad de aire y cronograma de adecuación progresiva [Resolution No. 68-APRA/21: Air quality standards and progressive compliance schedule]. Gobierno</w:t>
      </w:r>
      <w:r>
        <w:rPr>
          <w:lang w:val="es-419"/>
        </w:rPr>
        <w:t xml:space="preserve"> de la Ciudad Autónoma de Buenos Aires. Boletín Oficial de la Ciudad Autónoma de Buenos Aires, N° 6112, 29 de abril de 2021. Anexo I: Estándares de calidad de aire [Annex I: Air quality standards] (Informe N° </w:t>
      </w:r>
      <w:r>
        <w:rPr>
          <w:lang w:val="es-419"/>
        </w:rPr>
        <w:lastRenderedPageBreak/>
        <w:t xml:space="preserve">12564371-GCABA-APRA/21). </w:t>
      </w:r>
      <w:hyperlink r:id="rId7" w:history="1">
        <w:r w:rsidR="00CA6F28" w:rsidRPr="007D5663">
          <w:rPr>
            <w:rStyle w:val="Hyperlink"/>
            <w:lang w:val="es-419"/>
          </w:rPr>
          <w:t>https://documentosboletinoficial.buenosaires.gob.ar/publico/PE-RES-SECA-APRA-68-21-ANX.pdf</w:t>
        </w:r>
      </w:hyperlink>
    </w:p>
    <w:p w14:paraId="7AFEE48C" w14:textId="618ABAE1" w:rsidR="00714291" w:rsidRPr="002F017F" w:rsidRDefault="00000000" w:rsidP="00A30C99">
      <w:pPr>
        <w:pStyle w:val="BodyText"/>
        <w:spacing w:before="0" w:after="0" w:line="276" w:lineRule="auto"/>
        <w:jc w:val="both"/>
      </w:pPr>
      <w:r>
        <w:rPr>
          <w:lang w:val="es-419"/>
        </w:rPr>
        <w:t xml:space="preserve">Agencia de Protección Ambiental (APRA). (2023). </w:t>
      </w:r>
      <w:r>
        <w:rPr>
          <w:i/>
          <w:lang w:val="es-419"/>
        </w:rPr>
        <w:t>Informe Anual Ambiental 2023 [Annual Environmental Report 2023]. Gobierno</w:t>
      </w:r>
      <w:r>
        <w:rPr>
          <w:lang w:val="es-419"/>
        </w:rPr>
        <w:t xml:space="preserve"> de la Ciudad Autónoma de Buenos Aires. </w:t>
      </w:r>
      <w:hyperlink r:id="rId8" w:history="1">
        <w:r w:rsidR="00CA6F28" w:rsidRPr="002F017F">
          <w:rPr>
            <w:rStyle w:val="Hyperlink"/>
          </w:rPr>
          <w:t>https://static.buenosaires.gob.ar/sites/default/files/2024-12/Informe%20Anual%20Ambiental%202023.pdf</w:t>
        </w:r>
      </w:hyperlink>
    </w:p>
    <w:p w14:paraId="1F92BBA8" w14:textId="5755B47E" w:rsidR="00714291" w:rsidRDefault="00000000" w:rsidP="00A30C99">
      <w:pPr>
        <w:pStyle w:val="BodyText"/>
        <w:spacing w:before="0" w:after="0" w:line="276" w:lineRule="auto"/>
        <w:jc w:val="both"/>
      </w:pPr>
      <w:r>
        <w:rPr>
          <w:lang w:val="es-419"/>
        </w:rPr>
        <w:t xml:space="preserve">Agencia de Protección Ambiental (APRA). (n.d.-a). </w:t>
      </w:r>
      <w:r>
        <w:rPr>
          <w:i/>
          <w:lang w:val="es-419"/>
        </w:rPr>
        <w:t>Estación Córdoba [Córdoba monitoring station]. Red de Monitoreo de Calidad del Aire [Air Quality Monitoring Network]. Gobierno</w:t>
      </w:r>
      <w:r>
        <w:rPr>
          <w:lang w:val="es-419"/>
        </w:rPr>
        <w:t xml:space="preserve"> de la Ciudad Autónoma de Buenos Aires. </w:t>
      </w:r>
      <w:r w:rsidRPr="007D5663">
        <w:t xml:space="preserve">Retrieved 8 July 2026, from </w:t>
      </w:r>
      <w:hyperlink r:id="rId9" w:history="1">
        <w:r w:rsidR="00133B14" w:rsidRPr="000D3926">
          <w:rPr>
            <w:rStyle w:val="Hyperlink"/>
          </w:rPr>
          <w:t>https://buenosaires.gob.ar/gcaba_historico/calidad-del-aire/estacion-cordoba</w:t>
        </w:r>
      </w:hyperlink>
    </w:p>
    <w:p w14:paraId="5B35EBFA" w14:textId="4FC6347D" w:rsidR="00714291" w:rsidRPr="007D5663" w:rsidRDefault="00000000" w:rsidP="00A30C99">
      <w:pPr>
        <w:pStyle w:val="BodyText"/>
        <w:spacing w:before="0" w:after="0" w:line="276" w:lineRule="auto"/>
        <w:jc w:val="both"/>
      </w:pPr>
      <w:r>
        <w:rPr>
          <w:lang w:val="es-419"/>
        </w:rPr>
        <w:t xml:space="preserve">Agencia de Protección Ambiental (APRA). (n.d.-b). </w:t>
      </w:r>
      <w:r>
        <w:rPr>
          <w:i/>
          <w:lang w:val="es-419"/>
        </w:rPr>
        <w:t>Estación La Boca [La Boca monitoring station]. Red de Monitoreo de Calidad del Aire [Air Quality Monitoring Network]. Gobierno</w:t>
      </w:r>
      <w:r>
        <w:rPr>
          <w:lang w:val="es-419"/>
        </w:rPr>
        <w:t xml:space="preserve"> de la Ciudad Autónoma de Buenos Aires. </w:t>
      </w:r>
      <w:r w:rsidRPr="007D5663">
        <w:t xml:space="preserve">Retrieved 8 July 2026, from </w:t>
      </w:r>
      <w:hyperlink r:id="rId10" w:history="1">
        <w:r w:rsidR="00CA6F28" w:rsidRPr="007D5663">
          <w:rPr>
            <w:rStyle w:val="Hyperlink"/>
          </w:rPr>
          <w:t>https://buenosaires.gob.ar/gcaba_historico/calidad-del-aire/estacion-la-boca</w:t>
        </w:r>
      </w:hyperlink>
    </w:p>
    <w:p w14:paraId="3EAACEC1" w14:textId="789F64F6" w:rsidR="00714291" w:rsidRDefault="00000000" w:rsidP="00A30C99">
      <w:pPr>
        <w:pStyle w:val="BodyText"/>
        <w:spacing w:before="0" w:after="0" w:line="276" w:lineRule="auto"/>
        <w:jc w:val="both"/>
      </w:pPr>
      <w:r>
        <w:rPr>
          <w:lang w:val="es-419"/>
        </w:rPr>
        <w:t xml:space="preserve">Agencia de Protección Ambiental (APRA). (n.d.-c). </w:t>
      </w:r>
      <w:r>
        <w:rPr>
          <w:i/>
          <w:lang w:val="es-419"/>
        </w:rPr>
        <w:t>Estación Parque Centenario [Parque Centenario monitoring station]. Red de Monitoreo de Calidad del Aire [Air Quality Monitoring Network]. Gobierno</w:t>
      </w:r>
      <w:r>
        <w:rPr>
          <w:lang w:val="es-419"/>
        </w:rPr>
        <w:t xml:space="preserve"> de la Ciudad Autónoma de Buenos Aires. </w:t>
      </w:r>
      <w:r w:rsidRPr="007D5663">
        <w:t xml:space="preserve">Retrieved 8 July 2026, from </w:t>
      </w:r>
      <w:hyperlink r:id="rId11" w:history="1">
        <w:r w:rsidR="00133B14" w:rsidRPr="000D3926">
          <w:rPr>
            <w:rStyle w:val="Hyperlink"/>
          </w:rPr>
          <w:t>https://buenosaires.gob.ar/gcaba_historico/calidad-del-aire/estacion-parque-centenario</w:t>
        </w:r>
      </w:hyperlink>
    </w:p>
    <w:p w14:paraId="39CAA266" w14:textId="03F771F7" w:rsidR="00714291" w:rsidRDefault="00000000" w:rsidP="00A30C99">
      <w:pPr>
        <w:pStyle w:val="BodyText"/>
        <w:spacing w:before="0" w:after="0" w:line="276" w:lineRule="auto"/>
        <w:jc w:val="both"/>
      </w:pPr>
      <w:proofErr w:type="spellStart"/>
      <w:r>
        <w:t>Bergmeir</w:t>
      </w:r>
      <w:proofErr w:type="spellEnd"/>
      <w:r>
        <w:t xml:space="preserve">, C., &amp; Benítez, J. M. (2012). On the use of cross-validation for time series predictor evaluation. </w:t>
      </w:r>
      <w:r>
        <w:rPr>
          <w:i/>
        </w:rPr>
        <w:t>Information Sciences, 191</w:t>
      </w:r>
      <w:r>
        <w:t xml:space="preserve">, 192–213. </w:t>
      </w:r>
      <w:hyperlink r:id="rId12" w:history="1">
        <w:r w:rsidR="00133B14" w:rsidRPr="000D3926">
          <w:rPr>
            <w:rStyle w:val="Hyperlink"/>
          </w:rPr>
          <w:t>https://doi.org/10.1016/j.ins.2011.12.028</w:t>
        </w:r>
      </w:hyperlink>
    </w:p>
    <w:p w14:paraId="2DC4E631" w14:textId="5294E20F" w:rsidR="00714291" w:rsidRDefault="00000000" w:rsidP="00A30C99">
      <w:pPr>
        <w:pStyle w:val="BodyText"/>
        <w:spacing w:before="0" w:after="0" w:line="276" w:lineRule="auto"/>
        <w:jc w:val="both"/>
      </w:pPr>
      <w:r>
        <w:t xml:space="preserve">Chen, T., &amp; Guestrin, C. (2016). XGBoost: A scalable tree boosting system. In </w:t>
      </w:r>
      <w:r>
        <w:rPr>
          <w:i/>
        </w:rPr>
        <w:t>Proceedings of the 22nd ACM SIGKDD International Conference on Knowledge Discovery and Data Mining</w:t>
      </w:r>
      <w:r>
        <w:t xml:space="preserve"> (pp. 785–794). Association for Computing Machinery. </w:t>
      </w:r>
      <w:hyperlink r:id="rId13" w:history="1">
        <w:r w:rsidR="00133B14" w:rsidRPr="000D3926">
          <w:rPr>
            <w:rStyle w:val="Hyperlink"/>
          </w:rPr>
          <w:t>https://doi.org/10.1145/2939672.2939785</w:t>
        </w:r>
      </w:hyperlink>
    </w:p>
    <w:p w14:paraId="75BFB60C" w14:textId="7AD23DD4" w:rsidR="00714291" w:rsidRDefault="00000000" w:rsidP="00A30C99">
      <w:pPr>
        <w:pStyle w:val="BodyText"/>
        <w:spacing w:before="0" w:after="0" w:line="276" w:lineRule="auto"/>
        <w:jc w:val="both"/>
      </w:pPr>
      <w:r>
        <w:t xml:space="preserve">Diebold, F. X., &amp; Mariano, R. S. (1995). Comparing predictive accuracy. </w:t>
      </w:r>
      <w:r>
        <w:rPr>
          <w:i/>
        </w:rPr>
        <w:t>Journal of Business &amp; Economic Statistics, 13</w:t>
      </w:r>
      <w:r>
        <w:t xml:space="preserve">(3), 253–263. </w:t>
      </w:r>
      <w:hyperlink r:id="rId14" w:history="1">
        <w:r w:rsidR="00133B14" w:rsidRPr="000D3926">
          <w:rPr>
            <w:rStyle w:val="Hyperlink"/>
          </w:rPr>
          <w:t>https://doi.org/10.1080/07350015.1995.10524599</w:t>
        </w:r>
      </w:hyperlink>
    </w:p>
    <w:p w14:paraId="56B7D8CD" w14:textId="31AD3F64" w:rsidR="00714291" w:rsidRDefault="00000000" w:rsidP="00A30C99">
      <w:pPr>
        <w:pStyle w:val="BodyText"/>
        <w:spacing w:before="0" w:after="0" w:line="276" w:lineRule="auto"/>
        <w:jc w:val="both"/>
      </w:pPr>
      <w:proofErr w:type="spellStart"/>
      <w:r>
        <w:t>Hersbach</w:t>
      </w:r>
      <w:proofErr w:type="spellEnd"/>
      <w:r>
        <w:t xml:space="preserve">, H., Bell, B., Berrisford, P., Hirahara, S., Horányi, A., Muñoz-Sabater, J., Nicolas, J., Peubey, C., Radu, R., Schepers, D., Simmons, A., Soci, C., Abdalla, S., Abellan, X., Balsamo, G., Bechtold, P., Biavati, G., Bidlot, J., Bonavita, M., … Thépaut, J.-N. (2020). The ERA5 global reanalysis. </w:t>
      </w:r>
      <w:r>
        <w:rPr>
          <w:i/>
        </w:rPr>
        <w:t>Quarterly Journal of the Royal Meteorological Society, 146</w:t>
      </w:r>
      <w:r>
        <w:t xml:space="preserve">(730), 1999–2049. </w:t>
      </w:r>
      <w:hyperlink r:id="rId15" w:history="1">
        <w:r w:rsidR="00133B14" w:rsidRPr="000D3926">
          <w:rPr>
            <w:rStyle w:val="Hyperlink"/>
          </w:rPr>
          <w:t>https://doi.org/10.1002/qj.3803</w:t>
        </w:r>
      </w:hyperlink>
    </w:p>
    <w:p w14:paraId="660526C8" w14:textId="74599811" w:rsidR="00714291" w:rsidRDefault="00000000" w:rsidP="00A30C99">
      <w:pPr>
        <w:pStyle w:val="BodyText"/>
        <w:spacing w:before="0" w:after="0" w:line="276" w:lineRule="auto"/>
        <w:jc w:val="both"/>
      </w:pPr>
      <w:r>
        <w:t xml:space="preserve">Hoerl, A. E., &amp; Kennard, R. W. (1970). Ridge regression: Biased estimation for nonorthogonal problems. </w:t>
      </w:r>
      <w:r>
        <w:rPr>
          <w:i/>
        </w:rPr>
        <w:t>Technometrics, 12</w:t>
      </w:r>
      <w:r>
        <w:t xml:space="preserve">(1), 55–67. </w:t>
      </w:r>
      <w:hyperlink r:id="rId16" w:history="1">
        <w:r w:rsidR="00133B14" w:rsidRPr="000D3926">
          <w:rPr>
            <w:rStyle w:val="Hyperlink"/>
          </w:rPr>
          <w:t>https://doi.org/10.1080/00401706.1970.10488634</w:t>
        </w:r>
      </w:hyperlink>
    </w:p>
    <w:p w14:paraId="6EADBF97" w14:textId="6265190A" w:rsidR="00714291" w:rsidRPr="00133B14" w:rsidRDefault="00000000" w:rsidP="00A30C99">
      <w:pPr>
        <w:pStyle w:val="BodyText"/>
        <w:spacing w:before="0" w:after="0" w:line="276" w:lineRule="auto"/>
        <w:jc w:val="both"/>
        <w:rPr>
          <w:lang w:val="es-419"/>
        </w:rPr>
      </w:pPr>
      <w:proofErr w:type="spellStart"/>
      <w:r>
        <w:t>Künsch</w:t>
      </w:r>
      <w:proofErr w:type="spellEnd"/>
      <w:r>
        <w:t xml:space="preserve">, H. R. (1989). The jackknife and the bootstrap for general stationary observations. </w:t>
      </w:r>
      <w:r>
        <w:rPr>
          <w:i/>
        </w:rPr>
        <w:t>The Annals of Statistics, 17</w:t>
      </w:r>
      <w:r>
        <w:t xml:space="preserve">(3), 1217–1241. </w:t>
      </w:r>
      <w:hyperlink r:id="rId17" w:history="1">
        <w:r w:rsidR="00133B14" w:rsidRPr="00133B14">
          <w:rPr>
            <w:rStyle w:val="Hyperlink"/>
            <w:lang w:val="es-419"/>
          </w:rPr>
          <w:t>https://doi.org/10.1214/aos/1176347265</w:t>
        </w:r>
      </w:hyperlink>
    </w:p>
    <w:p w14:paraId="1A9BE424" w14:textId="772DA13C" w:rsidR="00714291" w:rsidRDefault="00000000" w:rsidP="00A30C99">
      <w:pPr>
        <w:pStyle w:val="BodyText"/>
        <w:spacing w:before="0" w:after="0" w:line="276" w:lineRule="auto"/>
        <w:jc w:val="both"/>
      </w:pPr>
      <w:r w:rsidRPr="00133B14">
        <w:rPr>
          <w:lang w:val="es-419"/>
        </w:rPr>
        <w:t xml:space="preserve">Lundberg, S. M., &amp; Lee, S.-I. (2017). </w:t>
      </w:r>
      <w:r>
        <w:t xml:space="preserve">A unified approach to interpreting model predictions. In </w:t>
      </w:r>
      <w:r>
        <w:rPr>
          <w:i/>
        </w:rPr>
        <w:t>Advances in Neural Information Processing Systems 30</w:t>
      </w:r>
      <w:r>
        <w:t xml:space="preserve">. Curran Associates. </w:t>
      </w:r>
      <w:hyperlink r:id="rId18" w:history="1">
        <w:r w:rsidR="00133B14" w:rsidRPr="000D3926">
          <w:rPr>
            <w:rStyle w:val="Hyperlink"/>
          </w:rPr>
          <w:t>https://proceedings.neurips.cc/paper/2017/hash/8a20a8621978632d76c43dfd28b67767-Abstract.html</w:t>
        </w:r>
      </w:hyperlink>
    </w:p>
    <w:p w14:paraId="698BFC49" w14:textId="263BE95A" w:rsidR="00714291" w:rsidRDefault="00000000" w:rsidP="00A30C99">
      <w:pPr>
        <w:pStyle w:val="BodyText"/>
        <w:spacing w:before="0" w:after="0" w:line="276" w:lineRule="auto"/>
        <w:jc w:val="both"/>
      </w:pPr>
      <w:r>
        <w:lastRenderedPageBreak/>
        <w:t xml:space="preserve">Newey, W. K., &amp; West, K. D. (1987). A simple, positive semi-definite, heteroskedasticity and autocorrelation consistent covariance matrix. </w:t>
      </w:r>
      <w:r>
        <w:rPr>
          <w:i/>
        </w:rPr>
        <w:t>Econometrica, 55</w:t>
      </w:r>
      <w:r>
        <w:t xml:space="preserve">(3), 703–708. </w:t>
      </w:r>
      <w:hyperlink r:id="rId19" w:history="1">
        <w:r w:rsidR="00133B14" w:rsidRPr="000D3926">
          <w:rPr>
            <w:rStyle w:val="Hyperlink"/>
          </w:rPr>
          <w:t>https://doi.org/10.2307/1913610</w:t>
        </w:r>
      </w:hyperlink>
    </w:p>
    <w:p w14:paraId="3A5A7A1A" w14:textId="5A45CAAA" w:rsidR="00714291" w:rsidRDefault="00000000" w:rsidP="00A30C99">
      <w:pPr>
        <w:pStyle w:val="BodyText"/>
        <w:spacing w:before="0" w:after="0" w:line="276" w:lineRule="auto"/>
        <w:jc w:val="both"/>
      </w:pPr>
      <w:r>
        <w:t xml:space="preserve">Shabbir, Y., Guanhua, Z., Obaid-ur-Rehman, Shah, S. R. A., &amp; Ishaq, R. A. F. (2024). Trans-boundary spatio-temporal analysis of Sentinel 5P tropospheric nitrogen dioxide and total carbon monoxide columns over Punjab and Haryana Regions with COVID-19 lockdown impact. </w:t>
      </w:r>
      <w:r>
        <w:rPr>
          <w:i/>
        </w:rPr>
        <w:t>Environmental Monitoring and Assessment, 196</w:t>
      </w:r>
      <w:r>
        <w:t xml:space="preserve">(3), Article 291. </w:t>
      </w:r>
      <w:hyperlink r:id="rId20" w:history="1">
        <w:r w:rsidR="00133B14" w:rsidRPr="000D3926">
          <w:rPr>
            <w:rStyle w:val="Hyperlink"/>
          </w:rPr>
          <w:t>https://doi.org/10.1007/s10661-024-12458-9</w:t>
        </w:r>
      </w:hyperlink>
    </w:p>
    <w:p w14:paraId="3C0AFB68" w14:textId="481A4270" w:rsidR="00714291" w:rsidRDefault="00000000" w:rsidP="00A30C99">
      <w:pPr>
        <w:pStyle w:val="BodyText"/>
        <w:spacing w:before="0" w:after="0" w:line="276" w:lineRule="auto"/>
        <w:jc w:val="both"/>
      </w:pPr>
      <w:r>
        <w:t xml:space="preserve">Veefkind, J. P., Aben, I., McMullan, K., Förster, H., de Vries, J., Otter, G., Claas, J., Eskes, H. J., de Haan, J. F., Kleipool, Q., van Weele, M., Hasekamp, O., Hoogeveen, R., Landgraf, J., Snel, R., Tol, P., Ingmann, P., Voors, R., Kruizinga, B., … Levelt, P. F. (2012). TROPOMI on the ESA Sentinel-5 Precursor: A GMES mission for global observations of the atmospheric composition for climate, air quality and ozone layer applications. </w:t>
      </w:r>
      <w:r>
        <w:rPr>
          <w:i/>
        </w:rPr>
        <w:t>Remote Sensing of Environment, 120</w:t>
      </w:r>
      <w:r>
        <w:t xml:space="preserve">, 70–83. </w:t>
      </w:r>
      <w:hyperlink r:id="rId21" w:history="1">
        <w:r w:rsidR="00133B14" w:rsidRPr="000D3926">
          <w:rPr>
            <w:rStyle w:val="Hyperlink"/>
          </w:rPr>
          <w:t>https://doi.org/10.1016/j.rse.2011.09.027</w:t>
        </w:r>
      </w:hyperlink>
    </w:p>
    <w:sectPr w:rsidR="00714291">
      <w:pgSz w:w="12240" w:h="15840"/>
      <w:pgMar w:top="1440" w:right="1440" w:bottom="1440" w:left="144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DejaVu 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D3E5C"/>
    <w:multiLevelType w:val="multilevel"/>
    <w:tmpl w:val="0A8638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BA82043"/>
    <w:multiLevelType w:val="multilevel"/>
    <w:tmpl w:val="0BC85342"/>
    <w:lvl w:ilvl="0">
      <w:numFmt w:val="bullet"/>
      <w:lvlText w:val=""/>
      <w:lvlJc w:val="left"/>
      <w:pPr>
        <w:tabs>
          <w:tab w:val="num" w:pos="0"/>
        </w:tabs>
        <w:ind w:left="480" w:hanging="480"/>
      </w:pPr>
      <w:rPr>
        <w:rFonts w:ascii="Symbol" w:hAnsi="Symbol" w:cs="Symbol" w:hint="default"/>
      </w:rPr>
    </w:lvl>
    <w:lvl w:ilvl="1">
      <w:numFmt w:val="bullet"/>
      <w:lvlText w:val=""/>
      <w:lvlJc w:val="left"/>
      <w:pPr>
        <w:tabs>
          <w:tab w:val="num" w:pos="720"/>
        </w:tabs>
        <w:ind w:left="1200" w:hanging="480"/>
      </w:pPr>
      <w:rPr>
        <w:rFonts w:ascii="Symbol" w:hAnsi="Symbol" w:cs="Symbol" w:hint="default"/>
      </w:rPr>
    </w:lvl>
    <w:lvl w:ilvl="2">
      <w:numFmt w:val="bullet"/>
      <w:lvlText w:val=""/>
      <w:lvlJc w:val="left"/>
      <w:pPr>
        <w:tabs>
          <w:tab w:val="num" w:pos="1440"/>
        </w:tabs>
        <w:ind w:left="1920" w:hanging="480"/>
      </w:pPr>
      <w:rPr>
        <w:rFonts w:ascii="Symbol" w:hAnsi="Symbol" w:cs="Symbol" w:hint="default"/>
      </w:rPr>
    </w:lvl>
    <w:lvl w:ilvl="3">
      <w:numFmt w:val="bullet"/>
      <w:lvlText w:val=""/>
      <w:lvlJc w:val="left"/>
      <w:pPr>
        <w:tabs>
          <w:tab w:val="num" w:pos="2160"/>
        </w:tabs>
        <w:ind w:left="2640" w:hanging="480"/>
      </w:pPr>
      <w:rPr>
        <w:rFonts w:ascii="Symbol" w:hAnsi="Symbol" w:cs="Symbol" w:hint="default"/>
      </w:rPr>
    </w:lvl>
    <w:lvl w:ilvl="4">
      <w:numFmt w:val="bullet"/>
      <w:lvlText w:val=""/>
      <w:lvlJc w:val="left"/>
      <w:pPr>
        <w:tabs>
          <w:tab w:val="num" w:pos="2880"/>
        </w:tabs>
        <w:ind w:left="3360" w:hanging="480"/>
      </w:pPr>
      <w:rPr>
        <w:rFonts w:ascii="Symbol" w:hAnsi="Symbol" w:cs="Symbol" w:hint="default"/>
      </w:rPr>
    </w:lvl>
    <w:lvl w:ilvl="5">
      <w:numFmt w:val="bullet"/>
      <w:lvlText w:val=""/>
      <w:lvlJc w:val="left"/>
      <w:pPr>
        <w:tabs>
          <w:tab w:val="num" w:pos="3600"/>
        </w:tabs>
        <w:ind w:left="4080" w:hanging="480"/>
      </w:pPr>
      <w:rPr>
        <w:rFonts w:ascii="Symbol" w:hAnsi="Symbol" w:cs="Symbol" w:hint="default"/>
      </w:rPr>
    </w:lvl>
    <w:lvl w:ilvl="6">
      <w:numFmt w:val="bullet"/>
      <w:lvlText w:val=""/>
      <w:lvlJc w:val="left"/>
      <w:pPr>
        <w:tabs>
          <w:tab w:val="num" w:pos="4320"/>
        </w:tabs>
        <w:ind w:left="4800" w:hanging="480"/>
      </w:pPr>
      <w:rPr>
        <w:rFonts w:ascii="Symbol" w:hAnsi="Symbol" w:cs="Symbol" w:hint="default"/>
      </w:rPr>
    </w:lvl>
    <w:lvl w:ilvl="7">
      <w:numFmt w:val="bullet"/>
      <w:lvlText w:val=""/>
      <w:lvlJc w:val="left"/>
      <w:pPr>
        <w:tabs>
          <w:tab w:val="num" w:pos="5040"/>
        </w:tabs>
        <w:ind w:left="5520" w:hanging="480"/>
      </w:pPr>
      <w:rPr>
        <w:rFonts w:ascii="Symbol" w:hAnsi="Symbol" w:cs="Symbol" w:hint="default"/>
      </w:rPr>
    </w:lvl>
    <w:lvl w:ilvl="8">
      <w:numFmt w:val="bullet"/>
      <w:lvlText w:val=""/>
      <w:lvlJc w:val="left"/>
      <w:pPr>
        <w:tabs>
          <w:tab w:val="num" w:pos="5760"/>
        </w:tabs>
        <w:ind w:left="6240" w:hanging="480"/>
      </w:pPr>
      <w:rPr>
        <w:rFonts w:ascii="Symbol" w:hAnsi="Symbol" w:cs="Symbol" w:hint="default"/>
      </w:rPr>
    </w:lvl>
  </w:abstractNum>
  <w:num w:numId="1" w16cid:durableId="546600415">
    <w:abstractNumId w:val="1"/>
  </w:num>
  <w:num w:numId="2" w16cid:durableId="2091658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20"/>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714291"/>
    <w:rsid w:val="00133B14"/>
    <w:rsid w:val="00244701"/>
    <w:rsid w:val="002F017F"/>
    <w:rsid w:val="00355DA6"/>
    <w:rsid w:val="00393B05"/>
    <w:rsid w:val="00425465"/>
    <w:rsid w:val="006259EE"/>
    <w:rsid w:val="00714291"/>
    <w:rsid w:val="007D5663"/>
    <w:rsid w:val="009872D4"/>
    <w:rsid w:val="00A30C99"/>
    <w:rsid w:val="00AD132C"/>
    <w:rsid w:val="00CA6F28"/>
    <w:rsid w:val="00FB707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C228D"/>
  <w15:docId w15:val="{27C59E61-D553-41E9-A8C5-64183B82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DejaVu Sans"/>
      <w:sz w:val="28"/>
      <w:szCs w:val="28"/>
    </w:rPr>
  </w:style>
  <w:style w:type="paragraph" w:styleId="BodyText">
    <w:name w:val="Body Text"/>
    <w:basedOn w:val="Normal"/>
    <w:qFormat/>
    <w:pPr>
      <w:spacing w:before="180" w:after="180"/>
    </w:pPr>
  </w:style>
  <w:style w:type="paragraph" w:styleId="List">
    <w:name w:val="List"/>
    <w:basedOn w:val="BodyText"/>
    <w:rPr>
      <w:rFonts w:cs="DejaVu Sans"/>
    </w:rPr>
  </w:style>
  <w:style w:type="paragraph" w:styleId="Caption">
    <w:name w:val="caption"/>
    <w:basedOn w:val="Normal"/>
    <w:link w:val="CaptionChar"/>
    <w:qFormat/>
    <w:pPr>
      <w:spacing w:after="120"/>
    </w:pPr>
    <w:rPr>
      <w:i/>
    </w:rPr>
  </w:style>
  <w:style w:type="paragraph" w:customStyle="1" w:styleId="Index">
    <w:name w:val="Index"/>
    <w:basedOn w:val="Normal"/>
    <w:qFormat/>
    <w:pPr>
      <w:suppressLineNumbers/>
    </w:pPr>
    <w:rPr>
      <w:rFonts w:cs="DejaVu Sans"/>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CaptionedFigure">
    <w:name w:val="Captioned Figure"/>
    <w:basedOn w:val="Figure"/>
    <w:qFormat/>
    <w:pPr>
      <w:keepNext/>
    </w:pPr>
  </w:style>
  <w:style w:type="paragraph" w:styleId="IndexHeading">
    <w:name w:val="index heading"/>
    <w:basedOn w:val="Heading"/>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qFormat/>
  </w:style>
  <w:style w:type="table" w:customStyle="1" w:styleId="Table">
    <w:name w:val="Table"/>
    <w:semiHidden/>
    <w:unhideWhenUsed/>
    <w:qFormat/>
    <w:tblPr>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CA6F28"/>
    <w:rPr>
      <w:color w:val="605E5C"/>
      <w:shd w:val="clear" w:color="auto" w:fill="E1DFDD"/>
    </w:rPr>
  </w:style>
  <w:style w:type="character" w:styleId="FollowedHyperlink">
    <w:name w:val="FollowedHyperlink"/>
    <w:basedOn w:val="DefaultParagraphFont"/>
    <w:rsid w:val="00CA6F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buenosaires.gob.ar/sites/default/files/2024-12/Informe%20Anual%20Ambiental%202023.pdf" TargetMode="External"/><Relationship Id="rId13" Type="http://schemas.openxmlformats.org/officeDocument/2006/relationships/hyperlink" Target="https://doi.org/10.1145/2939672.2939785" TargetMode="External"/><Relationship Id="rId18" Type="http://schemas.openxmlformats.org/officeDocument/2006/relationships/hyperlink" Target="https://proceedings.neurips.cc/paper/2017/hash/8a20a8621978632d76c43dfd28b67767-Abstract.html" TargetMode="External"/><Relationship Id="rId3" Type="http://schemas.openxmlformats.org/officeDocument/2006/relationships/settings" Target="settings.xml"/><Relationship Id="rId21" Type="http://schemas.openxmlformats.org/officeDocument/2006/relationships/hyperlink" Target="https://doi.org/10.1016/j.rse.2011.09.027" TargetMode="External"/><Relationship Id="rId7" Type="http://schemas.openxmlformats.org/officeDocument/2006/relationships/hyperlink" Target="https://documentosboletinoficial.buenosaires.gob.ar/publico/PE-RES-SECA-APRA-68-21-ANX.pdf" TargetMode="External"/><Relationship Id="rId12" Type="http://schemas.openxmlformats.org/officeDocument/2006/relationships/hyperlink" Target="https://doi.org/10.1016/j.ins.2011.12.028" TargetMode="External"/><Relationship Id="rId17" Type="http://schemas.openxmlformats.org/officeDocument/2006/relationships/hyperlink" Target="https://doi.org/10.1214/aos/1176347265" TargetMode="External"/><Relationship Id="rId2" Type="http://schemas.openxmlformats.org/officeDocument/2006/relationships/styles" Target="styles.xml"/><Relationship Id="rId16" Type="http://schemas.openxmlformats.org/officeDocument/2006/relationships/hyperlink" Target="https://doi.org/10.1080/00401706.1970.10488634" TargetMode="External"/><Relationship Id="rId20" Type="http://schemas.openxmlformats.org/officeDocument/2006/relationships/hyperlink" Target="https://doi.org/10.1007/s10661-024-12458-9"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buenosaires.gob.ar/gcaba_historico/calidad-del-aire/estacion-parque-centenario" TargetMode="External"/><Relationship Id="rId5" Type="http://schemas.openxmlformats.org/officeDocument/2006/relationships/image" Target="media/image1.png"/><Relationship Id="rId15" Type="http://schemas.openxmlformats.org/officeDocument/2006/relationships/hyperlink" Target="https://doi.org/10.1002/qj.3803" TargetMode="External"/><Relationship Id="rId23" Type="http://schemas.openxmlformats.org/officeDocument/2006/relationships/theme" Target="theme/theme1.xml"/><Relationship Id="rId10" Type="http://schemas.openxmlformats.org/officeDocument/2006/relationships/hyperlink" Target="https://buenosaires.gob.ar/gcaba_historico/calidad-del-aire/estacion-la-boca" TargetMode="External"/><Relationship Id="rId19" Type="http://schemas.openxmlformats.org/officeDocument/2006/relationships/hyperlink" Target="https://doi.org/10.2307/1913610" TargetMode="External"/><Relationship Id="rId4" Type="http://schemas.openxmlformats.org/officeDocument/2006/relationships/webSettings" Target="webSettings.xml"/><Relationship Id="rId9" Type="http://schemas.openxmlformats.org/officeDocument/2006/relationships/hyperlink" Target="https://buenosaires.gob.ar/gcaba_historico/calidad-del-aire/estacion-cordoba" TargetMode="External"/><Relationship Id="rId14" Type="http://schemas.openxmlformats.org/officeDocument/2006/relationships/hyperlink" Target="https://doi.org/10.1080/07350015.1995.1052459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majorFont>
      <a:minorFont>
        <a:latin typeface="Times New Roman"/>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12</Pages>
  <Words>4985</Words>
  <Characters>28415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Online Resource 1 — Supplementary methods</vt:lpstr>
    </vt:vector>
  </TitlesOfParts>
  <Company/>
  <LinksUpToDate>false</LinksUpToDate>
  <CharactersWithSpaces>33334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Resource 1 — Supplementary methods</dc:title>
  <dc:subject>When Does Model Complexity Pay? Multi-Horizon NO₂ Forecasting in the Sparse Monitoring Network of the City of Buenos Aires</dc:subject>
  <dc:creator>Javier Aira</dc:creator>
  <dc:description/>
  <cp:lastModifiedBy>Javier Aira</cp:lastModifiedBy>
  <cp:revision>11</cp:revision>
  <dcterms:created xsi:type="dcterms:W3CDTF">2026-07-13T20:06:00Z</dcterms:created>
  <dcterms:modified xsi:type="dcterms:W3CDTF">2026-08-10T16:42:00Z</dcterms:modified>
  <dc:language>en-US</dc:language>
</cp:coreProperties>
</file>