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02E9A" w14:textId="77777777" w:rsidR="00C51D1A" w:rsidRPr="00D44238" w:rsidRDefault="00000000" w:rsidP="00D44238">
      <w:pPr>
        <w:pStyle w:val="FirstParagraph"/>
        <w:spacing w:line="276" w:lineRule="auto"/>
        <w:jc w:val="center"/>
        <w:rPr>
          <w:b/>
          <w:bCs/>
        </w:rPr>
      </w:pPr>
      <w:r w:rsidRPr="00D44238">
        <w:rPr>
          <w:b/>
          <w:bCs/>
        </w:rPr>
        <w:t>Environmental Monitoring and Assessment</w:t>
      </w:r>
    </w:p>
    <w:p w14:paraId="6F98916D" w14:textId="77777777" w:rsidR="00C51D1A" w:rsidRDefault="00000000" w:rsidP="00D44238">
      <w:pPr>
        <w:pStyle w:val="BodyText"/>
        <w:spacing w:line="276" w:lineRule="auto"/>
        <w:jc w:val="center"/>
      </w:pPr>
      <w:r>
        <w:rPr>
          <w:b/>
        </w:rPr>
        <w:t>Electronic Supplementary Material — Online Resource 4</w:t>
      </w:r>
    </w:p>
    <w:p w14:paraId="41FF8965" w14:textId="77777777" w:rsidR="00D44238" w:rsidRPr="00F55871" w:rsidRDefault="00D44238" w:rsidP="00D44238">
      <w:pPr>
        <w:pStyle w:val="BodyText"/>
        <w:spacing w:before="0" w:after="0" w:line="276" w:lineRule="auto"/>
        <w:jc w:val="both"/>
        <w:rPr>
          <w:b/>
        </w:rPr>
      </w:pPr>
    </w:p>
    <w:p w14:paraId="4B0FE760" w14:textId="706A8865" w:rsidR="00C51D1A" w:rsidRPr="00F55871" w:rsidRDefault="00000000" w:rsidP="00F55871">
      <w:pPr>
        <w:pStyle w:val="BodyText"/>
        <w:spacing w:before="0" w:after="0" w:line="276" w:lineRule="auto"/>
      </w:pPr>
      <w:r w:rsidRPr="00F55871">
        <w:rPr>
          <w:b/>
        </w:rPr>
        <w:t xml:space="preserve">Supplementary results: </w:t>
      </w:r>
      <w:r w:rsidRPr="00F55871">
        <w:rPr>
          <w:bCs/>
        </w:rPr>
        <w:t xml:space="preserve">extended </w:t>
      </w:r>
      <w:proofErr w:type="spellStart"/>
      <w:r w:rsidRPr="00F55871">
        <w:rPr>
          <w:bCs/>
        </w:rPr>
        <w:t>characterisation</w:t>
      </w:r>
      <w:proofErr w:type="spellEnd"/>
      <w:r w:rsidRPr="00F55871">
        <w:rPr>
          <w:bCs/>
        </w:rPr>
        <w:t>, error structure, interpretability, uncertainty, detection of high-concentration hours and statistical robustness analyses.</w:t>
      </w:r>
    </w:p>
    <w:p w14:paraId="079EE5E3" w14:textId="77777777" w:rsidR="00D44238" w:rsidRPr="00F55871" w:rsidRDefault="00D44238" w:rsidP="00D44238">
      <w:pPr>
        <w:pStyle w:val="BodyText"/>
        <w:spacing w:before="0" w:after="0" w:line="276" w:lineRule="auto"/>
        <w:jc w:val="both"/>
      </w:pPr>
    </w:p>
    <w:p w14:paraId="3C2C338E" w14:textId="3BF6D6E5" w:rsidR="00C51D1A" w:rsidRDefault="00000000" w:rsidP="00F55871">
      <w:pPr>
        <w:pStyle w:val="BodyText"/>
        <w:spacing w:before="0" w:after="0" w:line="276" w:lineRule="auto"/>
      </w:pPr>
      <w:r>
        <w:rPr>
          <w:b/>
          <w:bCs/>
        </w:rPr>
        <w:t>Article</w:t>
      </w:r>
      <w:r>
        <w:t>: When Does Model Complexity Pay? Multi-Horizon NO₂ Forecasting in the Sparse Monitoring Network of the City of Buenos Aires</w:t>
      </w:r>
    </w:p>
    <w:p w14:paraId="110F0CC0" w14:textId="77777777" w:rsidR="00D44238" w:rsidRPr="00F55871" w:rsidRDefault="00D44238" w:rsidP="00F55871">
      <w:pPr>
        <w:pStyle w:val="BodyText"/>
        <w:spacing w:before="0" w:after="0" w:line="276" w:lineRule="auto"/>
        <w:rPr>
          <w:b/>
          <w:bCs/>
        </w:rPr>
      </w:pPr>
    </w:p>
    <w:p w14:paraId="06C294B9" w14:textId="75E5EF02" w:rsidR="00C51D1A" w:rsidRPr="00F55871" w:rsidRDefault="00000000" w:rsidP="00F55871">
      <w:pPr>
        <w:pStyle w:val="BodyText"/>
        <w:spacing w:before="0" w:after="0" w:line="276" w:lineRule="auto"/>
      </w:pPr>
      <w:r w:rsidRPr="00F55871">
        <w:rPr>
          <w:b/>
          <w:bCs/>
        </w:rPr>
        <w:t>Author</w:t>
      </w:r>
      <w:r w:rsidRPr="00F55871">
        <w:t>: Javier Aira — Independent Researcher, City of Buenos Aires, Argentina. Corresponding author: jj.aira@outlook.com. ORCID: 0000-0003-0879-1380.</w:t>
      </w:r>
    </w:p>
    <w:p w14:paraId="1772509B" w14:textId="77777777" w:rsidR="00D44238" w:rsidRPr="00F55871" w:rsidRDefault="00D44238" w:rsidP="00D44238">
      <w:pPr>
        <w:pStyle w:val="BodyText"/>
        <w:spacing w:before="0" w:after="0" w:line="276" w:lineRule="auto"/>
        <w:jc w:val="both"/>
      </w:pPr>
    </w:p>
    <w:p w14:paraId="71D03148" w14:textId="77777777" w:rsidR="00C51D1A" w:rsidRPr="00F55871" w:rsidRDefault="00000000" w:rsidP="00D44238">
      <w:pPr>
        <w:pStyle w:val="BodyText"/>
        <w:spacing w:before="0" w:after="0" w:line="276" w:lineRule="auto"/>
        <w:jc w:val="both"/>
      </w:pPr>
      <w:r w:rsidRPr="00F55871">
        <w:t xml:space="preserve">This Online Resource provides additional detail on the results </w:t>
      </w:r>
      <w:proofErr w:type="spellStart"/>
      <w:r w:rsidRPr="00F55871">
        <w:t>summarised</w:t>
      </w:r>
      <w:proofErr w:type="spellEnd"/>
      <w:r w:rsidRPr="00F55871">
        <w:t xml:space="preserve"> in the Results and </w:t>
      </w:r>
      <w:proofErr w:type="gramStart"/>
      <w:r w:rsidRPr="00F55871">
        <w:t>discussion</w:t>
      </w:r>
      <w:proofErr w:type="gramEnd"/>
      <w:r w:rsidRPr="00F55871">
        <w:t xml:space="preserve"> section and presents the statistical robustness </w:t>
      </w:r>
      <w:proofErr w:type="gramStart"/>
      <w:r w:rsidRPr="00F55871">
        <w:t>analyses</w:t>
      </w:r>
      <w:proofErr w:type="gramEnd"/>
      <w:r w:rsidRPr="00F55871">
        <w:t xml:space="preserve"> that support the main inference. No conclusion of the main text rests on results reported only in this Online Resource. The supplementary tables are in Online Resource </w:t>
      </w:r>
      <w:proofErr w:type="gramStart"/>
      <w:r w:rsidRPr="00F55871">
        <w:t>2</w:t>
      </w:r>
      <w:proofErr w:type="gramEnd"/>
      <w:r w:rsidRPr="00F55871">
        <w:t xml:space="preserve"> and the supplementary figures are in Online Resource 3.</w:t>
      </w:r>
    </w:p>
    <w:p w14:paraId="27C87850" w14:textId="77777777" w:rsidR="00D44238" w:rsidRPr="00F55871" w:rsidRDefault="00D44238" w:rsidP="00D44238">
      <w:pPr>
        <w:pStyle w:val="BodyText"/>
        <w:spacing w:before="0" w:after="0" w:line="276" w:lineRule="auto"/>
        <w:jc w:val="both"/>
      </w:pPr>
    </w:p>
    <w:p w14:paraId="5AFF7A36" w14:textId="77777777" w:rsidR="00C51D1A" w:rsidRPr="00F55871" w:rsidRDefault="00000000" w:rsidP="00D44238">
      <w:pPr>
        <w:pStyle w:val="Heading2"/>
        <w:spacing w:before="0" w:line="360" w:lineRule="auto"/>
      </w:pPr>
      <w:r w:rsidRPr="00F55871">
        <w:t>Abbreviations</w:t>
      </w:r>
    </w:p>
    <w:p w14:paraId="1600488E" w14:textId="77777777" w:rsidR="00C51D1A" w:rsidRPr="00F55871" w:rsidRDefault="00000000" w:rsidP="00D44238">
      <w:pPr>
        <w:pStyle w:val="BodyText"/>
        <w:spacing w:before="0" w:after="0" w:line="276" w:lineRule="auto"/>
        <w:jc w:val="both"/>
      </w:pPr>
      <w:r w:rsidRPr="00F55871">
        <w:t xml:space="preserve">APRA, Environmental Protection Agency of the City of Buenos Aires; BH, Benjamini–Hochberg; CABA, Autonomous City of Buenos Aires; CI, confidence interval; CQR, </w:t>
      </w:r>
      <w:proofErr w:type="spellStart"/>
      <w:r w:rsidRPr="00F55871">
        <w:t>conformalized</w:t>
      </w:r>
      <w:proofErr w:type="spellEnd"/>
      <w:r w:rsidRPr="00F55871">
        <w:t xml:space="preserve"> quantile regression; CUDA, Compute Unified Device Architecture; DM, Diebold–Mariano; ECMWF, European Centre for Medium-Range Weather Forecasts; ERA5, ECMWF Reanalysis v5; EU, European Union — the official designations of legal instruments retain their published form, e.g. Directive (EU) 2024/2881; FAR, false alarm ratio; FDR, false discovery rate; GPU, graphics processing unit; GRU, gated recurrent unit; HAC, heteroskedasticity- and autocorrelation-consistent; </w:t>
      </w:r>
      <w:proofErr w:type="spellStart"/>
      <w:r w:rsidRPr="00F55871">
        <w:t>LightGBM</w:t>
      </w:r>
      <w:proofErr w:type="spellEnd"/>
      <w:r w:rsidRPr="00F55871">
        <w:t xml:space="preserve">, Light Gradient Boosting Machine; LSTM, long short-term memory; NO₂, nitrogen dioxide; NRT, near-real-time; OFFL, offline (reprocessed satellite product); P90, 90th percentile; POD, probability of detection; R², coefficient of determination; RMSE, root mean squared error; RNN, recurrent neural network; SARIMA, seasonal autoregressive integrated moving average; SARIMAX, seasonal autoregressive integrated moving average with exogenous regressors; SHAP, Shapley additive explanations; TROPOMI, </w:t>
      </w:r>
      <w:proofErr w:type="spellStart"/>
      <w:r w:rsidRPr="00F55871">
        <w:t>TROPOspheric</w:t>
      </w:r>
      <w:proofErr w:type="spellEnd"/>
      <w:r w:rsidRPr="00F55871">
        <w:t xml:space="preserve"> Monitoring Instrument; WHO, World Health Organization; </w:t>
      </w:r>
      <w:proofErr w:type="spellStart"/>
      <w:r w:rsidRPr="00F55871">
        <w:t>XGBoost</w:t>
      </w:r>
      <w:proofErr w:type="spellEnd"/>
      <w:r w:rsidRPr="00F55871">
        <w:t>, extreme gradient boosting.</w:t>
      </w:r>
    </w:p>
    <w:p w14:paraId="783C8E6B" w14:textId="77777777" w:rsidR="00D44238" w:rsidRPr="00F55871" w:rsidRDefault="00D44238" w:rsidP="00D44238">
      <w:pPr>
        <w:pStyle w:val="BodyText"/>
        <w:spacing w:before="0" w:after="0" w:line="276" w:lineRule="auto"/>
        <w:jc w:val="both"/>
      </w:pPr>
    </w:p>
    <w:p w14:paraId="23EC2862" w14:textId="77777777" w:rsidR="00C51D1A" w:rsidRPr="00F55871" w:rsidRDefault="00000000" w:rsidP="00D44238">
      <w:pPr>
        <w:pStyle w:val="Heading2"/>
        <w:spacing w:line="360" w:lineRule="auto"/>
      </w:pPr>
      <w:r w:rsidRPr="00F55871">
        <w:lastRenderedPageBreak/>
        <w:t xml:space="preserve">1 Extended </w:t>
      </w:r>
      <w:proofErr w:type="spellStart"/>
      <w:r w:rsidRPr="00F55871">
        <w:t>characterisation</w:t>
      </w:r>
      <w:proofErr w:type="spellEnd"/>
      <w:r w:rsidRPr="00F55871">
        <w:t xml:space="preserve"> of the network and regulatory compliance</w:t>
      </w:r>
    </w:p>
    <w:p w14:paraId="35D6054E" w14:textId="77777777" w:rsidR="00C51D1A" w:rsidRPr="00F55871" w:rsidRDefault="00000000" w:rsidP="00D44238">
      <w:pPr>
        <w:pStyle w:val="BodyText"/>
        <w:spacing w:before="0" w:after="0" w:line="276" w:lineRule="auto"/>
        <w:jc w:val="both"/>
      </w:pPr>
      <w:r w:rsidRPr="00F55871">
        <w:t xml:space="preserve">The mean NO₂ concentration over the period was 20.1 ppb (≈38 µg/m³), close to the transitional annual limit value of the European Union (40 µg/m³). A central consideration for network design is its low spatial redundancy. Despite the proximity of the stations (3.5 to 6.8 km), the hourly NO₂ correlations between them are moderate to low: 0.61 between Parque Centenario and Córdoba, 0.49 between Parque Centenario and La Boca and 0.37 between Córdoba and La Boca (mean 0.49). That is, the squared pairwise correlations lie approximately between 0.14 and 0.37: a simple bivariate linear association accounts for only a limited fraction of the hourly variation between pairs of stations (although this does not constitute a complete decomposition of the spatial variance or imply causality). Each station represents its immediate setting, and large portions of the territory remain </w:t>
      </w:r>
      <w:proofErr w:type="spellStart"/>
      <w:r w:rsidRPr="00F55871">
        <w:t>uncharacterised</w:t>
      </w:r>
      <w:proofErr w:type="spellEnd"/>
      <w:r w:rsidRPr="00F55871">
        <w:t xml:space="preserve">: the three stations are individually informative but provide limited spatial coverage as a network, which supports both station-level forecasting and the densification of monitoring (main article, Fig. 1; the correlation matrix between stations is in Online Resource 3, Fig. S3; the </w:t>
      </w:r>
      <w:proofErr w:type="spellStart"/>
      <w:r w:rsidRPr="00F55871">
        <w:t>deseasonalised</w:t>
      </w:r>
      <w:proofErr w:type="spellEnd"/>
      <w:r w:rsidRPr="00F55871">
        <w:t xml:space="preserve"> correlations, 0.31–0.54, rule out that the low redundancy is an artefact of shared seasonality).</w:t>
      </w:r>
    </w:p>
    <w:p w14:paraId="107CD57F" w14:textId="77777777" w:rsidR="00D44238" w:rsidRPr="00F55871" w:rsidRDefault="00D44238" w:rsidP="00D44238">
      <w:pPr>
        <w:pStyle w:val="BodyText"/>
        <w:spacing w:before="0" w:after="0" w:line="276" w:lineRule="auto"/>
        <w:jc w:val="both"/>
      </w:pPr>
    </w:p>
    <w:p w14:paraId="6E9642AC" w14:textId="5682CF40" w:rsidR="00C51D1A" w:rsidRPr="00F55871" w:rsidRDefault="00000000" w:rsidP="00D44238">
      <w:pPr>
        <w:pStyle w:val="BodyText"/>
        <w:spacing w:before="0" w:after="0" w:line="276" w:lineRule="auto"/>
        <w:jc w:val="both"/>
      </w:pPr>
      <w:r w:rsidRPr="00F55871">
        <w:t xml:space="preserve">In health terms, the annual mean exceeds the 2021 WHO guideline (10 µg/m³) every year. The local annual standard — updated by </w:t>
      </w:r>
      <w:r w:rsidR="00F55871" w:rsidRPr="00F55871">
        <w:t>Resolution</w:t>
      </w:r>
      <w:r w:rsidRPr="00F55871">
        <w:t xml:space="preserve"> 68-APRA/21, currently at its third stage (32 ppb = 60 µg/m³) — was not exceeded according to the official APRA reports, whose series as identified on the official page consulted extends to the 2024 report (APRA, 2024), although La Boca (≈30 ppb) approaches that threshold; the schedule provides for tightening it to 21 ppb (40 µg/m³) in its final stages, a value that coincides with the transitional EU annual limit value — Directive (EU) 2024/2881 sets 20 µg/m³ as the annual value to be reached from 2030 — and falls within the trajectory towards the 2021 WHO guideline, although Article 4 of the resolution entrusted the setting of that schedule before the end of 2023 to the Expert Advisory Commission, constituted in 2022 by </w:t>
      </w:r>
      <w:r w:rsidR="00F55871" w:rsidRPr="00F55871">
        <w:t xml:space="preserve">Resolution </w:t>
      </w:r>
      <w:r w:rsidRPr="00F55871">
        <w:t>386-GCABA-APRA/22 — reported in the Agency's annual reports — whose operation was still in preparation at the close of 2023 (APRA, 2022, 2023). The resolution therefore establishes a formal trajectory towards stricter standards, although the implementation timetable for the final stages was not identified in the official sources consulted up to August 2026.</w:t>
      </w:r>
    </w:p>
    <w:p w14:paraId="33245406" w14:textId="77777777" w:rsidR="00D44238" w:rsidRPr="00F55871" w:rsidRDefault="00D44238" w:rsidP="00D44238">
      <w:pPr>
        <w:pStyle w:val="BodyText"/>
        <w:spacing w:before="0" w:after="0" w:line="276" w:lineRule="auto"/>
        <w:jc w:val="both"/>
      </w:pPr>
    </w:p>
    <w:p w14:paraId="1588A950" w14:textId="77777777" w:rsidR="00C51D1A" w:rsidRPr="00F55871" w:rsidRDefault="00000000" w:rsidP="00D44238">
      <w:pPr>
        <w:pStyle w:val="BodyText"/>
        <w:spacing w:before="0" w:after="0" w:line="276" w:lineRule="auto"/>
        <w:jc w:val="both"/>
      </w:pPr>
      <w:r w:rsidRPr="00F55871">
        <w:t xml:space="preserve">Exceedance of the transitional EU annual limit value (40 µg/m³), which the regulation assesses station by station, is concentrated in the mixed urban-industrial setting: La Boca exceeds it on its own in recent years (57.9 µg/m³ in 2023 and 56.5 in 2024; Online Resource 3, Fig. S4), and the official reports agree in pointing to a rebound of NO₂ in 2024 relative to the two previous years, particularly at La Boca (APRA, 2024). The annual network means — averaged over the stations with sufficient coverage in each year, whose number varies because of instrument outages (two stations in 2023–2024) — reach 46.7 and 47.8 µg/m³ in those years, and must be read as indicative, not as a compliance assessment. Finally, 81.2% of the days exceeded the WHO daily guideline (25 µg/m³), while no hourly record exceeded the European hourly reference threshold </w:t>
      </w:r>
      <w:r w:rsidRPr="00F55871">
        <w:lastRenderedPageBreak/>
        <w:t xml:space="preserve">(200 µg/m³) during the period </w:t>
      </w:r>
      <w:proofErr w:type="spellStart"/>
      <w:r w:rsidRPr="00F55871">
        <w:t>analysed</w:t>
      </w:r>
      <w:proofErr w:type="spellEnd"/>
      <w:r w:rsidRPr="00F55871">
        <w:t>: the dominant pattern is one of sustained chronic exposure rather than of exceedances of that hourly threshold (World Health Organization [WHO], 2021; European Union, 2008).</w:t>
      </w:r>
    </w:p>
    <w:p w14:paraId="3862B7B7" w14:textId="77777777" w:rsidR="00D44238" w:rsidRPr="00F55871" w:rsidRDefault="00D44238" w:rsidP="00D44238">
      <w:pPr>
        <w:pStyle w:val="BodyText"/>
        <w:spacing w:before="0" w:after="0" w:line="276" w:lineRule="auto"/>
        <w:jc w:val="both"/>
      </w:pPr>
    </w:p>
    <w:p w14:paraId="36D41A09" w14:textId="77777777" w:rsidR="00C51D1A" w:rsidRPr="00F55871" w:rsidRDefault="00000000" w:rsidP="00D44238">
      <w:pPr>
        <w:pStyle w:val="BodyText"/>
        <w:spacing w:before="0" w:after="0" w:line="276" w:lineRule="auto"/>
        <w:jc w:val="both"/>
      </w:pPr>
      <w:r w:rsidRPr="00F55871">
        <w:t xml:space="preserve">International regulatory reference (detail of the computation cited in the main text). Directive (EU) 2024/2881 — in force since 10 December 2024 — tightens the annual NO₂ limit value to 20 µg/m³ from 2030 and repeals Directive 2008/50/EC with effect in December 2026 (European Union, 2024); during the transition, Annex V of Directive 2008/50/EC continues to apply, requiring, for gaseous pollutants from diffuse sources and in zones where fixed measurement is the only source of information, a minimum of three fixed sampling points in agglomerations of 2,750,000–3,749,999 inhabitants when concentrations lie between the assessment thresholds, and of seven when they exceed the upper threshold (European Union, 2008). With 3,121,707 inhabitants, CABA barely matches the floor of the most lenient scenario; given that the observed annual mean (≈38 µg/m³) exceeds the European upper assessment threshold for NO₂ (32 µg/m³), the scenario applicable within that transitional framework would require seven points, more than double the current network; even with the maximum 50% reduction that Article 7(3) allows when fixed measurement is complemented with modelling, the resulting minimum (four) would still exceed the existing network. This computation is a regulatory context reference — CABA is not subject to European legislation — and not a compliance assessment; the optimal number and </w:t>
      </w:r>
      <w:proofErr w:type="gramStart"/>
      <w:r w:rsidRPr="00F55871">
        <w:t>siting</w:t>
      </w:r>
      <w:proofErr w:type="gramEnd"/>
      <w:r w:rsidRPr="00F55871">
        <w:t xml:space="preserve"> of new monitoring points also depend on the population and exposure distribution, on mobile and industrial sources, on </w:t>
      </w:r>
      <w:proofErr w:type="gramStart"/>
      <w:r w:rsidRPr="00F55871">
        <w:t>the urban</w:t>
      </w:r>
      <w:proofErr w:type="gramEnd"/>
      <w:r w:rsidRPr="00F55871">
        <w:t xml:space="preserve"> topography and on local regulatory objectives.</w:t>
      </w:r>
    </w:p>
    <w:p w14:paraId="113557AD" w14:textId="77777777" w:rsidR="00D44238" w:rsidRPr="00F55871" w:rsidRDefault="00D44238" w:rsidP="00D44238">
      <w:pPr>
        <w:pStyle w:val="BodyText"/>
        <w:spacing w:before="0" w:after="0" w:line="276" w:lineRule="auto"/>
        <w:jc w:val="both"/>
      </w:pPr>
    </w:p>
    <w:p w14:paraId="01F7990D" w14:textId="77777777" w:rsidR="00C51D1A" w:rsidRPr="00F55871" w:rsidRDefault="00000000" w:rsidP="00D44238">
      <w:pPr>
        <w:pStyle w:val="Heading2"/>
        <w:spacing w:before="0" w:line="360" w:lineRule="auto"/>
      </w:pPr>
      <w:r w:rsidRPr="00F55871">
        <w:t>2 Exceedance of air quality standards — comprehensive assessment</w:t>
      </w:r>
    </w:p>
    <w:p w14:paraId="12B729AB" w14:textId="38C7EC58" w:rsidR="00C51D1A" w:rsidRPr="00F55871" w:rsidRDefault="00000000" w:rsidP="00D44238">
      <w:pPr>
        <w:pStyle w:val="BodyText"/>
        <w:spacing w:before="0" w:after="0" w:line="276" w:lineRule="auto"/>
        <w:jc w:val="both"/>
      </w:pPr>
      <w:r w:rsidRPr="00F55871">
        <w:t xml:space="preserve">The annual mean NO₂ was compared with four reference values, all of them defined as annual means: the 2021 WHO guideline (10 µg/m³; WHO, 2021), the annual limit value that Directive (EU) 2024/2881 sets from 2030 (20 µg/m³; European Union, 2024), the transitional annual limit value of Directive 2008/50/EC (40 µg/m³; European Union, 2008) and the local standard in force, third stage of </w:t>
      </w:r>
      <w:r w:rsidR="00F55871" w:rsidRPr="00F55871">
        <w:t xml:space="preserve">Resolution </w:t>
      </w:r>
      <w:r w:rsidRPr="00F55871">
        <w:t>68-APRA/21 (60 µg/m³ = 32 ppb; APRA, 2021); see Fig. S4 (Online Resource 3).</w:t>
      </w:r>
    </w:p>
    <w:p w14:paraId="44F91573" w14:textId="77777777" w:rsidR="00D44238" w:rsidRPr="00F55871" w:rsidRDefault="00D44238" w:rsidP="00D44238">
      <w:pPr>
        <w:pStyle w:val="BodyText"/>
        <w:spacing w:before="0" w:after="0" w:line="276" w:lineRule="auto"/>
        <w:jc w:val="both"/>
      </w:pPr>
    </w:p>
    <w:p w14:paraId="17C64377" w14:textId="4532FE76" w:rsidR="00C51D1A" w:rsidRPr="00F55871" w:rsidRDefault="00000000" w:rsidP="00D44238">
      <w:pPr>
        <w:pStyle w:val="BodyText"/>
        <w:spacing w:before="0" w:after="0" w:line="276" w:lineRule="auto"/>
        <w:jc w:val="both"/>
      </w:pPr>
      <w:r w:rsidRPr="00F55871">
        <w:t xml:space="preserve">Annex I of that resolution defines for NO₂ two standards with different averaging periods — a 1-hour average and a 1-year arithmetic average — each with its own five-stage schedule; this figure uses the annual standard because it is directly comparable with annual mean concentrations, and it descends from 100 to 40 µg/m³ (53 to 21 ppb) over the five stages. Within the period </w:t>
      </w:r>
      <w:proofErr w:type="spellStart"/>
      <w:r w:rsidRPr="00F55871">
        <w:t>analysed</w:t>
      </w:r>
      <w:proofErr w:type="spellEnd"/>
      <w:r w:rsidRPr="00F55871">
        <w:t>, three different values of that schedule were in force — 100 µg/m³ at stage 1, 80 at stage 2 and 60 at stage 3, in force since May 2023 and still current (APRA, 2023, 2024) — so that the local standard is the only reference in Fig. S4 that changes along the time axis. For the first two years of the period, prior to the resolution, the local reference is the pre-existing standard: Annex I (Table A) of the city's air-quality act (</w:t>
      </w:r>
      <w:r w:rsidR="00F55871" w:rsidRPr="00F55871">
        <w:t>Law No.</w:t>
      </w:r>
      <w:r w:rsidR="00F55871">
        <w:t xml:space="preserve"> </w:t>
      </w:r>
      <w:r w:rsidRPr="00F55871">
        <w:t xml:space="preserve">1356) sets for NO₂ 0.100 mg/m³ = 100 µg/m³ (0.053 ppm) as an annual arithmetic mean — a primary and secondary </w:t>
      </w:r>
      <w:r w:rsidRPr="00F55871">
        <w:lastRenderedPageBreak/>
        <w:t>standard, and the only value that this legislation establishes for NO₂, without an hourly value — and its Article 64 declares it in force “until such time as the Enforcement Authority establishes new air quality standards” (</w:t>
      </w:r>
      <w:r w:rsidR="00F55871" w:rsidRPr="00F55871">
        <w:t xml:space="preserve">Law No. </w:t>
      </w:r>
      <w:r w:rsidRPr="00F55871">
        <w:t xml:space="preserve">1356, 2004). Stage 1 of </w:t>
      </w:r>
      <w:r w:rsidR="00F55871" w:rsidRPr="00F55871">
        <w:t xml:space="preserve">Resolution </w:t>
      </w:r>
      <w:r w:rsidRPr="00F55871">
        <w:t xml:space="preserve">68-APRA/21 reproduces exactly that value, so that 100 µg/m³ is not an arbitrary starting point but the continuation of the pre-existing standard, and the seven years of 2019–2025 are covered by a documented local annual standard; the local hourly standard, by contrast, is an innovation of that resolution. The figure plots stage 3 and not the complete schedule for two reasons: representing stage 1 would require extending the axis to 110 µg/m³, compressing bars that move between 24 and 48 µg/m³ with no informational gain; and, since the schedule only tightens, the last stage that came into force is the most demanding of them and operates as a conservative envelope. The conclusion of non-exceedance therefore holds in both senses: the maximum station-year of the whole period (La Boca, 57.9 µg/m³ in 2023) remains below the 60 µg/m³ of stage 3 and, a fortiori, below the value </w:t>
      </w:r>
      <w:proofErr w:type="gramStart"/>
      <w:r w:rsidRPr="00F55871">
        <w:t>actually in</w:t>
      </w:r>
      <w:proofErr w:type="gramEnd"/>
      <w:r w:rsidRPr="00F55871">
        <w:t xml:space="preserve"> force in each year.</w:t>
      </w:r>
    </w:p>
    <w:p w14:paraId="61A7BE76" w14:textId="77777777" w:rsidR="00D44238" w:rsidRPr="00F55871" w:rsidRDefault="00D44238" w:rsidP="00D44238">
      <w:pPr>
        <w:pStyle w:val="BodyText"/>
        <w:spacing w:before="0" w:after="0" w:line="276" w:lineRule="auto"/>
        <w:jc w:val="both"/>
      </w:pPr>
    </w:p>
    <w:p w14:paraId="2C16FB82" w14:textId="77777777" w:rsidR="00C51D1A" w:rsidRPr="00F55871" w:rsidRDefault="00000000" w:rsidP="00D44238">
      <w:pPr>
        <w:pStyle w:val="BodyText"/>
        <w:spacing w:before="0" w:after="0" w:line="276" w:lineRule="auto"/>
        <w:jc w:val="both"/>
      </w:pPr>
      <w:r w:rsidRPr="00F55871">
        <w:t>Article 4 establishes that the first three stages last one calendar year each and operate consecutively “counting from the entry into force of this act”, published on 29 April 2021, without specifying dates. The Agency's own annual reports date them: “the second stage entered into force in May 2022” (APRA, 2022) and “the third stage entered into force in May 2023” (APRA, 2023), from which the first was in force from May 2021; the 2024 report — the last identified on the official page consulted — still declares the third one in force (APRA, 2024), so that the validity of stage 3 is documented up to that report and no 2025 annual report was identified in the official sources consulted up to August 2026 that might modify that interpretation. In any case, the comparison in this figure does not depend on that dating: no station-year from 2019–2025 exceeds any of the three values that came into force.</w:t>
      </w:r>
    </w:p>
    <w:p w14:paraId="51CB29BE" w14:textId="77777777" w:rsidR="00D44238" w:rsidRPr="00F55871" w:rsidRDefault="00D44238" w:rsidP="00D44238">
      <w:pPr>
        <w:pStyle w:val="BodyText"/>
        <w:spacing w:before="0" w:after="0" w:line="276" w:lineRule="auto"/>
        <w:jc w:val="both"/>
      </w:pPr>
    </w:p>
    <w:p w14:paraId="08BB6473" w14:textId="0E211FCC" w:rsidR="00C51D1A" w:rsidRPr="00F55871" w:rsidRDefault="00000000" w:rsidP="00D44238">
      <w:pPr>
        <w:pStyle w:val="BodyText"/>
        <w:spacing w:before="0" w:after="0" w:line="276" w:lineRule="auto"/>
        <w:jc w:val="both"/>
      </w:pPr>
      <w:r w:rsidRPr="00F55871">
        <w:t xml:space="preserve">The short-term values of the four instruments are not represented in Fig. S4, because they correspond to averaging periods other than that of the bars: the 24-hour WHO guideline (25 µg/m³), the hourly value of Directive 2008/50/EC (200 µg/m³) — numerically coincident with that of the third stage of </w:t>
      </w:r>
      <w:r w:rsidR="00F55871" w:rsidRPr="00F55871">
        <w:t xml:space="preserve">Resolution </w:t>
      </w:r>
      <w:r w:rsidRPr="00F55871">
        <w:t>68-APRA/21 — and the daily and hourly values that Directive (EU) 2024/2881 sets from 2030 (50 and 200 µg/m³).</w:t>
      </w:r>
    </w:p>
    <w:p w14:paraId="34AA3E1F" w14:textId="77777777" w:rsidR="00D44238" w:rsidRPr="00F55871" w:rsidRDefault="00D44238" w:rsidP="00D44238">
      <w:pPr>
        <w:pStyle w:val="BodyText"/>
        <w:spacing w:before="0" w:after="0" w:line="276" w:lineRule="auto"/>
        <w:jc w:val="both"/>
      </w:pPr>
    </w:p>
    <w:p w14:paraId="1809486D" w14:textId="77777777" w:rsidR="00C51D1A" w:rsidRPr="00F55871" w:rsidRDefault="00000000" w:rsidP="00D44238">
      <w:pPr>
        <w:pStyle w:val="BodyText"/>
        <w:spacing w:before="0" w:after="0" w:line="276" w:lineRule="auto"/>
        <w:jc w:val="both"/>
      </w:pPr>
      <w:r w:rsidRPr="00F55871">
        <w:t>The mean across all stations exceeds the WHO guideline every year, and exceeds the transitional EU annual limit value in 2023 (46.7 µg/m³) and 2024 (47.8 µg/m³), considering only stations with representative coverage (≥75%) in each year, in line with EU Directive 2008/50/EC. However, since that subset of stations varies — one station in 2021–2022, and different pairs in 2023 (Parque Centenario and La Boca) and 2024 (Córdoba and La Boca) — the difference between 46.7 and 47.8 µg/m³ cannot be read as an interannual trend, since the composition of the network also changes between the two years.</w:t>
      </w:r>
    </w:p>
    <w:p w14:paraId="0045C87B" w14:textId="77777777" w:rsidR="00D44238" w:rsidRPr="00F55871" w:rsidRDefault="00D44238" w:rsidP="00D44238">
      <w:pPr>
        <w:pStyle w:val="BodyText"/>
        <w:spacing w:before="0" w:after="0" w:line="276" w:lineRule="auto"/>
        <w:jc w:val="both"/>
      </w:pPr>
    </w:p>
    <w:p w14:paraId="372C3D5D" w14:textId="77777777" w:rsidR="00C51D1A" w:rsidRPr="00F55871" w:rsidRDefault="00000000" w:rsidP="00D44238">
      <w:pPr>
        <w:pStyle w:val="BodyText"/>
        <w:spacing w:before="0" w:after="0" w:line="276" w:lineRule="auto"/>
        <w:jc w:val="both"/>
      </w:pPr>
      <w:r w:rsidRPr="00F55871">
        <w:lastRenderedPageBreak/>
        <w:t>The exceedance is nonetheless robust to that composition: La Boca — the only valid station in both years — exceeds the limit on its own and by a wide margin (57.9 µg/m³ in 2023 and 56.5 in 2024), while the remaining station in each year stays below it (35.5 and 39.1 µg/m³). This is therefore a phenomenon spatially concentrated in the mixed urban-industrial setting, and not a uniform condition across the whole city, which is consistent with the low redundancy between stations already documented.</w:t>
      </w:r>
    </w:p>
    <w:p w14:paraId="643890DC" w14:textId="77777777" w:rsidR="00D44238" w:rsidRPr="00F55871" w:rsidRDefault="00D44238" w:rsidP="00D44238">
      <w:pPr>
        <w:pStyle w:val="BodyText"/>
        <w:spacing w:before="0" w:after="0" w:line="276" w:lineRule="auto"/>
        <w:jc w:val="both"/>
      </w:pPr>
    </w:p>
    <w:p w14:paraId="373AE25E" w14:textId="0E2E71A8" w:rsidR="00C51D1A" w:rsidRPr="00F55871" w:rsidRDefault="00000000" w:rsidP="00D44238">
      <w:pPr>
        <w:pStyle w:val="BodyText"/>
        <w:spacing w:before="0" w:after="0" w:line="276" w:lineRule="auto"/>
        <w:jc w:val="both"/>
      </w:pPr>
      <w:r w:rsidRPr="00F55871">
        <w:t xml:space="preserve">On a city-scale daily mean basis, 81.2% of the days exceeded the 24-hour WHO guideline (25 µg/m³). No hourly record exceeded, during the period </w:t>
      </w:r>
      <w:proofErr w:type="spellStart"/>
      <w:r w:rsidRPr="00F55871">
        <w:t>analysed</w:t>
      </w:r>
      <w:proofErr w:type="spellEnd"/>
      <w:r w:rsidRPr="00F55871">
        <w:t xml:space="preserve">, the 200 µg/m³ hourly threshold set by both Directive 2008/50/EC and the third stage of </w:t>
      </w:r>
      <w:r w:rsidR="00F55871" w:rsidRPr="00F55871">
        <w:t xml:space="preserve">Resolution </w:t>
      </w:r>
      <w:r w:rsidRPr="00F55871">
        <w:t>68-APRA/21, so that the local hourly standard was not exceeded either. This points to sustained chronic exposure, rather than extreme hourly peaks, as the predominant pattern in the City of Buenos Aires.</w:t>
      </w:r>
    </w:p>
    <w:p w14:paraId="17E0D7E0" w14:textId="77777777" w:rsidR="00D44238" w:rsidRPr="00F55871" w:rsidRDefault="00D44238" w:rsidP="00D44238">
      <w:pPr>
        <w:pStyle w:val="BodyText"/>
        <w:spacing w:before="0" w:after="0" w:line="276" w:lineRule="auto"/>
        <w:jc w:val="both"/>
      </w:pPr>
    </w:p>
    <w:p w14:paraId="690AF1DC" w14:textId="77777777" w:rsidR="00C51D1A" w:rsidRPr="00F55871" w:rsidRDefault="00000000" w:rsidP="00D44238">
      <w:pPr>
        <w:pStyle w:val="Heading2"/>
        <w:spacing w:before="0" w:line="360" w:lineRule="auto"/>
      </w:pPr>
      <w:r w:rsidRPr="00F55871">
        <w:t>3 Performance in the 2025 evaluation year: extended breakdown</w:t>
      </w:r>
    </w:p>
    <w:p w14:paraId="63ED6A39" w14:textId="77777777" w:rsidR="00C51D1A" w:rsidRPr="00F55871" w:rsidRDefault="00000000" w:rsidP="00D44238">
      <w:pPr>
        <w:pStyle w:val="BodyText"/>
        <w:spacing w:before="0" w:after="0" w:line="276" w:lineRule="auto"/>
        <w:jc w:val="both"/>
      </w:pPr>
      <w:r w:rsidRPr="00F55871">
        <w:t>The marginal distribution of NO₂ in 2025 is broadly comparable with that of 2019–2024 in the statistics evaluated (its annual evolution and its coverage by station are in Online Resource 3, Fig. S5): the mean coincides (20.1 against 20.2 ppb; −0.3%), the 95th percentile is comparable (39.5 against 41.2 ppb) and the difference between distributions is small in magnitude (Kolmogorov–Smirnov D = 0.03), although significant because of the large sample size (p &lt; 0.001).</w:t>
      </w:r>
    </w:p>
    <w:p w14:paraId="5A8EFF3A" w14:textId="77777777" w:rsidR="00D44238" w:rsidRPr="00F55871" w:rsidRDefault="00D44238" w:rsidP="00D44238">
      <w:pPr>
        <w:pStyle w:val="BodyText"/>
        <w:spacing w:before="0" w:after="0" w:line="276" w:lineRule="auto"/>
        <w:jc w:val="both"/>
      </w:pPr>
    </w:p>
    <w:p w14:paraId="2610FCBA" w14:textId="77777777" w:rsidR="00C51D1A" w:rsidRPr="00F55871" w:rsidRDefault="00000000" w:rsidP="00D44238">
      <w:pPr>
        <w:pStyle w:val="BodyText"/>
        <w:spacing w:before="0" w:after="0" w:line="276" w:lineRule="auto"/>
        <w:jc w:val="both"/>
      </w:pPr>
      <w:r w:rsidRPr="00F55871">
        <w:t xml:space="preserve">Trained on the complete 2019–2024 series and evaluated on the evaluation year (excluded from fitting and from the primary model selection), </w:t>
      </w:r>
      <w:proofErr w:type="spellStart"/>
      <w:r w:rsidRPr="00F55871">
        <w:t>XGBoost</w:t>
      </w:r>
      <w:proofErr w:type="spellEnd"/>
      <w:r w:rsidRPr="00F55871">
        <w:t xml:space="preserve"> with the full configuration reached an RMSE (station-weighted mean) of 7.04 ppb at 24 hours, 7.69 ppb at 48 hours and 7.82 ppb at 72 hours. It thereby outperforms naive persistence — which has a negative R² at all horizons — by 23% at 24 hours and ≈27% at 48 hours. Both percentages are descriptive and are computed on the valid rows available for each model, which do not coincide exactly: 25,245 rows for </w:t>
      </w:r>
      <w:proofErr w:type="spellStart"/>
      <w:r w:rsidRPr="00F55871">
        <w:t>XGBoost</w:t>
      </w:r>
      <w:proofErr w:type="spellEnd"/>
      <w:r w:rsidRPr="00F55871">
        <w:t xml:space="preserve"> against 24,857 for persistence at 24 hours, 25,180 against 24,675 at 48 hours and 25,109 against 24,546 at 72 hours. The inferential contrast is indeed paired: the Diebold–Mariano test is computed on the common rows (n = 24,857, 24,675 and 24,546) and rejects equality at all three horizons; and the strictly paired comparison on the common daily 00 h issue times (Table 1; n = 1,025, 1,020 and 1,017) yields a similar improvement over the best persistence at each horizon (Online Resource 3, Fig. S6 — with the full configuration C as the reference for the source ablation, not because it uniformly has the lowest RMSE, and on the full 2025 hourly dataset, distinct from that of the common issue times of Table 1; the breakdown by model, horizon and station is in Online Resource 2, Table S13).</w:t>
      </w:r>
    </w:p>
    <w:p w14:paraId="0C1590DC" w14:textId="77777777" w:rsidR="00D44238" w:rsidRPr="00F55871" w:rsidRDefault="00D44238" w:rsidP="00D44238">
      <w:pPr>
        <w:pStyle w:val="BodyText"/>
        <w:spacing w:before="0" w:after="0" w:line="276" w:lineRule="auto"/>
        <w:jc w:val="both"/>
      </w:pPr>
    </w:p>
    <w:p w14:paraId="74BC343F" w14:textId="77777777" w:rsidR="00C51D1A" w:rsidRPr="00F55871" w:rsidRDefault="00000000" w:rsidP="00D44238">
      <w:pPr>
        <w:pStyle w:val="BodyText"/>
        <w:spacing w:before="0" w:after="0" w:line="276" w:lineRule="auto"/>
        <w:jc w:val="both"/>
      </w:pPr>
      <w:r w:rsidRPr="00F55871">
        <w:t xml:space="preserve">Here </w:t>
      </w:r>
      <w:proofErr w:type="spellStart"/>
      <w:r w:rsidRPr="00F55871">
        <w:t>XGBoost</w:t>
      </w:r>
      <w:proofErr w:type="spellEnd"/>
      <w:r w:rsidRPr="00F55871">
        <w:t xml:space="preserve"> also outperforms Ridge (7.57 ppb at 24 hours): the difference is significant at 24 h in the three variants of the Diebold–Mariano test (pooled panel, per station with Bonferroni and date-collapsed; p &lt; 10⁻⁴) and at 48 h in the pooled panel and the date-collapsed variant (p = 6.1 × </w:t>
      </w:r>
      <w:r w:rsidRPr="00F55871">
        <w:lastRenderedPageBreak/>
        <w:t>10⁻⁴ and 2.8 × 10⁻³, both surviving the global FDR with BH-adjusted p = 0.002 and 0.008). The per-station variant at 48 h is nominally significant after the internal Bonferroni correction (p = 0.029) but does not survive the global FDR correction (BH-adjusted p = 0.056</w:t>
      </w:r>
      <w:proofErr w:type="gramStart"/>
      <w:r w:rsidRPr="00F55871">
        <w:t>), and</w:t>
      </w:r>
      <w:proofErr w:type="gramEnd"/>
      <w:r w:rsidRPr="00F55871">
        <w:t xml:space="preserve"> is therefore not counted as significant; it is moreover sensitive to the HAC lag on the common daily issue times (see §9(b)). At 72 h it is not significant in any variant (p ≥ 0.057; artefact dm_variants_xgb_ridge.csv), thereby reversing, at short horizons, the ranking observed in cross-validation.</w:t>
      </w:r>
    </w:p>
    <w:p w14:paraId="05754BD4" w14:textId="77777777" w:rsidR="00D44238" w:rsidRPr="00F55871" w:rsidRDefault="00D44238" w:rsidP="00D44238">
      <w:pPr>
        <w:pStyle w:val="BodyText"/>
        <w:spacing w:before="0" w:after="0" w:line="276" w:lineRule="auto"/>
        <w:jc w:val="both"/>
      </w:pPr>
    </w:p>
    <w:p w14:paraId="732D5C6E" w14:textId="77777777" w:rsidR="00C51D1A" w:rsidRPr="00F55871" w:rsidRDefault="00000000" w:rsidP="00D44238">
      <w:pPr>
        <w:pStyle w:val="BodyText"/>
        <w:spacing w:before="0" w:after="0" w:line="276" w:lineRule="auto"/>
        <w:jc w:val="both"/>
      </w:pPr>
      <w:r w:rsidRPr="00F55871">
        <w:t xml:space="preserve">This reversal is consistent with a combined effect of training volume, recency and composition: in cross-validation each fold trains on few years, whereas the held-out year is evaluated with models trained on the complete 2019–2024 series. The training-volume sensitivity analysis (main article, Fig. 4) is consistent with that interpretation, although its design does not allow volume to be isolated from recency or from </w:t>
      </w:r>
      <w:proofErr w:type="spellStart"/>
      <w:r w:rsidRPr="00F55871">
        <w:t>station×year</w:t>
      </w:r>
      <w:proofErr w:type="spellEnd"/>
      <w:r w:rsidRPr="00F55871">
        <w:t xml:space="preserve"> composition. The formal crossover criterion defined in the analysis is not satisfied at any level and the 6–8 station-year region is exploratory, not a demonstrated threshold: the band of the station-year block bootstrap with refitting, which resamples the composition instead of conditioning on it, includes zero at the six levels evaluated (at 16 station-years, [−0.01, +0.51]; lc_hierboot_summary.csv), and the complete level K = 18 admits a single composition, so that the higher levels have fewer independent compositions. The reversal from cross-validation to 2025 is consistent with this interpretation: with few independent blocks the simple models appear competitive, whereas with the full volume and an evaluation on the held-out year the mean advantage shifts towards gradient boosting. The design does not, however, allow that shift to be attributed to volume in isolation, since recency and </w:t>
      </w:r>
      <w:proofErr w:type="spellStart"/>
      <w:r w:rsidRPr="00F55871">
        <w:t>station×year</w:t>
      </w:r>
      <w:proofErr w:type="spellEnd"/>
      <w:r w:rsidRPr="00F55871">
        <w:t xml:space="preserve"> composition vary simultaneously. The satellite does not explain this improvement: the configuration without satellite matches the full one.</w:t>
      </w:r>
    </w:p>
    <w:p w14:paraId="609D31BD" w14:textId="77777777" w:rsidR="00D44238" w:rsidRPr="00F55871" w:rsidRDefault="00D44238" w:rsidP="00D44238">
      <w:pPr>
        <w:pStyle w:val="BodyText"/>
        <w:spacing w:before="0" w:after="0" w:line="276" w:lineRule="auto"/>
        <w:jc w:val="both"/>
      </w:pPr>
    </w:p>
    <w:p w14:paraId="2E3FD86E" w14:textId="77777777" w:rsidR="00C51D1A" w:rsidRPr="00F55871" w:rsidRDefault="00000000" w:rsidP="00D44238">
      <w:pPr>
        <w:pStyle w:val="Heading2"/>
        <w:spacing w:before="0" w:line="276" w:lineRule="auto"/>
      </w:pPr>
      <w:r w:rsidRPr="00F55871">
        <w:t>4 Error structure across stations and levels; the optimistic estimate of the reanalysis</w:t>
      </w:r>
    </w:p>
    <w:p w14:paraId="625EC029" w14:textId="77777777" w:rsidR="00C51D1A" w:rsidRPr="00F55871" w:rsidRDefault="00000000" w:rsidP="00D44238">
      <w:pPr>
        <w:pStyle w:val="BodyText"/>
        <w:spacing w:before="0" w:after="0" w:line="276" w:lineRule="auto"/>
        <w:jc w:val="both"/>
      </w:pPr>
      <w:r w:rsidRPr="00F55871">
        <w:t xml:space="preserve">Performance is not homogeneous, either across stations or across concentration levels. The global R² over all stations (0.52 at 24 hours) exceeds the weighted average of the per-station R² values (0.36), because pooling stations with different means inflates the total explained variance; the latter figure is reported, being the more conservative. A relevant methodological aspect, developed in §8.3, is that performance with reanalysis meteorology (ERA5) is an optimistic estimate relative to an operational system that depends on forecast meteorology. The fine-grained ablation (Online Resource 3, Fig. S7; nested configurations defined before examining 2025) bounds that </w:t>
      </w:r>
      <w:proofErr w:type="spellStart"/>
      <w:r w:rsidRPr="00F55871">
        <w:t>idealisation</w:t>
      </w:r>
      <w:proofErr w:type="spellEnd"/>
      <w:r w:rsidRPr="00F55871">
        <w:t xml:space="preserve"> analytically: it shows that, if the system were retrained from the outset without meteorological variables, the error at 24 hours would not exceed that of the precursor configuration, which remains below the autoregressive baseline. Two experiments should be distinguished: this nested ablation removes meteorology from the feature set, whereas the meteorological degradation reported in Limitations retains meteorology as a predictor but replaces its values with operational proxies; both analyses allow a scenario-dependent impact to </w:t>
      </w:r>
      <w:r w:rsidRPr="00F55871">
        <w:lastRenderedPageBreak/>
        <w:t>be quantified: that of meteorological availability differs depending on whether the system is retrained from the outset without those variables or loses them during inference.</w:t>
      </w:r>
    </w:p>
    <w:p w14:paraId="206CE65B" w14:textId="77777777" w:rsidR="00D44238" w:rsidRPr="00F55871" w:rsidRDefault="00D44238" w:rsidP="00D44238">
      <w:pPr>
        <w:pStyle w:val="BodyText"/>
        <w:spacing w:before="0" w:after="0" w:line="276" w:lineRule="auto"/>
        <w:jc w:val="both"/>
      </w:pPr>
    </w:p>
    <w:p w14:paraId="67FEDAAE" w14:textId="77777777" w:rsidR="00C51D1A" w:rsidRDefault="00000000" w:rsidP="00D44238">
      <w:pPr>
        <w:pStyle w:val="BodyText"/>
        <w:spacing w:before="0" w:after="0" w:line="276" w:lineRule="auto"/>
        <w:jc w:val="both"/>
        <w:rPr>
          <w:lang w:val="es-419"/>
        </w:rPr>
      </w:pPr>
      <w:r w:rsidRPr="00F55871">
        <w:t>For the reference model (</w:t>
      </w:r>
      <w:proofErr w:type="spellStart"/>
      <w:r w:rsidRPr="00F55871">
        <w:t>XGBoost</w:t>
      </w:r>
      <w:proofErr w:type="spellEnd"/>
      <w:r w:rsidRPr="00F55871">
        <w:t xml:space="preserve">, configuration C, +24 h), the errors show informative systematic patterns (Fig. </w:t>
      </w:r>
      <w:r>
        <w:rPr>
          <w:lang w:val="es-419"/>
        </w:rPr>
        <w:t>S12, Online Resource 3).</w:t>
      </w:r>
    </w:p>
    <w:p w14:paraId="539F781A" w14:textId="77777777" w:rsidR="00D44238" w:rsidRPr="00D44238" w:rsidRDefault="00D44238" w:rsidP="00D44238">
      <w:pPr>
        <w:pStyle w:val="BodyText"/>
        <w:spacing w:before="0" w:after="0" w:line="276" w:lineRule="auto"/>
        <w:jc w:val="both"/>
        <w:rPr>
          <w:lang w:val="es-419"/>
        </w:rPr>
      </w:pPr>
    </w:p>
    <w:p w14:paraId="371833BB" w14:textId="77777777" w:rsidR="00C51D1A" w:rsidRPr="00F55871" w:rsidRDefault="00000000" w:rsidP="00F55871">
      <w:pPr>
        <w:pStyle w:val="Compact"/>
        <w:numPr>
          <w:ilvl w:val="0"/>
          <w:numId w:val="1"/>
        </w:numPr>
        <w:spacing w:line="276" w:lineRule="auto"/>
        <w:jc w:val="both"/>
      </w:pPr>
      <w:r w:rsidRPr="00F55871">
        <w:rPr>
          <w:b/>
        </w:rPr>
        <w:t>By station:</w:t>
      </w:r>
      <w:r w:rsidRPr="00F55871">
        <w:t xml:space="preserve"> the error is lowest at Parque Centenario (RMSE 6.14 ppb), intermediate at Córdoba (6.99 ppb) and highest at La Boca (7.98 ppb), a mixed urban-industrial site with greater variability.</w:t>
      </w:r>
    </w:p>
    <w:p w14:paraId="368563B4" w14:textId="77777777" w:rsidR="00C51D1A" w:rsidRPr="00F55871" w:rsidRDefault="00000000" w:rsidP="00F55871">
      <w:pPr>
        <w:pStyle w:val="Compact"/>
        <w:numPr>
          <w:ilvl w:val="0"/>
          <w:numId w:val="1"/>
        </w:numPr>
        <w:spacing w:line="276" w:lineRule="auto"/>
        <w:jc w:val="both"/>
      </w:pPr>
      <w:r w:rsidRPr="00F55871">
        <w:rPr>
          <w:b/>
        </w:rPr>
        <w:t>Level-dependent bias (regression to the mean):</w:t>
      </w:r>
      <w:r w:rsidRPr="00F55871">
        <w:t xml:space="preserve"> the model overestimates low concentrations (+6.0 ppb below 10 ppb) and increasingly underestimates high ones (−5.9 ppb in 30–40 ppb and −12.2 ppb above 40 ppb). This explains the difficulty in anticipating extreme values. The pattern is consistent with the </w:t>
      </w:r>
      <w:proofErr w:type="spellStart"/>
      <w:r w:rsidRPr="00F55871">
        <w:t>behaviour</w:t>
      </w:r>
      <w:proofErr w:type="spellEnd"/>
      <w:r w:rsidRPr="00F55871">
        <w:t xml:space="preserve"> of conditional-mean estimation under squared loss, combined with the imbalance of </w:t>
      </w:r>
      <w:proofErr w:type="gramStart"/>
      <w:r w:rsidRPr="00F55871">
        <w:t>concentrations</w:t>
      </w:r>
      <w:proofErr w:type="gramEnd"/>
      <w:r w:rsidRPr="00F55871">
        <w:t>, the scarcity of extremes and the limited predictive information available for those events.</w:t>
      </w:r>
    </w:p>
    <w:p w14:paraId="364EB0E8" w14:textId="77777777" w:rsidR="00C51D1A" w:rsidRPr="00F55871" w:rsidRDefault="00000000" w:rsidP="00F55871">
      <w:pPr>
        <w:pStyle w:val="Compact"/>
        <w:numPr>
          <w:ilvl w:val="0"/>
          <w:numId w:val="1"/>
        </w:numPr>
        <w:spacing w:line="276" w:lineRule="auto"/>
        <w:jc w:val="both"/>
      </w:pPr>
      <w:r w:rsidRPr="00F55871">
        <w:rPr>
          <w:b/>
        </w:rPr>
        <w:t>By hour of the day:</w:t>
      </w:r>
      <w:r w:rsidRPr="00F55871">
        <w:t xml:space="preserve"> the error is greater during the peaks of daytime activity (09:00–12:00 and 17:00) and lower in the early morning (05:00), consistent with the greater variability in periods of heavy traffic.</w:t>
      </w:r>
    </w:p>
    <w:p w14:paraId="044A8747" w14:textId="77777777" w:rsidR="00D44238" w:rsidRPr="00F55871" w:rsidRDefault="00D44238" w:rsidP="00D44238">
      <w:pPr>
        <w:pStyle w:val="Compact"/>
        <w:spacing w:line="276" w:lineRule="auto"/>
        <w:ind w:left="480"/>
        <w:jc w:val="both"/>
      </w:pPr>
    </w:p>
    <w:p w14:paraId="03E576D2" w14:textId="77777777" w:rsidR="00C51D1A" w:rsidRPr="00F55871" w:rsidRDefault="00000000" w:rsidP="00D44238">
      <w:pPr>
        <w:pStyle w:val="Heading2"/>
        <w:spacing w:before="0" w:line="360" w:lineRule="auto"/>
      </w:pPr>
      <w:r w:rsidRPr="00F55871">
        <w:t>5 Interpretability and uncertainty quantification</w:t>
      </w:r>
    </w:p>
    <w:p w14:paraId="150C1528" w14:textId="77777777" w:rsidR="00C51D1A" w:rsidRPr="00F55871" w:rsidRDefault="00000000" w:rsidP="00D44238">
      <w:pPr>
        <w:pStyle w:val="BodyText"/>
        <w:spacing w:before="0" w:after="0" w:line="276" w:lineRule="auto"/>
        <w:jc w:val="both"/>
      </w:pPr>
      <w:r w:rsidRPr="00F55871">
        <w:t>The SHAP values attribute the greatest weight to the recent autoregressive signal, followed by the calendar (≈22%) and the meteorological variables (≈16%), with an aggregated satellite contribution of the order of 6%. This SHAP importance does not contradict the absence of a detectable incremental contribution found in the ablation: SHAP distributes credit among correlated variables (Aas et al., 2021), so that, when the satellite is removed, its marginal information is recovered by meteorology and the autoregressive signal (the contribution by source in Online Resource 3, Figs. S9 and S11; the performance by severity stratum in Fig. S10). The same mechanism explains why no precursor appears among the fifteen most influential features (Online Resource 3, Fig. S11) even though the fine-grained ablation attributes a contribution to them: their signal is largely shared with the autoregressive term, which absorbs the credit. This interpretation should be qualified: the SHAP values describe the model fitted on this dataset, not a property of the atmosphere, and the redistribution of credit among correlated features limits the interpretation of individual attributions; §7 develops that caveat.</w:t>
      </w:r>
    </w:p>
    <w:p w14:paraId="0B946239" w14:textId="77777777" w:rsidR="00C51D1A" w:rsidRPr="00F55871" w:rsidRDefault="00000000" w:rsidP="00D44238">
      <w:pPr>
        <w:pStyle w:val="BodyText"/>
        <w:spacing w:before="0" w:after="0" w:line="276" w:lineRule="auto"/>
        <w:jc w:val="both"/>
      </w:pPr>
      <w:r w:rsidRPr="00F55871">
        <w:t>The error analysis reveals a level-dependent bias, characteristic of regression to the mean, quantified by decile and explained in §4 (Online Resource 3, Fig. S12). It explains the difficulty in anticipating extreme values and is an explicit limitation of the approach.</w:t>
      </w:r>
    </w:p>
    <w:p w14:paraId="25DE5CE7" w14:textId="77777777" w:rsidR="00D44238" w:rsidRPr="00F55871" w:rsidRDefault="00D44238" w:rsidP="00D44238">
      <w:pPr>
        <w:pStyle w:val="BodyText"/>
        <w:spacing w:before="0" w:after="0" w:line="276" w:lineRule="auto"/>
        <w:jc w:val="both"/>
      </w:pPr>
    </w:p>
    <w:p w14:paraId="3F24EFB8" w14:textId="7A64BBDE" w:rsidR="00D44238" w:rsidRPr="00F55871" w:rsidRDefault="00000000" w:rsidP="00D44238">
      <w:pPr>
        <w:pStyle w:val="BodyText"/>
        <w:spacing w:before="0" w:after="0" w:line="276" w:lineRule="auto"/>
        <w:jc w:val="both"/>
      </w:pPr>
      <w:r w:rsidRPr="00F55871">
        <w:t xml:space="preserve">Uncertainty was quantified by quantile regression. The 80% prediction interval reaches, as an annual description over the whole of 2025, an empirical coverage of 73.8% with a mean width of </w:t>
      </w:r>
      <w:r w:rsidRPr="00F55871">
        <w:lastRenderedPageBreak/>
        <w:t xml:space="preserve">15.4 ppb; but its quality degrades with severity: coverage falls from 77.4% at low concentrations (&lt;25 ppb) to 47.6% above 35 ppb (Online Resource 2, Table S17). That is, the interval loses reliability precisely during high-concentration hours. In the homogeneous comparison over the conformal evaluation period — August–December 2025; the same 10,419 observations, stations and horizon (+24 h) — the raw interval covers 73.3% (40.2% in the high stratum) and a conformal recalibration of the interval (Romano et al., 2019), with dated calibration (January–July 2025) and subsequent evaluation (August–December), raises the marginal coverage to 78.7–79.3% depending on the variant (global CQR, Mondrian by predicted level and a rolling 30-day CQR with a causal moving window), but does not restore coverage conditional on the high stratum (43.7–47.4%) (Online Resource 2, Table S18). Recalibration therefore corrects an average over the whole range and leaves uncorrected the regime of greatest health concern, where the uncertainty of the system is not adequately calibrated. An “oracle” variant that knew the observed stratum would reach 72.4% in the high stratum only with intervals 33 ppb </w:t>
      </w:r>
      <w:proofErr w:type="gramStart"/>
      <w:r w:rsidRPr="00F55871">
        <w:t>wide, and</w:t>
      </w:r>
      <w:proofErr w:type="gramEnd"/>
      <w:r w:rsidRPr="00F55871">
        <w:t xml:space="preserve"> is not deployable. These results are consistent with a combination of level-dependent bias and insufficient conditional calibration; improving </w:t>
      </w:r>
      <w:proofErr w:type="spellStart"/>
      <w:r w:rsidRPr="00F55871">
        <w:t>behaviour</w:t>
      </w:r>
      <w:proofErr w:type="spellEnd"/>
      <w:r w:rsidRPr="00F55871">
        <w:t xml:space="preserve"> in the high regime will probably require acting on the central forecast and/or explicitly modelling heteroskedasticity and the conditional distribution of the extremes. The time series of the forecast and of the 80% interval at La Boca is in Online Resource 3, Fig. S13.</w:t>
      </w:r>
    </w:p>
    <w:p w14:paraId="58E62B3F" w14:textId="77777777" w:rsidR="00C51D1A" w:rsidRPr="00F55871" w:rsidRDefault="00000000">
      <w:pPr>
        <w:pStyle w:val="Heading2"/>
        <w:spacing w:line="276" w:lineRule="auto"/>
      </w:pPr>
      <w:r w:rsidRPr="00F55871">
        <w:t>6 Detection of high-concentration hours and cost-sensitive operating points</w:t>
      </w:r>
    </w:p>
    <w:p w14:paraId="111603CE" w14:textId="77777777" w:rsidR="00C51D1A" w:rsidRPr="00F55871" w:rsidRDefault="00000000" w:rsidP="00D44238">
      <w:pPr>
        <w:pStyle w:val="BodyText"/>
        <w:spacing w:before="0" w:after="0" w:line="276" w:lineRule="auto"/>
        <w:jc w:val="both"/>
      </w:pPr>
      <w:r w:rsidRPr="00F55871">
        <w:t xml:space="preserve">The hourly alert policy is frozen before observing the evaluation year: a high-concentration hour is defined by the global 90th percentile of the 2019–2024 hourly training climatology pooling the three stations (NO₂ ≥ 35.03 ppb) — a common threshold whose interpretation must be tempered by the differences in level between stations; a sensitivity analysis with station-specific percentiles (P90 per station: Parque Centenario 29.38; Córdoba 35.83; La Boca 38.80 ppb) shows that, under the common threshold, detection is dominated by La Boca (POD 0.43, against 0.03 at Córdoba and 0 at Parque Centenario), whereas with per-station thresholds the pooled sensitivity falls to 0.18 (precision 0.57): the regression-to-the-mean bias makes it hard to anticipate the relative exceedances of each site, so that the choice between a common and a per-station threshold is a trade-off rather than an unconditional improvement (artefact episode_threshold_perstation.csv). Consecutive hours are not </w:t>
      </w:r>
      <w:proofErr w:type="gramStart"/>
      <w:r w:rsidRPr="00F55871">
        <w:t>grouped</w:t>
      </w:r>
      <w:proofErr w:type="gramEnd"/>
      <w:r w:rsidRPr="00F55871">
        <w:t xml:space="preserve"> and events are not delimited with a start, an end and a duration: the metrics are of hourly classification (sensitivity and precision at the hour level), not of event detection.</w:t>
      </w:r>
    </w:p>
    <w:p w14:paraId="4D310DFC" w14:textId="77777777" w:rsidR="00D44238" w:rsidRPr="00F55871" w:rsidRDefault="00D44238" w:rsidP="00D44238">
      <w:pPr>
        <w:pStyle w:val="BodyText"/>
        <w:spacing w:before="0" w:after="0" w:line="276" w:lineRule="auto"/>
        <w:jc w:val="both"/>
      </w:pPr>
    </w:p>
    <w:p w14:paraId="149CA93D" w14:textId="77777777" w:rsidR="00C51D1A" w:rsidRPr="00F55871" w:rsidRDefault="00000000" w:rsidP="00D44238">
      <w:pPr>
        <w:pStyle w:val="BodyText"/>
        <w:spacing w:before="0" w:after="0" w:line="276" w:lineRule="auto"/>
        <w:jc w:val="both"/>
      </w:pPr>
      <w:r w:rsidRPr="00F55871">
        <w:t xml:space="preserve">Two decisions should be distinguished. The definition of a high-concentration hour was fixed by means of the 90th percentile of the 2019–2024 training observations, without </w:t>
      </w:r>
      <w:proofErr w:type="spellStart"/>
      <w:r w:rsidRPr="00F55871">
        <w:t>optimisation</w:t>
      </w:r>
      <w:proofErr w:type="spellEnd"/>
      <w:r w:rsidRPr="00F55871">
        <w:t xml:space="preserve"> on predictions: it defines the positive class. The operational thresholds applied to the forecast — maximum F1 and the cost ratios — are, by contrast, selected on the out-of-sample predictions of the 2020–2024 cross-validation (n = 39,931), frozen (episode_threshold_</w:t>
      </w:r>
      <w:proofErr w:type="gramStart"/>
      <w:r w:rsidRPr="00F55871">
        <w:t>frozen.json</w:t>
      </w:r>
      <w:proofErr w:type="gramEnd"/>
      <w:r w:rsidRPr="00F55871">
        <w:t xml:space="preserve">) and evaluated once on 2025 (Online Resource 3, Fig. S14). With the climatological threshold, the 24-hour classifier is conservative: it captures 35.5% of the high-concentration hours (POD = 0.36), </w:t>
      </w:r>
      <w:r w:rsidRPr="00F55871">
        <w:lastRenderedPageBreak/>
        <w:t>with a precision of 62.0% and a false alarm ratio of 0.38 (Wilks, 2011) (Online Resource 2, Table S19), which reflects both the capability and the limits of the approach in a sparse network (base rate of high-concentration hours in 2025: 9.1%).</w:t>
      </w:r>
    </w:p>
    <w:p w14:paraId="2D6888BB" w14:textId="77777777" w:rsidR="00D44238" w:rsidRPr="00F55871" w:rsidRDefault="00D44238" w:rsidP="00D44238">
      <w:pPr>
        <w:pStyle w:val="BodyText"/>
        <w:spacing w:before="0" w:after="0" w:line="276" w:lineRule="auto"/>
        <w:jc w:val="both"/>
      </w:pPr>
    </w:p>
    <w:p w14:paraId="591553DD" w14:textId="77777777" w:rsidR="00C51D1A" w:rsidRPr="00F55871" w:rsidRDefault="00000000" w:rsidP="00D44238">
      <w:pPr>
        <w:pStyle w:val="BodyText"/>
        <w:spacing w:before="0" w:after="0" w:line="276" w:lineRule="auto"/>
        <w:jc w:val="both"/>
      </w:pPr>
      <w:r w:rsidRPr="00F55871">
        <w:t xml:space="preserve">Thus the combination of point prediction, uncertainty intervals and hourly exceedance classification offers a retrospective decision-support prototype, pending operational validation and station-specific calibration: its aggregate sensitivity is dominated by La Boca — 98.6% of the true positives, with a POD of practically zero at the other two stations under the common threshold — so that it does not constitute a uniform alert for the network, cannot be used as a sole alert, and suggests operating points adjustable to the relative cost of false alarms and misses. That trade-off is quantified with thresholds frozen beforehand on the cross-validation, by means of illustrative cost-ratio scenarios that explore the trade-off between detection and false alarms (they are not regulatory costs or operational recommendations): maximum F1 at </w:t>
      </w:r>
      <w:r>
        <w:rPr>
          <w:lang w:val="es-419"/>
        </w:rPr>
        <w:t>τ</w:t>
      </w:r>
      <w:r w:rsidRPr="00F55871">
        <w:t xml:space="preserve"> = 28.0 ppb (POD 0.70, precision 0.40); 2:1 → </w:t>
      </w:r>
      <w:r>
        <w:rPr>
          <w:lang w:val="es-419"/>
        </w:rPr>
        <w:t>τ</w:t>
      </w:r>
      <w:r w:rsidRPr="00F55871">
        <w:t xml:space="preserve"> = 30.5 ppb (POD 0.59, precision 0.48); 3:1 → </w:t>
      </w:r>
      <w:r>
        <w:rPr>
          <w:lang w:val="es-419"/>
        </w:rPr>
        <w:t>τ</w:t>
      </w:r>
      <w:r w:rsidRPr="00F55871">
        <w:t xml:space="preserve"> = 28.5 ppb (POD 0.68, precision 0.42); 5:1 → </w:t>
      </w:r>
      <w:r>
        <w:rPr>
          <w:lang w:val="es-419"/>
        </w:rPr>
        <w:t>τ</w:t>
      </w:r>
      <w:r w:rsidRPr="00F55871">
        <w:t xml:space="preserve"> = 26.0 ppb (POD 0.78, precision 0.34); 10:1 → </w:t>
      </w:r>
      <w:r>
        <w:rPr>
          <w:lang w:val="es-419"/>
        </w:rPr>
        <w:t>τ</w:t>
      </w:r>
      <w:r w:rsidRPr="00F55871">
        <w:t xml:space="preserve"> = 24.0 ppb (POD 0.85, precision 0.28) (Online Resource 2, Table S20). The operating point can thus be adjusted explicitly and ex ante to the public health priority of not missing high-concentration hours. Finally, a purely descriptive reference: an alert with a threshold recomputed retrospectively on 2025 itself (≈34.5 ppb, its 90th percentile) produced descriptively similar results (POD 0.38, precision 0.61; episode_threshold_sweep.csv); that is, the frozen policy shows no material degradation in this retrospective analysis.</w:t>
      </w:r>
    </w:p>
    <w:p w14:paraId="6ECFC604" w14:textId="77777777" w:rsidR="00D44238" w:rsidRPr="00F55871" w:rsidRDefault="00D44238" w:rsidP="00D44238">
      <w:pPr>
        <w:pStyle w:val="BodyText"/>
        <w:spacing w:before="0" w:after="0" w:line="276" w:lineRule="auto"/>
        <w:jc w:val="both"/>
      </w:pPr>
    </w:p>
    <w:p w14:paraId="223F22CC" w14:textId="77777777" w:rsidR="00C51D1A" w:rsidRPr="00F55871" w:rsidRDefault="00000000" w:rsidP="00D44238">
      <w:pPr>
        <w:pStyle w:val="Heading2"/>
        <w:spacing w:before="0" w:line="360" w:lineRule="auto"/>
      </w:pPr>
      <w:r w:rsidRPr="00F55871">
        <w:t>7 Physical interpretation and domain coherence</w:t>
      </w:r>
    </w:p>
    <w:p w14:paraId="6B26B9F5" w14:textId="77777777" w:rsidR="00C51D1A" w:rsidRPr="00F55871" w:rsidRDefault="00000000" w:rsidP="00D44238">
      <w:pPr>
        <w:pStyle w:val="BodyText"/>
        <w:spacing w:before="0" w:after="0" w:line="276" w:lineRule="auto"/>
        <w:jc w:val="both"/>
      </w:pPr>
      <w:r w:rsidRPr="00F55871">
        <w:t xml:space="preserve">The importance structure obtained is consistent with physically expected relationships, which lends plausibility and internal interpretive coherence. That consistency does not, however, constitute an independent validation of the system, nor does it establish its predictive capacity — which is assessed separately, on the held-out year — and neither does it identify causal mechanisms: it describes how the fitted model uses its features on this dataset, not how the atmosphere behaves. Accordingly, the following interpretation should be understood as describing model associations that are compatible with domain knowledge. The predominance of the recent autoregressive signal is consistent with the short atmospheric lifetime of NO₂ and its strong hourly persistence (Seinfeld &amp; </w:t>
      </w:r>
      <w:proofErr w:type="spellStart"/>
      <w:r w:rsidRPr="00F55871">
        <w:t>Pandis</w:t>
      </w:r>
      <w:proofErr w:type="spellEnd"/>
      <w:r w:rsidRPr="00F55871">
        <w:t xml:space="preserve">, 2016), evident in the mean diurnal cycle (Online Resource 3, Fig. S15). The weight of meteorology reflects the control that boundary layer height, wind and stability exert on the dispersion and accumulation of the pollutant. And the absence of a detectable marginal satellite contribution can plausibly be attributed — without causal demonstration — to two factors. First, a spatial scale mismatch: the native footprint of TROPOMI (of the order of 3.5 × 5.5 km) is comparable to or larger than the separation between stations (3.5 to 6.8 km), so that the stations receive strongly overlapping or spatially similar satellite footprints, which limits the capacity of TROPOMI to represent the intra-urban heterogeneity that the surface network does capture. Second, the daily tropospheric column, </w:t>
      </w:r>
      <w:r w:rsidRPr="00F55871">
        <w:lastRenderedPageBreak/>
        <w:t xml:space="preserve">subject to cloudiness and to a single orbital overpass, adds little information once surface NO₂ and meteorology are already present; this agrees with the only moderate correlation between the tropospheric column and the surface concentration reported in the literature (Morillas et al., 2024; </w:t>
      </w:r>
      <w:proofErr w:type="spellStart"/>
      <w:r w:rsidRPr="00F55871">
        <w:t>Pseftogkas</w:t>
      </w:r>
      <w:proofErr w:type="spellEnd"/>
      <w:r w:rsidRPr="00F55871">
        <w:t xml:space="preserve"> et al., 2022). The case of the recurrent models illustrates the central argument: their disadvantage cannot be shown to be intrinsic, since it is conditional on the data regime and the tuning budget evaluated; in denser networks, or with longer and more regular series, that capacity to model long temporal dependencies could </w:t>
      </w:r>
      <w:proofErr w:type="spellStart"/>
      <w:r w:rsidRPr="00F55871">
        <w:t>materialise</w:t>
      </w:r>
      <w:proofErr w:type="spellEnd"/>
      <w:r w:rsidRPr="00F55871">
        <w:t xml:space="preserve">, a hypothesis that requires external evaluation. Finally, this reading of NO₂ as a tracer of vehicle combustion is consistent with the official APRA inventories, which identify mobile sources as the main source of pollutant emissions in the </w:t>
      </w:r>
      <w:proofErr w:type="gramStart"/>
      <w:r w:rsidRPr="00F55871">
        <w:t>City</w:t>
      </w:r>
      <w:proofErr w:type="gramEnd"/>
      <w:r w:rsidRPr="00F55871">
        <w:t xml:space="preserve"> (APRA, 2019).</w:t>
      </w:r>
    </w:p>
    <w:p w14:paraId="47B8E1A4" w14:textId="77777777" w:rsidR="00C51D1A" w:rsidRPr="00F55871" w:rsidRDefault="00000000">
      <w:pPr>
        <w:pStyle w:val="Heading2"/>
        <w:spacing w:line="276" w:lineRule="auto"/>
      </w:pPr>
      <w:r w:rsidRPr="00F55871">
        <w:t>8 Statistical robustness analyses</w:t>
      </w:r>
    </w:p>
    <w:p w14:paraId="1AB53150" w14:textId="77777777" w:rsidR="00C51D1A" w:rsidRPr="00F55871" w:rsidRDefault="00000000" w:rsidP="00F55871">
      <w:pPr>
        <w:pStyle w:val="Heading3"/>
        <w:spacing w:line="360" w:lineRule="auto"/>
      </w:pPr>
      <w:r w:rsidRPr="00F55871">
        <w:t>8.1 Diebold–Mariano pooled across stations: edge control</w:t>
      </w:r>
    </w:p>
    <w:p w14:paraId="362E3EDC" w14:textId="33EC833C" w:rsidR="00D44238" w:rsidRPr="00F55871" w:rsidRDefault="00000000" w:rsidP="00D44238">
      <w:pPr>
        <w:pStyle w:val="BodyText"/>
        <w:spacing w:before="0" w:after="0" w:line="276" w:lineRule="auto"/>
        <w:jc w:val="both"/>
      </w:pPr>
      <w:r w:rsidRPr="00F55871">
        <w:t xml:space="preserve">Among the three Diebold–Mariano (DM) variants that the manuscript declares, the pooled-panel variant is computed on the pooled loss differential of the three stations, with a Newey–West HAC correction (Bartlett kernel, bandwidth L = h − 1 = 23 in hourly units at the 24 h horizon, since this variant operates on the pooled hourly loss differential). Concatenating the </w:t>
      </w:r>
      <w:proofErr w:type="gramStart"/>
      <w:r w:rsidRPr="00F55871">
        <w:t>three error</w:t>
      </w:r>
      <w:proofErr w:type="gramEnd"/>
      <w:r w:rsidRPr="00F55871">
        <w:t xml:space="preserve"> series into a single vector causes the long-run variance </w:t>
      </w:r>
      <w:proofErr w:type="gramStart"/>
      <w:r w:rsidRPr="00F55871">
        <w:t>estimate</w:t>
      </w:r>
      <w:proofErr w:type="gramEnd"/>
      <w:r w:rsidRPr="00F55871">
        <w:t xml:space="preserve"> to include, at the two boundaries between stations, autocovariances that mix the end of one station's series with the start of the next — approximately 2 × 23 = 46 spurious cross-products out of 25,245 pairs (~0.18%).</w:t>
      </w:r>
    </w:p>
    <w:p w14:paraId="4ECFB03B" w14:textId="77777777" w:rsidR="00D44238" w:rsidRPr="00F55871" w:rsidRDefault="00D44238" w:rsidP="00D44238">
      <w:pPr>
        <w:pStyle w:val="BodyText"/>
        <w:spacing w:before="0" w:after="0" w:line="276" w:lineRule="auto"/>
        <w:jc w:val="both"/>
      </w:pPr>
    </w:p>
    <w:p w14:paraId="6C86E7D3" w14:textId="77777777" w:rsidR="00C51D1A" w:rsidRPr="00F55871" w:rsidRDefault="00000000" w:rsidP="00D44238">
      <w:pPr>
        <w:pStyle w:val="BodyText"/>
        <w:spacing w:before="0" w:after="0" w:line="276" w:lineRule="auto"/>
        <w:jc w:val="both"/>
      </w:pPr>
      <w:r w:rsidRPr="00F55871">
        <w:t xml:space="preserve">As a sensitivity control for that variant, the DM statistic of the </w:t>
      </w:r>
      <w:proofErr w:type="spellStart"/>
      <w:r w:rsidRPr="00F55871">
        <w:t>XGBoost</w:t>
      </w:r>
      <w:proofErr w:type="spellEnd"/>
      <w:r w:rsidRPr="00F55871">
        <w:t xml:space="preserve">–Ridge contrast at +24 h was recomputed respecting the station boundaries (autocovariances estimated within each station, long-run variance combined by block size). As Table OR4-1 shows, the result is practically identical. This control corresponds to the pooled variant and is complementary to the primary </w:t>
      </w:r>
      <w:proofErr w:type="spellStart"/>
      <w:r w:rsidRPr="00F55871">
        <w:t>XGBoost</w:t>
      </w:r>
      <w:proofErr w:type="spellEnd"/>
      <w:r w:rsidRPr="00F55871">
        <w:t>–SARIMA inference, which rests on the date-collapsed differences over common issue times.</w:t>
      </w:r>
    </w:p>
    <w:p w14:paraId="40EF3619" w14:textId="77777777" w:rsidR="00D44238" w:rsidRPr="00F55871" w:rsidRDefault="00D44238" w:rsidP="00D44238">
      <w:pPr>
        <w:pStyle w:val="BodyText"/>
        <w:spacing w:before="0" w:after="0" w:line="276" w:lineRule="auto"/>
        <w:jc w:val="both"/>
      </w:pPr>
    </w:p>
    <w:p w14:paraId="0E787A59" w14:textId="77777777" w:rsidR="00C51D1A" w:rsidRPr="00F55871" w:rsidRDefault="00000000" w:rsidP="00D44238">
      <w:pPr>
        <w:pStyle w:val="BodyText"/>
        <w:spacing w:before="0" w:after="0" w:line="276" w:lineRule="auto"/>
        <w:jc w:val="both"/>
      </w:pPr>
      <w:r w:rsidRPr="00F55871">
        <w:rPr>
          <w:b/>
          <w:bCs/>
        </w:rPr>
        <w:t>Table OR4-1</w:t>
      </w:r>
      <w:r w:rsidRPr="00F55871">
        <w:t xml:space="preserve"> Sensitivity of the Diebold–Mariano statistic to the treatment of the boundaries between stations (</w:t>
      </w:r>
      <w:proofErr w:type="spellStart"/>
      <w:r w:rsidRPr="00F55871">
        <w:t>XGBoost</w:t>
      </w:r>
      <w:proofErr w:type="spellEnd"/>
      <w:r w:rsidRPr="00F55871">
        <w:t xml:space="preserve"> against Ridge, +24 h)</w:t>
      </w:r>
    </w:p>
    <w:p w14:paraId="452F47A9" w14:textId="77777777" w:rsidR="00D44238" w:rsidRPr="00F55871" w:rsidRDefault="00D44238" w:rsidP="00D44238">
      <w:pPr>
        <w:pStyle w:val="BodyText"/>
        <w:spacing w:before="0" w:after="0" w:line="276" w:lineRule="auto"/>
        <w:jc w:val="both"/>
      </w:pPr>
    </w:p>
    <w:tbl>
      <w:tblPr>
        <w:tblStyle w:val="Table"/>
        <w:tblW w:w="9360" w:type="dxa"/>
        <w:tblInd w:w="0" w:type="dxa"/>
        <w:tblBorders>
          <w:top w:val="single" w:sz="8" w:space="0" w:color="000000"/>
          <w:bottom w:val="single" w:sz="8" w:space="0" w:color="000000"/>
        </w:tblBorders>
        <w:tblLayout w:type="fixed"/>
        <w:tblLook w:val="07E0" w:firstRow="1" w:lastRow="1" w:firstColumn="1" w:lastColumn="1" w:noHBand="1" w:noVBand="1"/>
      </w:tblPr>
      <w:tblGrid>
        <w:gridCol w:w="4679"/>
        <w:gridCol w:w="4681"/>
      </w:tblGrid>
      <w:tr w:rsidR="00C51D1A" w14:paraId="03072AE9" w14:textId="77777777">
        <w:trPr>
          <w:cantSplit/>
          <w:tblHeader/>
        </w:trPr>
        <w:tc>
          <w:tcPr>
            <w:tcW w:w="4679" w:type="dxa"/>
            <w:tcBorders>
              <w:bottom w:val="single" w:sz="6" w:space="0" w:color="000000"/>
            </w:tcBorders>
            <w:vAlign w:val="bottom"/>
          </w:tcPr>
          <w:p w14:paraId="3EFA6300" w14:textId="77777777" w:rsidR="00C51D1A" w:rsidRDefault="00000000">
            <w:pPr>
              <w:pStyle w:val="Compact"/>
              <w:rPr>
                <w:rFonts w:ascii="Times New Roman" w:eastAsia="Times New Roman" w:hAnsi="Times New Roman"/>
                <w:b/>
              </w:rPr>
            </w:pPr>
            <w:r>
              <w:rPr>
                <w:rFonts w:eastAsia="Times New Roman"/>
                <w:b/>
              </w:rPr>
              <w:t>Estimate</w:t>
            </w:r>
          </w:p>
        </w:tc>
        <w:tc>
          <w:tcPr>
            <w:tcW w:w="4680" w:type="dxa"/>
            <w:tcBorders>
              <w:bottom w:val="single" w:sz="6" w:space="0" w:color="000000"/>
            </w:tcBorders>
            <w:vAlign w:val="bottom"/>
          </w:tcPr>
          <w:p w14:paraId="26B4D975" w14:textId="77777777" w:rsidR="00C51D1A" w:rsidRDefault="00000000">
            <w:pPr>
              <w:pStyle w:val="Compact"/>
              <w:rPr>
                <w:rFonts w:ascii="Times New Roman" w:eastAsia="Times New Roman" w:hAnsi="Times New Roman"/>
                <w:b/>
              </w:rPr>
            </w:pPr>
            <w:r>
              <w:rPr>
                <w:rFonts w:eastAsia="Times New Roman"/>
                <w:b/>
              </w:rPr>
              <w:t>DM (</w:t>
            </w:r>
            <w:proofErr w:type="spellStart"/>
            <w:r>
              <w:rPr>
                <w:rFonts w:eastAsia="Times New Roman"/>
                <w:b/>
              </w:rPr>
              <w:t>XGBoost</w:t>
            </w:r>
            <w:proofErr w:type="spellEnd"/>
            <w:r>
              <w:rPr>
                <w:rFonts w:eastAsia="Times New Roman"/>
                <w:b/>
              </w:rPr>
              <w:t xml:space="preserve"> vs Ridge, +24 h)</w:t>
            </w:r>
          </w:p>
        </w:tc>
      </w:tr>
      <w:tr w:rsidR="00C51D1A" w14:paraId="229A25AA" w14:textId="77777777">
        <w:trPr>
          <w:cantSplit/>
        </w:trPr>
        <w:tc>
          <w:tcPr>
            <w:tcW w:w="4679" w:type="dxa"/>
          </w:tcPr>
          <w:p w14:paraId="4505D21C" w14:textId="77777777" w:rsidR="00C51D1A" w:rsidRDefault="00000000">
            <w:pPr>
              <w:pStyle w:val="Compact"/>
              <w:rPr>
                <w:rFonts w:ascii="Times New Roman" w:eastAsia="Times New Roman" w:hAnsi="Times New Roman"/>
              </w:rPr>
            </w:pPr>
            <w:r>
              <w:rPr>
                <w:rFonts w:eastAsia="Times New Roman"/>
              </w:rPr>
              <w:t>Pooled, crossing boundaries (reported)</w:t>
            </w:r>
          </w:p>
        </w:tc>
        <w:tc>
          <w:tcPr>
            <w:tcW w:w="4680" w:type="dxa"/>
          </w:tcPr>
          <w:p w14:paraId="0B5A4F20" w14:textId="77777777" w:rsidR="00C51D1A" w:rsidRDefault="00000000">
            <w:pPr>
              <w:pStyle w:val="Compact"/>
              <w:rPr>
                <w:rFonts w:ascii="Times New Roman" w:eastAsia="Times New Roman" w:hAnsi="Times New Roman"/>
              </w:rPr>
            </w:pPr>
            <w:r>
              <w:rPr>
                <w:rFonts w:eastAsia="Times New Roman"/>
              </w:rPr>
              <w:t>−9.8717</w:t>
            </w:r>
          </w:p>
        </w:tc>
      </w:tr>
      <w:tr w:rsidR="00C51D1A" w14:paraId="5A468473" w14:textId="77777777">
        <w:trPr>
          <w:cantSplit/>
        </w:trPr>
        <w:tc>
          <w:tcPr>
            <w:tcW w:w="4679" w:type="dxa"/>
          </w:tcPr>
          <w:p w14:paraId="0EA3B697" w14:textId="77777777" w:rsidR="00C51D1A" w:rsidRPr="00F55871" w:rsidRDefault="00000000">
            <w:pPr>
              <w:pStyle w:val="Compact"/>
              <w:rPr>
                <w:rFonts w:ascii="Times New Roman" w:eastAsia="Times New Roman" w:hAnsi="Times New Roman"/>
              </w:rPr>
            </w:pPr>
            <w:r w:rsidRPr="00F55871">
              <w:rPr>
                <w:rFonts w:eastAsia="Times New Roman"/>
              </w:rPr>
              <w:t>By station blocks (respects boundaries)</w:t>
            </w:r>
          </w:p>
        </w:tc>
        <w:tc>
          <w:tcPr>
            <w:tcW w:w="4680" w:type="dxa"/>
          </w:tcPr>
          <w:p w14:paraId="39A06B70" w14:textId="77777777" w:rsidR="00C51D1A" w:rsidRDefault="00000000">
            <w:pPr>
              <w:pStyle w:val="Compact"/>
              <w:rPr>
                <w:rFonts w:ascii="Times New Roman" w:eastAsia="Times New Roman" w:hAnsi="Times New Roman"/>
              </w:rPr>
            </w:pPr>
            <w:r>
              <w:rPr>
                <w:rFonts w:eastAsia="Times New Roman"/>
              </w:rPr>
              <w:t>−9.8891</w:t>
            </w:r>
          </w:p>
        </w:tc>
      </w:tr>
      <w:tr w:rsidR="00C51D1A" w14:paraId="45A47325" w14:textId="77777777">
        <w:trPr>
          <w:cantSplit/>
        </w:trPr>
        <w:tc>
          <w:tcPr>
            <w:tcW w:w="4679" w:type="dxa"/>
          </w:tcPr>
          <w:p w14:paraId="5E5404AB" w14:textId="77777777" w:rsidR="00C51D1A" w:rsidRDefault="00000000">
            <w:pPr>
              <w:pStyle w:val="Compact"/>
              <w:rPr>
                <w:rFonts w:ascii="Times New Roman" w:eastAsia="Times New Roman" w:hAnsi="Times New Roman"/>
              </w:rPr>
            </w:pPr>
            <w:r>
              <w:rPr>
                <w:rFonts w:eastAsia="Times New Roman"/>
              </w:rPr>
              <w:t>Absolute difference</w:t>
            </w:r>
          </w:p>
        </w:tc>
        <w:tc>
          <w:tcPr>
            <w:tcW w:w="4680" w:type="dxa"/>
          </w:tcPr>
          <w:p w14:paraId="58440C9B" w14:textId="77777777" w:rsidR="00C51D1A" w:rsidRDefault="00000000">
            <w:pPr>
              <w:pStyle w:val="Compact"/>
              <w:rPr>
                <w:rFonts w:ascii="Times New Roman" w:eastAsia="Times New Roman" w:hAnsi="Times New Roman"/>
              </w:rPr>
            </w:pPr>
            <w:r>
              <w:rPr>
                <w:rFonts w:eastAsia="Times New Roman"/>
              </w:rPr>
              <w:t>0.0174</w:t>
            </w:r>
          </w:p>
        </w:tc>
      </w:tr>
    </w:tbl>
    <w:p w14:paraId="50E22E4E" w14:textId="77777777" w:rsidR="00C51D1A" w:rsidRPr="00F55871" w:rsidRDefault="00000000" w:rsidP="00D44238">
      <w:pPr>
        <w:pStyle w:val="BodyText"/>
        <w:spacing w:after="0" w:line="276" w:lineRule="auto"/>
        <w:jc w:val="both"/>
      </w:pPr>
      <w:r w:rsidRPr="00F55871">
        <w:t>At 48 h the pair is −3.5371 / −3.5359 and at 72 h −1.7125 / −1.7160 (artefact dm_edge_control.csv, canonical purged run). Both estimates yield, at each horizon, the same decision at the adopted significance level and the same conclusion: edge contamination is negligible and the reported statistic is robust to this choice.</w:t>
      </w:r>
    </w:p>
    <w:p w14:paraId="751F2985" w14:textId="77777777" w:rsidR="00D44238" w:rsidRPr="00F55871" w:rsidRDefault="00D44238" w:rsidP="00D44238">
      <w:pPr>
        <w:pStyle w:val="BodyText"/>
        <w:spacing w:before="0" w:after="0" w:line="276" w:lineRule="auto"/>
        <w:jc w:val="both"/>
      </w:pPr>
    </w:p>
    <w:p w14:paraId="10173457" w14:textId="77777777" w:rsidR="00C51D1A" w:rsidRPr="00F55871" w:rsidRDefault="00000000" w:rsidP="00D44238">
      <w:pPr>
        <w:pStyle w:val="BodyText"/>
        <w:spacing w:before="0" w:after="0" w:line="276" w:lineRule="auto"/>
        <w:jc w:val="both"/>
        <w:rPr>
          <w:iCs/>
        </w:rPr>
      </w:pPr>
      <w:r w:rsidRPr="00F55871">
        <w:rPr>
          <w:iCs/>
        </w:rPr>
        <w:t xml:space="preserve">Reproducible from </w:t>
      </w:r>
      <w:r w:rsidRPr="00F55871">
        <w:rPr>
          <w:i/>
        </w:rPr>
        <w:t>02_data/results/test2025_predictions_Cfull.csv</w:t>
      </w:r>
      <w:r w:rsidRPr="00F55871">
        <w:rPr>
          <w:iCs/>
        </w:rPr>
        <w:t xml:space="preserve">; the pooled estimator is implemented in 01_scripts/05_analysis/statistical_tests.py and the station-block variant is distributed as an artefact (dm_edge_control.csv). Canonical purge (additional edge control): the comparison between the variant without the purge and the canonical purged pipeline changes the headline RMSE of </w:t>
      </w:r>
      <w:proofErr w:type="spellStart"/>
      <w:r w:rsidRPr="00F55871">
        <w:rPr>
          <w:iCs/>
        </w:rPr>
        <w:t>XGBoost</w:t>
      </w:r>
      <w:proofErr w:type="spellEnd"/>
      <w:r w:rsidRPr="00F55871">
        <w:rPr>
          <w:iCs/>
        </w:rPr>
        <w:t xml:space="preserve"> C by −0.046/−0.016/+0.014 ppb at 24/48/72 h (artefact test2025_embargo_comparison.csv; Online Resource 2, Table S6), an order of magnitude below the reported differences, without altering conclusions, rankings or significance levels; the headline figures correspond to the purged pipeline and the pure effect of the purge, isolated with a deterministic Ridge, is of the order of 0.001 ppb (max. 0.0011).</w:t>
      </w:r>
    </w:p>
    <w:p w14:paraId="653FA473" w14:textId="77777777" w:rsidR="00C51D1A" w:rsidRPr="00F55871" w:rsidRDefault="00000000" w:rsidP="00F55871">
      <w:pPr>
        <w:pStyle w:val="Heading3"/>
        <w:spacing w:line="360" w:lineRule="auto"/>
      </w:pPr>
      <w:r w:rsidRPr="00F55871">
        <w:t>8.2 Evaluation regime of the ablation and complementary control</w:t>
      </w:r>
    </w:p>
    <w:p w14:paraId="5594CE7B" w14:textId="77777777" w:rsidR="00C51D1A" w:rsidRPr="00F55871" w:rsidRDefault="00000000" w:rsidP="00D44238">
      <w:pPr>
        <w:pStyle w:val="BodyText"/>
        <w:spacing w:before="0" w:after="0" w:line="276" w:lineRule="auto"/>
        <w:jc w:val="both"/>
      </w:pPr>
      <w:r w:rsidRPr="00F55871">
        <w:t xml:space="preserve">The deployed system predicts over all hours with surface observations: </w:t>
      </w:r>
      <w:proofErr w:type="spellStart"/>
      <w:r w:rsidRPr="00F55871">
        <w:t>XGBoost</w:t>
      </w:r>
      <w:proofErr w:type="spellEnd"/>
      <w:r w:rsidRPr="00F55871">
        <w:t xml:space="preserve"> handles missing satellite values natively, so that the full configuration (C) is not restricted to clear-sky hours. Consequently, the source contributions reported in the main text (the model-family comparison and fine-grained ablation sections of the manuscript) are computed in this operational regime — all configurations trained and evaluated on the same ~25,200 evaluation rows with a valid target — which is how the system would run in production and what makes the comparison against persistence valid (evaluated on the same rows).</w:t>
      </w:r>
    </w:p>
    <w:p w14:paraId="134E84E5" w14:textId="77777777" w:rsidR="00D44238" w:rsidRPr="00F55871" w:rsidRDefault="00D44238" w:rsidP="00D44238">
      <w:pPr>
        <w:pStyle w:val="BodyText"/>
        <w:spacing w:before="0" w:after="0" w:line="276" w:lineRule="auto"/>
        <w:jc w:val="both"/>
      </w:pPr>
    </w:p>
    <w:p w14:paraId="48C22471" w14:textId="77777777" w:rsidR="00C51D1A" w:rsidRPr="00F55871" w:rsidRDefault="00000000" w:rsidP="00D44238">
      <w:pPr>
        <w:pStyle w:val="BodyText"/>
        <w:spacing w:before="0" w:after="0" w:line="276" w:lineRule="auto"/>
        <w:jc w:val="both"/>
      </w:pPr>
      <w:r w:rsidRPr="00F55871">
        <w:t xml:space="preserve">As a complementary control, the ablation was repeated in a strict regime restricting training and evaluation to the rows with the lagged satellite columns </w:t>
      </w:r>
      <w:proofErr w:type="gramStart"/>
      <w:r w:rsidRPr="00F55871">
        <w:t>actually present</w:t>
      </w:r>
      <w:proofErr w:type="gramEnd"/>
      <w:r w:rsidRPr="00F55871">
        <w:t xml:space="preserve"> (~77 thousand for training, ~17.6 thousand for evaluation; artefact ablation_strict.csv). There, the fusion gain (B3 vs A) is +6.6% at 24 h and the marginal satellite contribution (C vs B3) is −0.3%; in the operational regime the analogous values are +6.6% and +0.1%. Both regimes agree qualitatively: the fusion is dominated by </w:t>
      </w:r>
      <w:proofErr w:type="gramStart"/>
      <w:r w:rsidRPr="00F55871">
        <w:t>meteorology</w:t>
      </w:r>
      <w:proofErr w:type="gramEnd"/>
      <w:r w:rsidRPr="00F55871">
        <w:t xml:space="preserve"> and the satellite contribution shows no detectable incremental improvement. A </w:t>
      </w:r>
      <w:proofErr w:type="spellStart"/>
      <w:r w:rsidRPr="00F55871">
        <w:t>characterisation</w:t>
      </w:r>
      <w:proofErr w:type="spellEnd"/>
      <w:r w:rsidRPr="00F55871">
        <w:t xml:space="preserve"> with five seeds (mean +0.0%, standard deviation 0.35%, range [−0.3%, +0.5%], crossing zero) reinforces the absence of a detectable incremental satellite contribution in both regimes evaluated.</w:t>
      </w:r>
    </w:p>
    <w:p w14:paraId="04BC0D4C" w14:textId="77777777" w:rsidR="00D44238" w:rsidRPr="00F55871" w:rsidRDefault="00D44238" w:rsidP="00D44238">
      <w:pPr>
        <w:pStyle w:val="BodyText"/>
        <w:spacing w:before="0" w:after="0" w:line="276" w:lineRule="auto"/>
        <w:jc w:val="both"/>
      </w:pPr>
    </w:p>
    <w:p w14:paraId="5AFCE222" w14:textId="77777777" w:rsidR="00C51D1A" w:rsidRPr="00F55871" w:rsidRDefault="00000000" w:rsidP="00D44238">
      <w:pPr>
        <w:pStyle w:val="BodyText"/>
        <w:spacing w:before="0" w:after="0" w:line="276" w:lineRule="auto"/>
        <w:jc w:val="both"/>
      </w:pPr>
      <w:r w:rsidRPr="00F55871">
        <w:t xml:space="preserve">Reproducible from </w:t>
      </w:r>
      <w:r w:rsidRPr="00F55871">
        <w:rPr>
          <w:i/>
          <w:iCs/>
        </w:rPr>
        <w:t>01_scripts/05_analysis/ablation_fine.py</w:t>
      </w:r>
      <w:r w:rsidRPr="00F55871">
        <w:t xml:space="preserve"> (operational regime, by default); the strict regime is obtained by restricting training/evaluation to the common rows with the satellite present.</w:t>
      </w:r>
    </w:p>
    <w:p w14:paraId="327C1F73" w14:textId="77777777" w:rsidR="00C51D1A" w:rsidRPr="00F55871" w:rsidRDefault="00000000" w:rsidP="00D44238">
      <w:pPr>
        <w:pStyle w:val="Heading3"/>
        <w:spacing w:line="360" w:lineRule="auto"/>
      </w:pPr>
      <w:r w:rsidRPr="00F55871">
        <w:t xml:space="preserve">8.3 Optimistic estimate under the “perfect meteorology” </w:t>
      </w:r>
      <w:proofErr w:type="spellStart"/>
      <w:r w:rsidRPr="00F55871">
        <w:t>idealisation</w:t>
      </w:r>
      <w:proofErr w:type="spellEnd"/>
    </w:p>
    <w:p w14:paraId="5ECF443C" w14:textId="77777777" w:rsidR="00C51D1A" w:rsidRPr="00F55871" w:rsidRDefault="00000000" w:rsidP="00D44238">
      <w:pPr>
        <w:pStyle w:val="BodyText"/>
        <w:spacing w:before="0" w:after="0" w:line="276" w:lineRule="auto"/>
        <w:jc w:val="both"/>
      </w:pPr>
      <w:r w:rsidRPr="00F55871">
        <w:t xml:space="preserve">Performance with ERA5 (reanalysis) meteorology is an optimistic estimate relative to an operational system that depends on forecast meteorology. The fine-grained ablation bounds this </w:t>
      </w:r>
      <w:proofErr w:type="spellStart"/>
      <w:r w:rsidRPr="00F55871">
        <w:t>idealisation</w:t>
      </w:r>
      <w:proofErr w:type="spellEnd"/>
      <w:r w:rsidRPr="00F55871">
        <w:t xml:space="preserve"> analytically, without an additional experiment: the marginal value of perfect meteorology over the precursors-only configuration (B1→B3) is 0.31 ppb (4.2%) at 24 h, 0.07 ppb (0.9%) at 48 h and 0.03 ppb (0.4%) at 72 h. Two distinct but non-contradictory scenarios should be distinguished. If the system is retrained from the outset without meteorology, the </w:t>
      </w:r>
      <w:r w:rsidRPr="00F55871">
        <w:lastRenderedPageBreak/>
        <w:t xml:space="preserve">corresponding counterfactual is configuration B1, with a 24 h RMSE of 7.35 ppb, still below the autoregressive baseline (A, 7.55 ppb). If, on the other hand, a model trained with meteorology loses those variables during inference, the degradation can be greater, as the </w:t>
      </w:r>
      <w:proofErr w:type="spellStart"/>
      <w:r w:rsidRPr="00F55871">
        <w:t>inference_missing</w:t>
      </w:r>
      <w:proofErr w:type="spellEnd"/>
      <w:r w:rsidRPr="00F55871">
        <w:t xml:space="preserve"> scenario described below shows. The script 01_scripts/05_analysis/meteo_sensitivity.py empirically quantifies the operational degradation within that range, evaluating persisted (t-24 h) and noisy versions of the ERA5 variables in the 2025 evaluation year: with persisted meteorology the observed degradation is +0.32 ppb at 24 h and ≤0.06 at 48–72 h, and with no meteorology at all, +0.84 ppb (artefact meteo_sensitivity.csv).</w:t>
      </w:r>
    </w:p>
    <w:p w14:paraId="0523873F" w14:textId="77777777" w:rsidR="00D44238" w:rsidRPr="00F55871" w:rsidRDefault="00D44238" w:rsidP="00D44238">
      <w:pPr>
        <w:pStyle w:val="BodyText"/>
        <w:spacing w:before="0" w:after="0" w:line="276" w:lineRule="auto"/>
        <w:jc w:val="both"/>
      </w:pPr>
    </w:p>
    <w:p w14:paraId="50799A3F" w14:textId="77777777" w:rsidR="00C51D1A" w:rsidRPr="00F55871" w:rsidRDefault="00000000" w:rsidP="00D44238">
      <w:pPr>
        <w:pStyle w:val="BodyText"/>
        <w:spacing w:before="0" w:after="0" w:line="276" w:lineRule="auto"/>
        <w:jc w:val="both"/>
      </w:pPr>
      <w:r w:rsidRPr="00F55871">
        <w:t>These values are reproducible from 02_data/results/ablation_fine.csv.</w:t>
      </w:r>
    </w:p>
    <w:p w14:paraId="325BF675" w14:textId="77777777" w:rsidR="00D44238" w:rsidRPr="00F55871" w:rsidRDefault="00D44238" w:rsidP="00D44238">
      <w:pPr>
        <w:pStyle w:val="BodyText"/>
        <w:spacing w:before="0" w:after="0" w:line="276" w:lineRule="auto"/>
        <w:jc w:val="both"/>
      </w:pPr>
    </w:p>
    <w:p w14:paraId="641F44AB" w14:textId="77777777" w:rsidR="00C51D1A" w:rsidRPr="00F55871" w:rsidRDefault="00000000" w:rsidP="00D44238">
      <w:pPr>
        <w:pStyle w:val="Heading3"/>
        <w:spacing w:before="0" w:line="360" w:lineRule="auto"/>
      </w:pPr>
      <w:r w:rsidRPr="00F55871">
        <w:t>8.4 Naive persistence RMSE across artefacts</w:t>
      </w:r>
    </w:p>
    <w:p w14:paraId="1E9A2F89" w14:textId="77777777" w:rsidR="00C51D1A" w:rsidRPr="00F55871" w:rsidRDefault="00000000" w:rsidP="00D44238">
      <w:pPr>
        <w:pStyle w:val="FirstParagraph"/>
        <w:spacing w:before="0" w:line="276" w:lineRule="auto"/>
        <w:jc w:val="both"/>
      </w:pPr>
      <w:r w:rsidRPr="00F55871">
        <w:t>The naive persistence baseline appears with slightly different RMSE values depending on the common sample subset on which it is evaluated, and these do not constitute an inconsistency:</w:t>
      </w:r>
    </w:p>
    <w:p w14:paraId="1C1E6553" w14:textId="77777777" w:rsidR="00C51D1A" w:rsidRPr="00F55871" w:rsidRDefault="00000000" w:rsidP="00D44238">
      <w:pPr>
        <w:pStyle w:val="Compact"/>
        <w:numPr>
          <w:ilvl w:val="0"/>
          <w:numId w:val="1"/>
        </w:numPr>
        <w:spacing w:line="276" w:lineRule="auto"/>
        <w:jc w:val="both"/>
      </w:pPr>
      <w:r w:rsidRPr="00F55871">
        <w:rPr>
          <w:b/>
        </w:rPr>
        <w:t xml:space="preserve">9.12 ppb (+24 </w:t>
      </w:r>
      <w:proofErr w:type="gramStart"/>
      <w:r w:rsidRPr="00F55871">
        <w:rPr>
          <w:b/>
        </w:rPr>
        <w:t>h)</w:t>
      </w:r>
      <w:r w:rsidRPr="00F55871">
        <w:t xml:space="preserve"> —</w:t>
      </w:r>
      <w:proofErr w:type="gramEnd"/>
      <w:r w:rsidRPr="00F55871">
        <w:t xml:space="preserve"> the aggregate for the 2025 evaluation year (Online Resource 2, Table S13; test2025_aggregate.csv), evaluated on the exact rows that the model predicts.</w:t>
      </w:r>
    </w:p>
    <w:p w14:paraId="5521F0BA" w14:textId="77777777" w:rsidR="00C51D1A" w:rsidRPr="00F55871" w:rsidRDefault="00000000" w:rsidP="00D44238">
      <w:pPr>
        <w:pStyle w:val="Compact"/>
        <w:numPr>
          <w:ilvl w:val="0"/>
          <w:numId w:val="1"/>
        </w:numPr>
        <w:spacing w:line="276" w:lineRule="auto"/>
        <w:jc w:val="both"/>
      </w:pPr>
      <w:r w:rsidRPr="00F55871">
        <w:rPr>
          <w:b/>
        </w:rPr>
        <w:t xml:space="preserve">9.15 ppb (+24 </w:t>
      </w:r>
      <w:proofErr w:type="gramStart"/>
      <w:r w:rsidRPr="00F55871">
        <w:rPr>
          <w:b/>
        </w:rPr>
        <w:t>h)</w:t>
      </w:r>
      <w:r w:rsidRPr="00F55871">
        <w:t xml:space="preserve"> —</w:t>
      </w:r>
      <w:proofErr w:type="gramEnd"/>
      <w:r w:rsidRPr="00F55871">
        <w:t xml:space="preserve"> seasonal_persistence_metrics.csv, evaluated on the intersection of rows that are </w:t>
      </w:r>
      <w:r w:rsidRPr="00F55871">
        <w:rPr>
          <w:i/>
        </w:rPr>
        <w:t>also</w:t>
      </w:r>
      <w:r w:rsidRPr="00F55871">
        <w:t xml:space="preserve"> valid for the weekly seasonal baseline (a slightly smaller common sample, so the value differs marginally).</w:t>
      </w:r>
    </w:p>
    <w:p w14:paraId="121CE5AB" w14:textId="77777777" w:rsidR="00C51D1A" w:rsidRPr="00F55871" w:rsidRDefault="00000000" w:rsidP="00D44238">
      <w:pPr>
        <w:pStyle w:val="Compact"/>
        <w:numPr>
          <w:ilvl w:val="0"/>
          <w:numId w:val="1"/>
        </w:numPr>
        <w:spacing w:line="276" w:lineRule="auto"/>
        <w:jc w:val="both"/>
      </w:pPr>
      <w:r w:rsidRPr="00F55871">
        <w:rPr>
          <w:b/>
        </w:rPr>
        <w:t xml:space="preserve">9.70 ppb (+24 </w:t>
      </w:r>
      <w:proofErr w:type="gramStart"/>
      <w:r w:rsidRPr="00F55871">
        <w:rPr>
          <w:b/>
        </w:rPr>
        <w:t>h)</w:t>
      </w:r>
      <w:r w:rsidRPr="00F55871">
        <w:t xml:space="preserve"> —</w:t>
      </w:r>
      <w:proofErr w:type="gramEnd"/>
      <w:r w:rsidRPr="00F55871">
        <w:t xml:space="preserve"> the cross-validation (Fig. 2 of the manuscript; Online Resource 2, Table S5), a different evaluation regime (per fold, not the 2025 evaluation year).</w:t>
      </w:r>
    </w:p>
    <w:p w14:paraId="35BA715A" w14:textId="77777777" w:rsidR="00D44238" w:rsidRPr="00F55871" w:rsidRDefault="00D44238" w:rsidP="00D44238">
      <w:pPr>
        <w:pStyle w:val="BodyText"/>
        <w:spacing w:before="0" w:after="0" w:line="276" w:lineRule="auto"/>
        <w:jc w:val="both"/>
      </w:pPr>
    </w:p>
    <w:p w14:paraId="79A37948" w14:textId="09DE71A5" w:rsidR="00C51D1A" w:rsidRPr="00F55871" w:rsidRDefault="00000000" w:rsidP="00D44238">
      <w:pPr>
        <w:pStyle w:val="BodyText"/>
        <w:spacing w:before="0" w:after="0" w:line="276" w:lineRule="auto"/>
        <w:jc w:val="both"/>
      </w:pPr>
      <w:r w:rsidRPr="00F55871">
        <w:t>All three are computed with the same estimator (ŷ(</w:t>
      </w:r>
      <w:proofErr w:type="spellStart"/>
      <w:r w:rsidRPr="00F55871">
        <w:t>t+h</w:t>
      </w:r>
      <w:proofErr w:type="spellEnd"/>
      <w:r w:rsidRPr="00F55871">
        <w:t>) = NO₂(t)); the differences reflect only the evaluation sample/regime, not a methodological discrepancy. The value cited in the main text and in the aggregate for the 2025 evaluation year (9.12 ppb) is the figure for that year evaluated on the model's own valid rows.</w:t>
      </w:r>
    </w:p>
    <w:p w14:paraId="73884A02" w14:textId="77777777" w:rsidR="00D44238" w:rsidRPr="00F55871" w:rsidRDefault="00D44238" w:rsidP="00D44238">
      <w:pPr>
        <w:pStyle w:val="BodyText"/>
        <w:spacing w:before="0" w:after="0" w:line="276" w:lineRule="auto"/>
        <w:jc w:val="both"/>
      </w:pPr>
    </w:p>
    <w:p w14:paraId="0F70A6C9" w14:textId="77777777" w:rsidR="00C51D1A" w:rsidRPr="00F55871" w:rsidRDefault="00000000" w:rsidP="00D44238">
      <w:pPr>
        <w:pStyle w:val="Heading3"/>
        <w:spacing w:before="0" w:line="360" w:lineRule="auto"/>
      </w:pPr>
      <w:r w:rsidRPr="00F55871">
        <w:t>8.5 Pairwise significance (Wilcoxon) in cross-validation</w:t>
      </w:r>
    </w:p>
    <w:p w14:paraId="6FBB2896" w14:textId="77777777" w:rsidR="00C51D1A" w:rsidRPr="00F55871" w:rsidRDefault="00000000" w:rsidP="00D44238">
      <w:pPr>
        <w:pStyle w:val="BodyText"/>
        <w:spacing w:before="0" w:after="0" w:line="276" w:lineRule="auto"/>
        <w:jc w:val="both"/>
      </w:pPr>
      <w:r w:rsidRPr="00F55871">
        <w:t xml:space="preserve">The main text (the cross-validation results) reports that, in the cross-validation regime, the linear models (Ridge) lead the mean ranking, with significantly lower error than Random Forest at the long horizons and a non-significant advantage over </w:t>
      </w:r>
      <w:proofErr w:type="spellStart"/>
      <w:r w:rsidRPr="00F55871">
        <w:t>XGBoost</w:t>
      </w:r>
      <w:proofErr w:type="spellEnd"/>
      <w:r w:rsidRPr="00F55871">
        <w:t xml:space="preserve">. The pairwise signed-rank (Wilcoxon) tests across the eight folds are </w:t>
      </w:r>
      <w:proofErr w:type="spellStart"/>
      <w:r w:rsidRPr="00F55871">
        <w:t>summarised</w:t>
      </w:r>
      <w:proofErr w:type="spellEnd"/>
      <w:r w:rsidRPr="00F55871">
        <w:t xml:space="preserve"> in Table OR4-2.</w:t>
      </w:r>
    </w:p>
    <w:p w14:paraId="7A10EBD7" w14:textId="77777777" w:rsidR="00C51D1A" w:rsidRPr="00F55871" w:rsidRDefault="00000000">
      <w:pPr>
        <w:pStyle w:val="BodyText"/>
        <w:keepNext/>
        <w:keepLines/>
        <w:spacing w:after="60" w:line="276" w:lineRule="auto"/>
      </w:pPr>
      <w:r w:rsidRPr="00F55871">
        <w:rPr>
          <w:b/>
        </w:rPr>
        <w:t xml:space="preserve">Table OR4-2 </w:t>
      </w:r>
      <w:r w:rsidRPr="00F55871">
        <w:t>Pairwise Wilcoxon signed-rank tests across the eight cross-validation folds, horizons of 48 and 72 h</w:t>
      </w:r>
    </w:p>
    <w:tbl>
      <w:tblPr>
        <w:tblStyle w:val="Table"/>
        <w:tblW w:w="9360" w:type="dxa"/>
        <w:tblInd w:w="0" w:type="dxa"/>
        <w:tblBorders>
          <w:top w:val="single" w:sz="8" w:space="0" w:color="000000"/>
          <w:bottom w:val="single" w:sz="8" w:space="0" w:color="000000"/>
        </w:tblBorders>
        <w:tblLayout w:type="fixed"/>
        <w:tblLook w:val="07E0" w:firstRow="1" w:lastRow="1" w:firstColumn="1" w:lastColumn="1" w:noHBand="1" w:noVBand="1"/>
      </w:tblPr>
      <w:tblGrid>
        <w:gridCol w:w="3120"/>
        <w:gridCol w:w="3120"/>
        <w:gridCol w:w="3120"/>
      </w:tblGrid>
      <w:tr w:rsidR="00C51D1A" w14:paraId="0ECE72A5" w14:textId="77777777">
        <w:trPr>
          <w:cantSplit/>
          <w:tblHeader/>
        </w:trPr>
        <w:tc>
          <w:tcPr>
            <w:tcW w:w="3120" w:type="dxa"/>
            <w:tcBorders>
              <w:bottom w:val="single" w:sz="6" w:space="0" w:color="000000"/>
            </w:tcBorders>
            <w:vAlign w:val="bottom"/>
          </w:tcPr>
          <w:p w14:paraId="76347FED" w14:textId="77777777" w:rsidR="00C51D1A" w:rsidRDefault="00000000">
            <w:pPr>
              <w:pStyle w:val="Compact"/>
              <w:rPr>
                <w:rFonts w:ascii="Times New Roman" w:eastAsia="Times New Roman" w:hAnsi="Times New Roman"/>
                <w:b/>
              </w:rPr>
            </w:pPr>
            <w:r>
              <w:rPr>
                <w:rFonts w:eastAsia="Times New Roman"/>
                <w:b/>
              </w:rPr>
              <w:t>Comparison</w:t>
            </w:r>
          </w:p>
        </w:tc>
        <w:tc>
          <w:tcPr>
            <w:tcW w:w="3120" w:type="dxa"/>
            <w:tcBorders>
              <w:bottom w:val="single" w:sz="6" w:space="0" w:color="000000"/>
            </w:tcBorders>
            <w:vAlign w:val="bottom"/>
          </w:tcPr>
          <w:p w14:paraId="571CABCB" w14:textId="77777777" w:rsidR="00C51D1A" w:rsidRDefault="00000000">
            <w:pPr>
              <w:pStyle w:val="Compact"/>
              <w:rPr>
                <w:rFonts w:ascii="Times New Roman" w:eastAsia="Times New Roman" w:hAnsi="Times New Roman"/>
                <w:b/>
              </w:rPr>
            </w:pPr>
            <w:r>
              <w:rPr>
                <w:rFonts w:eastAsia="Times New Roman"/>
                <w:b/>
              </w:rPr>
              <w:t>+48 h</w:t>
            </w:r>
          </w:p>
        </w:tc>
        <w:tc>
          <w:tcPr>
            <w:tcW w:w="3120" w:type="dxa"/>
            <w:tcBorders>
              <w:bottom w:val="single" w:sz="6" w:space="0" w:color="000000"/>
            </w:tcBorders>
            <w:vAlign w:val="bottom"/>
          </w:tcPr>
          <w:p w14:paraId="01F77EF7" w14:textId="77777777" w:rsidR="00C51D1A" w:rsidRDefault="00000000">
            <w:pPr>
              <w:pStyle w:val="Compact"/>
              <w:rPr>
                <w:rFonts w:ascii="Times New Roman" w:eastAsia="Times New Roman" w:hAnsi="Times New Roman"/>
                <w:b/>
              </w:rPr>
            </w:pPr>
            <w:r>
              <w:rPr>
                <w:rFonts w:eastAsia="Times New Roman"/>
                <w:b/>
              </w:rPr>
              <w:t>+72 h</w:t>
            </w:r>
          </w:p>
        </w:tc>
      </w:tr>
      <w:tr w:rsidR="00C51D1A" w14:paraId="1C433760" w14:textId="77777777">
        <w:trPr>
          <w:cantSplit/>
        </w:trPr>
        <w:tc>
          <w:tcPr>
            <w:tcW w:w="3120" w:type="dxa"/>
          </w:tcPr>
          <w:p w14:paraId="2110DE2A" w14:textId="77777777" w:rsidR="00C51D1A" w:rsidRDefault="00000000">
            <w:pPr>
              <w:pStyle w:val="Compact"/>
              <w:rPr>
                <w:rFonts w:ascii="Times New Roman" w:eastAsia="Times New Roman" w:hAnsi="Times New Roman"/>
              </w:rPr>
            </w:pPr>
            <w:r>
              <w:rPr>
                <w:rFonts w:eastAsia="Times New Roman"/>
              </w:rPr>
              <w:t>Ridge vs Random Forest</w:t>
            </w:r>
          </w:p>
        </w:tc>
        <w:tc>
          <w:tcPr>
            <w:tcW w:w="3120" w:type="dxa"/>
          </w:tcPr>
          <w:p w14:paraId="1F27C0E9" w14:textId="77777777" w:rsidR="00C51D1A" w:rsidRDefault="00000000">
            <w:pPr>
              <w:pStyle w:val="Compact"/>
              <w:rPr>
                <w:rFonts w:ascii="Times New Roman" w:eastAsia="Times New Roman" w:hAnsi="Times New Roman"/>
              </w:rPr>
            </w:pPr>
            <w:r>
              <w:rPr>
                <w:rFonts w:eastAsia="Times New Roman"/>
              </w:rPr>
              <w:t>p = 0.04</w:t>
            </w:r>
          </w:p>
        </w:tc>
        <w:tc>
          <w:tcPr>
            <w:tcW w:w="3120" w:type="dxa"/>
          </w:tcPr>
          <w:p w14:paraId="53206157" w14:textId="77777777" w:rsidR="00C51D1A" w:rsidRDefault="00000000">
            <w:pPr>
              <w:pStyle w:val="Compact"/>
              <w:rPr>
                <w:rFonts w:ascii="Times New Roman" w:eastAsia="Times New Roman" w:hAnsi="Times New Roman"/>
              </w:rPr>
            </w:pPr>
            <w:r>
              <w:rPr>
                <w:rFonts w:eastAsia="Times New Roman"/>
              </w:rPr>
              <w:t>p = 0.04</w:t>
            </w:r>
          </w:p>
        </w:tc>
      </w:tr>
      <w:tr w:rsidR="00C51D1A" w14:paraId="18B118AF" w14:textId="77777777">
        <w:trPr>
          <w:cantSplit/>
        </w:trPr>
        <w:tc>
          <w:tcPr>
            <w:tcW w:w="3120" w:type="dxa"/>
          </w:tcPr>
          <w:p w14:paraId="59B01F83" w14:textId="77777777" w:rsidR="00C51D1A" w:rsidRDefault="00000000">
            <w:pPr>
              <w:pStyle w:val="Compact"/>
              <w:rPr>
                <w:rFonts w:ascii="Times New Roman" w:eastAsia="Times New Roman" w:hAnsi="Times New Roman"/>
              </w:rPr>
            </w:pPr>
            <w:r>
              <w:rPr>
                <w:rFonts w:eastAsia="Times New Roman"/>
              </w:rPr>
              <w:t xml:space="preserve">Ridge vs </w:t>
            </w:r>
            <w:proofErr w:type="spellStart"/>
            <w:r>
              <w:rPr>
                <w:rFonts w:eastAsia="Times New Roman"/>
              </w:rPr>
              <w:t>XGBoost</w:t>
            </w:r>
            <w:proofErr w:type="spellEnd"/>
          </w:p>
        </w:tc>
        <w:tc>
          <w:tcPr>
            <w:tcW w:w="3120" w:type="dxa"/>
          </w:tcPr>
          <w:p w14:paraId="54B5C2EC" w14:textId="77777777" w:rsidR="00C51D1A" w:rsidRDefault="00000000">
            <w:pPr>
              <w:pStyle w:val="Compact"/>
              <w:rPr>
                <w:rFonts w:ascii="Times New Roman" w:eastAsia="Times New Roman" w:hAnsi="Times New Roman"/>
              </w:rPr>
            </w:pPr>
            <w:r>
              <w:rPr>
                <w:rFonts w:eastAsia="Times New Roman"/>
              </w:rPr>
              <w:t>p = 0.08</w:t>
            </w:r>
          </w:p>
        </w:tc>
        <w:tc>
          <w:tcPr>
            <w:tcW w:w="3120" w:type="dxa"/>
          </w:tcPr>
          <w:p w14:paraId="5C03CBDF" w14:textId="77777777" w:rsidR="00C51D1A" w:rsidRDefault="00000000">
            <w:pPr>
              <w:pStyle w:val="Compact"/>
              <w:rPr>
                <w:rFonts w:ascii="Times New Roman" w:eastAsia="Times New Roman" w:hAnsi="Times New Roman"/>
              </w:rPr>
            </w:pPr>
            <w:r>
              <w:rPr>
                <w:rFonts w:eastAsia="Times New Roman"/>
              </w:rPr>
              <w:t>p = 0.08</w:t>
            </w:r>
          </w:p>
        </w:tc>
      </w:tr>
    </w:tbl>
    <w:p w14:paraId="0CF333BF" w14:textId="77777777" w:rsidR="009E06A3" w:rsidRDefault="009E06A3" w:rsidP="00D44238">
      <w:pPr>
        <w:pStyle w:val="BodyText"/>
        <w:spacing w:before="0" w:after="0" w:line="276" w:lineRule="auto"/>
        <w:jc w:val="both"/>
        <w:rPr>
          <w:lang w:val="es-419"/>
        </w:rPr>
      </w:pPr>
    </w:p>
    <w:p w14:paraId="5D0CAFEA" w14:textId="582B373E" w:rsidR="00C51D1A" w:rsidRPr="00F55871" w:rsidRDefault="00000000" w:rsidP="00D44238">
      <w:pPr>
        <w:pStyle w:val="BodyText"/>
        <w:spacing w:before="0" w:after="0" w:line="276" w:lineRule="auto"/>
        <w:jc w:val="both"/>
      </w:pPr>
      <w:r w:rsidRPr="00F55871">
        <w:lastRenderedPageBreak/>
        <w:t xml:space="preserve">Although Ridge has the lowest mean error at all horizons and, at 48 hours, outperforms Random Forest in seven of the eight folds and </w:t>
      </w:r>
      <w:proofErr w:type="spellStart"/>
      <w:r w:rsidRPr="00F55871">
        <w:t>XGBoost</w:t>
      </w:r>
      <w:proofErr w:type="spellEnd"/>
      <w:r w:rsidRPr="00F55871">
        <w:t xml:space="preserve"> in six, the difference is significant at the 5% level only against Random Forest at 48 and 72 hours (p = 0.04); against </w:t>
      </w:r>
      <w:proofErr w:type="spellStart"/>
      <w:r w:rsidRPr="00F55871">
        <w:t>XGBoost</w:t>
      </w:r>
      <w:proofErr w:type="spellEnd"/>
      <w:r w:rsidRPr="00F55871">
        <w:t xml:space="preserve"> the difference is not statistically significant (p = 0.08). At 24 hours, the mean advantage of Ridge is driven by a few folds (Córdoba 2020, La Boca 2021 and 2023) and does not reach significance (p = 0.74). This is why cross-validation is treated as exploratory evidence of the relative ranking, whereas the primary inference rests on the 2025 evaluation year (~25,000 forecasts per horizon, which give the Diebold–Mariano test far greater power than eight folds) and, in order to explore the joint sensitivity to volume, recency and composition of the training set, on the learning curves of the manuscript. The ranking is not uniform across stations: at Parque Centenario (urban background and the longest series) </w:t>
      </w:r>
      <w:proofErr w:type="spellStart"/>
      <w:r w:rsidRPr="00F55871">
        <w:t>XGBoost</w:t>
      </w:r>
      <w:proofErr w:type="spellEnd"/>
      <w:r w:rsidRPr="00F55871">
        <w:t xml:space="preserve"> already outperforms Ridge in cross-validation, whereas the advantage of Ridge is concentrated at Córdoba and La Boca. This heterogeneity is consistent with the central interpretation: the results point to a relative improvement of the complex models as the training set grows, although the design does not allow it to be attributed exclusively to data volume.</w:t>
      </w:r>
    </w:p>
    <w:p w14:paraId="3C5146A7" w14:textId="77777777" w:rsidR="009E06A3" w:rsidRPr="00F55871" w:rsidRDefault="009E06A3" w:rsidP="009E06A3">
      <w:pPr>
        <w:pStyle w:val="BodyText"/>
        <w:spacing w:before="0" w:after="0" w:line="276" w:lineRule="auto"/>
        <w:jc w:val="both"/>
      </w:pPr>
    </w:p>
    <w:p w14:paraId="4AC582A4" w14:textId="36141AB4" w:rsidR="00C51D1A" w:rsidRPr="00F55871" w:rsidRDefault="00000000" w:rsidP="009E06A3">
      <w:pPr>
        <w:pStyle w:val="BodyText"/>
        <w:spacing w:before="0" w:after="0" w:line="276" w:lineRule="auto"/>
        <w:jc w:val="both"/>
      </w:pPr>
      <w:r w:rsidRPr="00F55871">
        <w:t xml:space="preserve">Reproducible from </w:t>
      </w:r>
      <w:r w:rsidRPr="00F55871">
        <w:rPr>
          <w:i/>
          <w:iCs/>
        </w:rPr>
        <w:t>01_scripts/05_analysis/statistical_tests.py</w:t>
      </w:r>
      <w:r w:rsidRPr="00F55871">
        <w:t xml:space="preserve"> on the per-fold metrics of the cross-validation.</w:t>
      </w:r>
    </w:p>
    <w:p w14:paraId="284D21F7" w14:textId="77777777" w:rsidR="009E06A3" w:rsidRPr="00F55871" w:rsidRDefault="009E06A3" w:rsidP="009E06A3">
      <w:pPr>
        <w:pStyle w:val="BodyText"/>
        <w:spacing w:before="0" w:after="0" w:line="276" w:lineRule="auto"/>
        <w:jc w:val="both"/>
      </w:pPr>
    </w:p>
    <w:p w14:paraId="1631B73B" w14:textId="77777777" w:rsidR="00C51D1A" w:rsidRPr="00F55871" w:rsidRDefault="00000000" w:rsidP="009E06A3">
      <w:pPr>
        <w:pStyle w:val="Heading2"/>
        <w:spacing w:before="0" w:line="360" w:lineRule="auto"/>
      </w:pPr>
      <w:r w:rsidRPr="00F55871">
        <w:t>9 Additional robustness analyses</w:t>
      </w:r>
    </w:p>
    <w:p w14:paraId="1A26EDB6" w14:textId="627A113E" w:rsidR="009E06A3" w:rsidRPr="00F55871" w:rsidRDefault="00000000" w:rsidP="009E06A3">
      <w:pPr>
        <w:pStyle w:val="BodyText"/>
        <w:spacing w:before="0" w:after="0" w:line="276" w:lineRule="auto"/>
        <w:jc w:val="both"/>
      </w:pPr>
      <w:r w:rsidRPr="00F55871">
        <w:t>The synthesis of these analyses is presented in Table OR4-3. The values are reproduced from subsections (a)–(f) and from §§5–8; none is new. The numbered Tables S1–S25 are in Online Resource 2.</w:t>
      </w:r>
    </w:p>
    <w:p w14:paraId="45FEF6E3" w14:textId="77777777" w:rsidR="009E06A3" w:rsidRPr="00F55871" w:rsidRDefault="009E06A3" w:rsidP="009E06A3">
      <w:pPr>
        <w:pStyle w:val="BodyText"/>
        <w:spacing w:before="0" w:after="0" w:line="276" w:lineRule="auto"/>
        <w:jc w:val="both"/>
      </w:pPr>
    </w:p>
    <w:p w14:paraId="4F4945D1" w14:textId="77777777" w:rsidR="00C51D1A" w:rsidRPr="00F55871" w:rsidRDefault="00000000" w:rsidP="009E06A3">
      <w:pPr>
        <w:pStyle w:val="BodyText"/>
        <w:keepNext/>
        <w:keepLines/>
        <w:spacing w:before="0" w:after="0" w:line="276" w:lineRule="auto"/>
        <w:jc w:val="both"/>
      </w:pPr>
      <w:r w:rsidRPr="00F55871">
        <w:rPr>
          <w:b/>
        </w:rPr>
        <w:t xml:space="preserve">Table OR4-3 </w:t>
      </w:r>
      <w:r w:rsidRPr="00F55871">
        <w:t>Index of the sensitivity and robustness analyses of the package: evaluated population, main result, interpretation and source artefact</w:t>
      </w:r>
    </w:p>
    <w:p w14:paraId="2B5068F7" w14:textId="77777777" w:rsidR="009E06A3" w:rsidRPr="00F55871" w:rsidRDefault="009E06A3" w:rsidP="009E06A3">
      <w:pPr>
        <w:pStyle w:val="BodyText"/>
        <w:keepNext/>
        <w:keepLines/>
        <w:spacing w:before="0" w:after="0" w:line="276" w:lineRule="auto"/>
        <w:jc w:val="both"/>
      </w:pPr>
    </w:p>
    <w:tbl>
      <w:tblPr>
        <w:tblStyle w:val="Table"/>
        <w:tblW w:w="9360" w:type="dxa"/>
        <w:jc w:val="center"/>
        <w:tblInd w:w="0" w:type="dxa"/>
        <w:tblBorders>
          <w:top w:val="single" w:sz="8" w:space="0" w:color="000000"/>
          <w:bottom w:val="single" w:sz="8" w:space="0" w:color="000000"/>
        </w:tblBorders>
        <w:tblLayout w:type="fixed"/>
        <w:tblLook w:val="07E0" w:firstRow="1" w:lastRow="1" w:firstColumn="1" w:lastColumn="1" w:noHBand="1" w:noVBand="1"/>
      </w:tblPr>
      <w:tblGrid>
        <w:gridCol w:w="1250"/>
        <w:gridCol w:w="1560"/>
        <w:gridCol w:w="2450"/>
        <w:gridCol w:w="1900"/>
        <w:gridCol w:w="2200"/>
      </w:tblGrid>
      <w:tr w:rsidR="00C51D1A" w14:paraId="064BD511" w14:textId="77777777" w:rsidTr="00042435">
        <w:trPr>
          <w:cantSplit/>
          <w:tblHeader/>
          <w:jc w:val="center"/>
        </w:trPr>
        <w:tc>
          <w:tcPr>
            <w:tcW w:w="1250" w:type="dxa"/>
            <w:tcBorders>
              <w:bottom w:val="single" w:sz="6" w:space="0" w:color="000000"/>
            </w:tcBorders>
          </w:tcPr>
          <w:p w14:paraId="49083379" w14:textId="77777777" w:rsidR="00C51D1A" w:rsidRDefault="00000000" w:rsidP="00042435">
            <w:r>
              <w:rPr>
                <w:rFonts w:ascii="Times New Roman" w:hAnsi="Times New Roman"/>
                <w:b/>
                <w:sz w:val="18"/>
              </w:rPr>
              <w:t>Sensitivity</w:t>
            </w:r>
          </w:p>
        </w:tc>
        <w:tc>
          <w:tcPr>
            <w:tcW w:w="1560" w:type="dxa"/>
            <w:tcBorders>
              <w:bottom w:val="single" w:sz="6" w:space="0" w:color="000000"/>
            </w:tcBorders>
          </w:tcPr>
          <w:p w14:paraId="5AAB8CE9" w14:textId="77777777" w:rsidR="00C51D1A" w:rsidRDefault="00000000" w:rsidP="00042435">
            <w:r>
              <w:rPr>
                <w:rFonts w:ascii="Times New Roman" w:hAnsi="Times New Roman"/>
                <w:b/>
                <w:sz w:val="18"/>
              </w:rPr>
              <w:t>Population</w:t>
            </w:r>
          </w:p>
        </w:tc>
        <w:tc>
          <w:tcPr>
            <w:tcW w:w="2450" w:type="dxa"/>
            <w:tcBorders>
              <w:bottom w:val="single" w:sz="6" w:space="0" w:color="000000"/>
            </w:tcBorders>
          </w:tcPr>
          <w:p w14:paraId="0249AC54" w14:textId="77777777" w:rsidR="00C51D1A" w:rsidRDefault="00000000" w:rsidP="00042435">
            <w:r>
              <w:rPr>
                <w:rFonts w:ascii="Times New Roman" w:hAnsi="Times New Roman"/>
                <w:b/>
                <w:sz w:val="18"/>
              </w:rPr>
              <w:t>Main result</w:t>
            </w:r>
          </w:p>
        </w:tc>
        <w:tc>
          <w:tcPr>
            <w:tcW w:w="1900" w:type="dxa"/>
            <w:tcBorders>
              <w:bottom w:val="single" w:sz="6" w:space="0" w:color="000000"/>
            </w:tcBorders>
          </w:tcPr>
          <w:p w14:paraId="5F64B249" w14:textId="77777777" w:rsidR="00C51D1A" w:rsidRDefault="00000000" w:rsidP="00042435">
            <w:r>
              <w:rPr>
                <w:rFonts w:ascii="Times New Roman" w:hAnsi="Times New Roman"/>
                <w:b/>
                <w:sz w:val="18"/>
              </w:rPr>
              <w:t>Interpretation</w:t>
            </w:r>
          </w:p>
        </w:tc>
        <w:tc>
          <w:tcPr>
            <w:tcW w:w="2200" w:type="dxa"/>
            <w:tcBorders>
              <w:bottom w:val="single" w:sz="6" w:space="0" w:color="000000"/>
            </w:tcBorders>
          </w:tcPr>
          <w:p w14:paraId="351874F6" w14:textId="77777777" w:rsidR="00C51D1A" w:rsidRDefault="00000000" w:rsidP="00042435">
            <w:r>
              <w:rPr>
                <w:rFonts w:ascii="Times New Roman" w:hAnsi="Times New Roman"/>
                <w:b/>
                <w:sz w:val="18"/>
              </w:rPr>
              <w:t>Source artefact</w:t>
            </w:r>
          </w:p>
        </w:tc>
      </w:tr>
      <w:tr w:rsidR="00C51D1A" w14:paraId="5349200F" w14:textId="77777777" w:rsidTr="00042435">
        <w:trPr>
          <w:cantSplit/>
          <w:jc w:val="center"/>
        </w:trPr>
        <w:tc>
          <w:tcPr>
            <w:tcW w:w="1250" w:type="dxa"/>
          </w:tcPr>
          <w:p w14:paraId="26399C88" w14:textId="77777777" w:rsidR="00C51D1A" w:rsidRDefault="00000000" w:rsidP="00042435">
            <w:r>
              <w:rPr>
                <w:rFonts w:ascii="Times New Roman" w:hAnsi="Times New Roman"/>
                <w:sz w:val="18"/>
              </w:rPr>
              <w:t>Aligned information</w:t>
            </w:r>
          </w:p>
        </w:tc>
        <w:tc>
          <w:tcPr>
            <w:tcW w:w="1560" w:type="dxa"/>
          </w:tcPr>
          <w:p w14:paraId="0B36DF75" w14:textId="77777777" w:rsidR="00C51D1A" w:rsidRPr="00F55871" w:rsidRDefault="00000000" w:rsidP="00042435">
            <w:r w:rsidRPr="00F55871">
              <w:rPr>
                <w:rFonts w:ascii="Times New Roman" w:hAnsi="Times New Roman"/>
                <w:sz w:val="18"/>
              </w:rPr>
              <w:t>n = 1,025/1,020/1,017 pairs; common 00 h issue times</w:t>
            </w:r>
          </w:p>
        </w:tc>
        <w:tc>
          <w:tcPr>
            <w:tcW w:w="2450" w:type="dxa"/>
          </w:tcPr>
          <w:p w14:paraId="53273B02" w14:textId="77777777" w:rsidR="00C51D1A" w:rsidRPr="00F55871" w:rsidRDefault="00000000" w:rsidP="00042435">
            <w:r>
              <w:rPr>
                <w:rFonts w:ascii="Times New Roman" w:hAnsi="Times New Roman"/>
                <w:sz w:val="18"/>
              </w:rPr>
              <w:t>Δ</w:t>
            </w:r>
            <w:r w:rsidRPr="00F55871">
              <w:rPr>
                <w:rFonts w:ascii="Times New Roman" w:hAnsi="Times New Roman"/>
                <w:sz w:val="18"/>
              </w:rPr>
              <w:t>RMSE −0.38 ppb at 24 h (p = 0.003); +0.11 and +0.16 ppb at 48 and 72 h (p ≥ 0.24)</w:t>
            </w:r>
          </w:p>
        </w:tc>
        <w:tc>
          <w:tcPr>
            <w:tcW w:w="1900" w:type="dxa"/>
          </w:tcPr>
          <w:p w14:paraId="230F9BB6" w14:textId="77777777" w:rsidR="00C51D1A" w:rsidRPr="00F55871" w:rsidRDefault="00000000" w:rsidP="00042435">
            <w:proofErr w:type="spellStart"/>
            <w:r w:rsidRPr="00F55871">
              <w:rPr>
                <w:rFonts w:ascii="Times New Roman" w:hAnsi="Times New Roman"/>
                <w:sz w:val="18"/>
              </w:rPr>
              <w:t>Equalising</w:t>
            </w:r>
            <w:proofErr w:type="spellEnd"/>
            <w:r w:rsidRPr="00F55871">
              <w:rPr>
                <w:rFonts w:ascii="Times New Roman" w:hAnsi="Times New Roman"/>
                <w:sz w:val="18"/>
              </w:rPr>
              <w:t xml:space="preserve"> the information set does not alter any inferential decision</w:t>
            </w:r>
          </w:p>
        </w:tc>
        <w:tc>
          <w:tcPr>
            <w:tcW w:w="2200" w:type="dxa"/>
          </w:tcPr>
          <w:p w14:paraId="28D562BF" w14:textId="77777777" w:rsidR="00C51D1A" w:rsidRDefault="00000000" w:rsidP="00042435">
            <w:pPr>
              <w:spacing w:before="36" w:after="0"/>
            </w:pPr>
            <w:r>
              <w:rPr>
                <w:rFonts w:ascii="Times New Roman" w:hAnsi="Times New Roman"/>
                <w:sz w:val="18"/>
              </w:rPr>
              <w:t>aligned_information_dm.csv;</w:t>
            </w:r>
          </w:p>
          <w:p w14:paraId="1D39F3C2" w14:textId="77777777" w:rsidR="00C51D1A" w:rsidRDefault="00000000" w:rsidP="00042435">
            <w:pPr>
              <w:spacing w:after="0"/>
            </w:pPr>
            <w:r>
              <w:rPr>
                <w:rFonts w:ascii="Times New Roman" w:hAnsi="Times New Roman"/>
                <w:sz w:val="18"/>
              </w:rPr>
              <w:t>Table S24</w:t>
            </w:r>
          </w:p>
        </w:tc>
      </w:tr>
      <w:tr w:rsidR="00C51D1A" w14:paraId="5B343D38" w14:textId="77777777" w:rsidTr="00042435">
        <w:trPr>
          <w:cantSplit/>
          <w:jc w:val="center"/>
        </w:trPr>
        <w:tc>
          <w:tcPr>
            <w:tcW w:w="1250" w:type="dxa"/>
          </w:tcPr>
          <w:p w14:paraId="375FBD56" w14:textId="77777777" w:rsidR="00C51D1A" w:rsidRDefault="00000000" w:rsidP="00042435">
            <w:r>
              <w:rPr>
                <w:rFonts w:ascii="Times New Roman" w:hAnsi="Times New Roman"/>
                <w:sz w:val="18"/>
              </w:rPr>
              <w:t>Station pooling</w:t>
            </w:r>
          </w:p>
        </w:tc>
        <w:tc>
          <w:tcPr>
            <w:tcW w:w="1560" w:type="dxa"/>
          </w:tcPr>
          <w:p w14:paraId="6EEF5692" w14:textId="77777777" w:rsidR="00C51D1A" w:rsidRPr="00F55871" w:rsidRDefault="00000000" w:rsidP="00042435">
            <w:r w:rsidRPr="00F55871">
              <w:rPr>
                <w:rFonts w:ascii="Times New Roman" w:hAnsi="Times New Roman"/>
                <w:sz w:val="18"/>
              </w:rPr>
              <w:t>n = 12,606 (</w:t>
            </w:r>
            <w:proofErr w:type="spellStart"/>
            <w:r w:rsidRPr="00F55871">
              <w:rPr>
                <w:rFonts w:ascii="Times New Roman" w:hAnsi="Times New Roman"/>
                <w:sz w:val="18"/>
              </w:rPr>
              <w:t>XGBoost</w:t>
            </w:r>
            <w:proofErr w:type="spellEnd"/>
            <w:r w:rsidRPr="00F55871">
              <w:rPr>
                <w:rFonts w:ascii="Times New Roman" w:hAnsi="Times New Roman"/>
                <w:sz w:val="18"/>
              </w:rPr>
              <w:t>) and n = 25,245 (Ridge); different populations</w:t>
            </w:r>
          </w:p>
        </w:tc>
        <w:tc>
          <w:tcPr>
            <w:tcW w:w="2450" w:type="dxa"/>
          </w:tcPr>
          <w:p w14:paraId="6ED90012" w14:textId="77777777" w:rsidR="00C51D1A" w:rsidRPr="00F55871" w:rsidRDefault="00000000" w:rsidP="00042435">
            <w:r w:rsidRPr="00F55871">
              <w:rPr>
                <w:rFonts w:ascii="Times New Roman" w:hAnsi="Times New Roman"/>
                <w:sz w:val="18"/>
              </w:rPr>
              <w:t xml:space="preserve">Pooled </w:t>
            </w:r>
            <w:proofErr w:type="spellStart"/>
            <w:r w:rsidRPr="00F55871">
              <w:rPr>
                <w:rFonts w:ascii="Times New Roman" w:hAnsi="Times New Roman"/>
                <w:sz w:val="18"/>
              </w:rPr>
              <w:t>XGBoost</w:t>
            </w:r>
            <w:proofErr w:type="spellEnd"/>
            <w:r w:rsidRPr="00F55871">
              <w:rPr>
                <w:rFonts w:ascii="Times New Roman" w:hAnsi="Times New Roman"/>
                <w:sz w:val="18"/>
              </w:rPr>
              <w:t xml:space="preserve"> 7.35 against 7.55 ppb per station; per-station Ridge 7.47 against 7.57 ppb pooled</w:t>
            </w:r>
          </w:p>
        </w:tc>
        <w:tc>
          <w:tcPr>
            <w:tcW w:w="1900" w:type="dxa"/>
          </w:tcPr>
          <w:p w14:paraId="15E49513" w14:textId="77777777" w:rsidR="00C51D1A" w:rsidRPr="00F55871" w:rsidRDefault="00000000" w:rsidP="00042435">
            <w:r w:rsidRPr="00F55871">
              <w:rPr>
                <w:rFonts w:ascii="Times New Roman" w:hAnsi="Times New Roman"/>
                <w:sz w:val="18"/>
              </w:rPr>
              <w:t>The effect of pooling is asymmetric across families; the valid comparison is within each family</w:t>
            </w:r>
          </w:p>
        </w:tc>
        <w:tc>
          <w:tcPr>
            <w:tcW w:w="2200" w:type="dxa"/>
          </w:tcPr>
          <w:p w14:paraId="7D37A7FB" w14:textId="77777777" w:rsidR="00C51D1A" w:rsidRDefault="00000000" w:rsidP="00042435">
            <w:pPr>
              <w:spacing w:before="36" w:after="0"/>
            </w:pPr>
            <w:r>
              <w:rPr>
                <w:rFonts w:ascii="Times New Roman" w:hAnsi="Times New Roman"/>
                <w:sz w:val="18"/>
              </w:rPr>
              <w:t>pooled_vs_perstation.csv</w:t>
            </w:r>
          </w:p>
        </w:tc>
      </w:tr>
      <w:tr w:rsidR="00C51D1A" w14:paraId="575C3408" w14:textId="77777777" w:rsidTr="00042435">
        <w:trPr>
          <w:cantSplit/>
          <w:jc w:val="center"/>
        </w:trPr>
        <w:tc>
          <w:tcPr>
            <w:tcW w:w="1250" w:type="dxa"/>
          </w:tcPr>
          <w:p w14:paraId="7E1D830D" w14:textId="77777777" w:rsidR="00C51D1A" w:rsidRDefault="00000000" w:rsidP="00042435">
            <w:r>
              <w:rPr>
                <w:rFonts w:ascii="Times New Roman" w:hAnsi="Times New Roman"/>
                <w:sz w:val="18"/>
              </w:rPr>
              <w:t>Interannual stability and multiplicity</w:t>
            </w:r>
          </w:p>
        </w:tc>
        <w:tc>
          <w:tcPr>
            <w:tcW w:w="1560" w:type="dxa"/>
          </w:tcPr>
          <w:p w14:paraId="4D3997A3" w14:textId="77777777" w:rsidR="00C51D1A" w:rsidRDefault="00000000" w:rsidP="00042435">
            <w:r>
              <w:rPr>
                <w:rFonts w:ascii="Times New Roman" w:hAnsi="Times New Roman"/>
                <w:sz w:val="18"/>
              </w:rPr>
              <w:t>162 p values of the package</w:t>
            </w:r>
          </w:p>
        </w:tc>
        <w:tc>
          <w:tcPr>
            <w:tcW w:w="2450" w:type="dxa"/>
          </w:tcPr>
          <w:p w14:paraId="357B2341" w14:textId="77777777" w:rsidR="00C51D1A" w:rsidRPr="00F55871" w:rsidRDefault="00000000" w:rsidP="00042435">
            <w:r w:rsidRPr="00F55871">
              <w:rPr>
                <w:rFonts w:ascii="Times New Roman" w:hAnsi="Times New Roman"/>
                <w:sz w:val="18"/>
              </w:rPr>
              <w:t>Benjamini–Hochberg (</w:t>
            </w:r>
            <w:r>
              <w:rPr>
                <w:rFonts w:ascii="Times New Roman" w:hAnsi="Times New Roman"/>
                <w:sz w:val="18"/>
              </w:rPr>
              <w:t>α</w:t>
            </w:r>
            <w:r w:rsidRPr="00F55871">
              <w:rPr>
                <w:rFonts w:ascii="Times New Roman" w:hAnsi="Times New Roman"/>
                <w:sz w:val="18"/>
              </w:rPr>
              <w:t xml:space="preserve"> = 0.05) retains the primary family at 24 h and discards the marginal ones, including 2021 and 2022 of the year-by-year analysis</w:t>
            </w:r>
          </w:p>
        </w:tc>
        <w:tc>
          <w:tcPr>
            <w:tcW w:w="1900" w:type="dxa"/>
          </w:tcPr>
          <w:p w14:paraId="500442B0" w14:textId="77777777" w:rsidR="00C51D1A" w:rsidRPr="00F55871" w:rsidRDefault="00000000" w:rsidP="00042435">
            <w:r w:rsidRPr="00F55871">
              <w:rPr>
                <w:rFonts w:ascii="Times New Roman" w:hAnsi="Times New Roman"/>
                <w:sz w:val="18"/>
              </w:rPr>
              <w:t>The 24 h conclusion survives the global multiplicity control</w:t>
            </w:r>
          </w:p>
        </w:tc>
        <w:tc>
          <w:tcPr>
            <w:tcW w:w="2200" w:type="dxa"/>
          </w:tcPr>
          <w:p w14:paraId="4E7F3E1E" w14:textId="77777777" w:rsidR="00C51D1A" w:rsidRDefault="00000000" w:rsidP="00042435">
            <w:pPr>
              <w:spacing w:before="36" w:after="0"/>
            </w:pPr>
            <w:r>
              <w:rPr>
                <w:rFonts w:ascii="Times New Roman" w:hAnsi="Times New Roman"/>
                <w:sz w:val="18"/>
              </w:rPr>
              <w:t>multiplicity_fdr.csv;</w:t>
            </w:r>
          </w:p>
          <w:p w14:paraId="027ED91F" w14:textId="77777777" w:rsidR="00C51D1A" w:rsidRDefault="00000000" w:rsidP="00042435">
            <w:pPr>
              <w:spacing w:after="0"/>
            </w:pPr>
            <w:r>
              <w:rPr>
                <w:rFonts w:ascii="Times New Roman" w:hAnsi="Times New Roman"/>
                <w:sz w:val="18"/>
              </w:rPr>
              <w:t>dm_sarima_vs_ml.csv</w:t>
            </w:r>
          </w:p>
        </w:tc>
      </w:tr>
      <w:tr w:rsidR="00C51D1A" w14:paraId="11308AEF" w14:textId="77777777" w:rsidTr="00042435">
        <w:trPr>
          <w:cantSplit/>
          <w:jc w:val="center"/>
        </w:trPr>
        <w:tc>
          <w:tcPr>
            <w:tcW w:w="1250" w:type="dxa"/>
          </w:tcPr>
          <w:p w14:paraId="0744F27A" w14:textId="77777777" w:rsidR="00C51D1A" w:rsidRDefault="00000000" w:rsidP="00042435">
            <w:r>
              <w:rPr>
                <w:rFonts w:ascii="Times New Roman" w:hAnsi="Times New Roman"/>
                <w:sz w:val="18"/>
              </w:rPr>
              <w:lastRenderedPageBreak/>
              <w:t>Meteorology</w:t>
            </w:r>
          </w:p>
        </w:tc>
        <w:tc>
          <w:tcPr>
            <w:tcW w:w="1560" w:type="dxa"/>
          </w:tcPr>
          <w:p w14:paraId="7B16D515" w14:textId="77777777" w:rsidR="00C51D1A" w:rsidRDefault="00000000" w:rsidP="00042435">
            <w:r>
              <w:rPr>
                <w:rFonts w:ascii="Times New Roman" w:hAnsi="Times New Roman"/>
                <w:sz w:val="18"/>
              </w:rPr>
              <w:t>2025 evaluation year</w:t>
            </w:r>
          </w:p>
        </w:tc>
        <w:tc>
          <w:tcPr>
            <w:tcW w:w="2450" w:type="dxa"/>
          </w:tcPr>
          <w:p w14:paraId="35F9919F" w14:textId="77777777" w:rsidR="00C51D1A" w:rsidRDefault="00000000" w:rsidP="00042435">
            <w:r w:rsidRPr="00F55871">
              <w:rPr>
                <w:rFonts w:ascii="Times New Roman" w:hAnsi="Times New Roman"/>
                <w:sz w:val="18"/>
              </w:rPr>
              <w:t xml:space="preserve">Retraining without meteorology: B1 = 7.35 ppb. </w:t>
            </w:r>
            <w:r>
              <w:rPr>
                <w:rFonts w:ascii="Times New Roman" w:hAnsi="Times New Roman"/>
                <w:sz w:val="18"/>
              </w:rPr>
              <w:t>Loss at inference: +0.84 ppb</w:t>
            </w:r>
          </w:p>
        </w:tc>
        <w:tc>
          <w:tcPr>
            <w:tcW w:w="1900" w:type="dxa"/>
          </w:tcPr>
          <w:p w14:paraId="42545881" w14:textId="77777777" w:rsidR="00C51D1A" w:rsidRPr="00F55871" w:rsidRDefault="00000000" w:rsidP="00042435">
            <w:r w:rsidRPr="00F55871">
              <w:rPr>
                <w:rFonts w:ascii="Times New Roman" w:hAnsi="Times New Roman"/>
                <w:sz w:val="18"/>
              </w:rPr>
              <w:t>Two distinct and non-contradictory scenarios: retraining without meteorology or losing it at prediction time</w:t>
            </w:r>
          </w:p>
        </w:tc>
        <w:tc>
          <w:tcPr>
            <w:tcW w:w="2200" w:type="dxa"/>
          </w:tcPr>
          <w:p w14:paraId="38D41B3D" w14:textId="77777777" w:rsidR="00C51D1A" w:rsidRDefault="00000000" w:rsidP="00042435">
            <w:pPr>
              <w:spacing w:before="36" w:after="0"/>
            </w:pPr>
            <w:r>
              <w:rPr>
                <w:rFonts w:ascii="Times New Roman" w:hAnsi="Times New Roman"/>
                <w:sz w:val="18"/>
              </w:rPr>
              <w:t>ablation_fine.csv;</w:t>
            </w:r>
          </w:p>
          <w:p w14:paraId="3C25CCDA" w14:textId="77777777" w:rsidR="00C51D1A" w:rsidRDefault="00000000" w:rsidP="00042435">
            <w:pPr>
              <w:spacing w:after="0"/>
            </w:pPr>
            <w:r>
              <w:rPr>
                <w:rFonts w:ascii="Times New Roman" w:hAnsi="Times New Roman"/>
                <w:sz w:val="18"/>
              </w:rPr>
              <w:t>meteo_sensitivity.csv</w:t>
            </w:r>
          </w:p>
        </w:tc>
      </w:tr>
      <w:tr w:rsidR="00C51D1A" w14:paraId="3E5B3608" w14:textId="77777777" w:rsidTr="00042435">
        <w:trPr>
          <w:cantSplit/>
          <w:jc w:val="center"/>
        </w:trPr>
        <w:tc>
          <w:tcPr>
            <w:tcW w:w="1250" w:type="dxa"/>
          </w:tcPr>
          <w:p w14:paraId="0E4EAE19" w14:textId="77777777" w:rsidR="00C51D1A" w:rsidRDefault="00000000" w:rsidP="00042435">
            <w:r>
              <w:rPr>
                <w:rFonts w:ascii="Times New Roman" w:hAnsi="Times New Roman"/>
                <w:sz w:val="18"/>
              </w:rPr>
              <w:t>TROPOMI</w:t>
            </w:r>
          </w:p>
        </w:tc>
        <w:tc>
          <w:tcPr>
            <w:tcW w:w="1560" w:type="dxa"/>
          </w:tcPr>
          <w:p w14:paraId="7B799C31" w14:textId="77777777" w:rsidR="00C51D1A" w:rsidRPr="00F55871" w:rsidRDefault="00000000" w:rsidP="00042435">
            <w:r w:rsidRPr="00F55871">
              <w:rPr>
                <w:rFonts w:ascii="Times New Roman" w:hAnsi="Times New Roman"/>
                <w:sz w:val="18"/>
              </w:rPr>
              <w:t>Five seeds; same-day ingestion over 41.7% of the grid</w:t>
            </w:r>
          </w:p>
        </w:tc>
        <w:tc>
          <w:tcPr>
            <w:tcW w:w="2450" w:type="dxa"/>
          </w:tcPr>
          <w:p w14:paraId="0369FCF7" w14:textId="77777777" w:rsidR="00C51D1A" w:rsidRDefault="00000000" w:rsidP="00042435">
            <w:r>
              <w:rPr>
                <w:rFonts w:ascii="Times New Roman" w:hAnsi="Times New Roman"/>
                <w:sz w:val="18"/>
              </w:rPr>
              <w:t>C−B = +0.002 ± 0.025 ppb at 24 h; same-day ingestion +0.051 ppb</w:t>
            </w:r>
          </w:p>
        </w:tc>
        <w:tc>
          <w:tcPr>
            <w:tcW w:w="1900" w:type="dxa"/>
          </w:tcPr>
          <w:p w14:paraId="141A3845" w14:textId="77777777" w:rsidR="00C51D1A" w:rsidRPr="00F55871" w:rsidRDefault="00000000" w:rsidP="00042435">
            <w:r w:rsidRPr="00F55871">
              <w:rPr>
                <w:rFonts w:ascii="Times New Roman" w:hAnsi="Times New Roman"/>
                <w:sz w:val="18"/>
              </w:rPr>
              <w:t>No detectable incremental contribution under the ingestion, resolution and configuration evaluated</w:t>
            </w:r>
          </w:p>
        </w:tc>
        <w:tc>
          <w:tcPr>
            <w:tcW w:w="2200" w:type="dxa"/>
          </w:tcPr>
          <w:p w14:paraId="4CED6CCF" w14:textId="77777777" w:rsidR="00C51D1A" w:rsidRDefault="00000000" w:rsidP="00042435">
            <w:pPr>
              <w:spacing w:before="36" w:after="0"/>
            </w:pPr>
            <w:r>
              <w:rPr>
                <w:rFonts w:ascii="Times New Roman" w:hAnsi="Times New Roman"/>
                <w:sz w:val="18"/>
              </w:rPr>
              <w:t>ablation_satellite_seeds.csv;</w:t>
            </w:r>
          </w:p>
          <w:p w14:paraId="4B740E73" w14:textId="77777777" w:rsidR="00C51D1A" w:rsidRDefault="00000000" w:rsidP="00042435">
            <w:pPr>
              <w:spacing w:after="0"/>
            </w:pPr>
            <w:r>
              <w:rPr>
                <w:rFonts w:ascii="Times New Roman" w:hAnsi="Times New Roman"/>
                <w:sz w:val="18"/>
              </w:rPr>
              <w:t>tropomi_sameday_test.csv</w:t>
            </w:r>
          </w:p>
        </w:tc>
      </w:tr>
      <w:tr w:rsidR="00C51D1A" w:rsidRPr="00D44238" w14:paraId="54F03B75" w14:textId="77777777" w:rsidTr="00042435">
        <w:trPr>
          <w:cantSplit/>
          <w:jc w:val="center"/>
        </w:trPr>
        <w:tc>
          <w:tcPr>
            <w:tcW w:w="1250" w:type="dxa"/>
          </w:tcPr>
          <w:p w14:paraId="4C34AC18" w14:textId="77777777" w:rsidR="00C51D1A" w:rsidRDefault="00000000" w:rsidP="00042435">
            <w:r>
              <w:rPr>
                <w:rFonts w:ascii="Times New Roman" w:hAnsi="Times New Roman"/>
                <w:sz w:val="18"/>
              </w:rPr>
              <w:t>Recurrent networks</w:t>
            </w:r>
          </w:p>
        </w:tc>
        <w:tc>
          <w:tcPr>
            <w:tcW w:w="1560" w:type="dxa"/>
          </w:tcPr>
          <w:p w14:paraId="1BBAF0BC" w14:textId="77777777" w:rsidR="00C51D1A" w:rsidRPr="00F55871" w:rsidRDefault="00000000" w:rsidP="00042435">
            <w:r w:rsidRPr="00F55871">
              <w:rPr>
                <w:rFonts w:ascii="Times New Roman" w:hAnsi="Times New Roman"/>
                <w:sz w:val="18"/>
              </w:rPr>
              <w:t xml:space="preserve">Blocked cross-validation; </w:t>
            </w:r>
            <w:proofErr w:type="gramStart"/>
            <w:r w:rsidRPr="00F55871">
              <w:rPr>
                <w:rFonts w:ascii="Times New Roman" w:hAnsi="Times New Roman"/>
                <w:sz w:val="18"/>
              </w:rPr>
              <w:t>24 fold</w:t>
            </w:r>
            <w:proofErr w:type="gramEnd"/>
            <w:r w:rsidRPr="00F55871">
              <w:rPr>
                <w:rFonts w:ascii="Times New Roman" w:hAnsi="Times New Roman"/>
                <w:sz w:val="18"/>
              </w:rPr>
              <w:t>-horizon pairs</w:t>
            </w:r>
          </w:p>
        </w:tc>
        <w:tc>
          <w:tcPr>
            <w:tcW w:w="2450" w:type="dxa"/>
          </w:tcPr>
          <w:p w14:paraId="6DB211DE" w14:textId="77777777" w:rsidR="00C51D1A" w:rsidRPr="00F55871" w:rsidRDefault="00000000" w:rsidP="00042435">
            <w:r w:rsidRPr="00F55871">
              <w:rPr>
                <w:rFonts w:ascii="Times New Roman" w:hAnsi="Times New Roman"/>
                <w:sz w:val="18"/>
              </w:rPr>
              <w:t>LSTM 8.93/10.06/10.36 and GRU 8.91/9.92/10.28 ppb at 24/48/72 h; they outperform persistence and remain behind the tabular models</w:t>
            </w:r>
          </w:p>
        </w:tc>
        <w:tc>
          <w:tcPr>
            <w:tcW w:w="1900" w:type="dxa"/>
          </w:tcPr>
          <w:p w14:paraId="63646CFB" w14:textId="77777777" w:rsidR="00C51D1A" w:rsidRPr="00F55871" w:rsidRDefault="00000000" w:rsidP="00042435">
            <w:r w:rsidRPr="00F55871">
              <w:rPr>
                <w:rFonts w:ascii="Times New Roman" w:hAnsi="Times New Roman"/>
                <w:sz w:val="18"/>
              </w:rPr>
              <w:t>No advantage under the data regime and tuning budget evaluated; not an intrinsic limit</w:t>
            </w:r>
          </w:p>
        </w:tc>
        <w:tc>
          <w:tcPr>
            <w:tcW w:w="2200" w:type="dxa"/>
          </w:tcPr>
          <w:p w14:paraId="1EB5B26D" w14:textId="77777777" w:rsidR="00C51D1A" w:rsidRPr="00F55871" w:rsidRDefault="00000000" w:rsidP="00042435">
            <w:pPr>
              <w:spacing w:before="36" w:after="0"/>
            </w:pPr>
            <w:r w:rsidRPr="00F55871">
              <w:rPr>
                <w:rFonts w:ascii="Times New Roman" w:hAnsi="Times New Roman"/>
                <w:sz w:val="18"/>
              </w:rPr>
              <w:t>seq_lstm_metrics.csv;</w:t>
            </w:r>
          </w:p>
          <w:p w14:paraId="3B8ABFE3" w14:textId="77777777" w:rsidR="00C51D1A" w:rsidRPr="00F55871" w:rsidRDefault="00000000" w:rsidP="00042435">
            <w:pPr>
              <w:spacing w:after="0"/>
            </w:pPr>
            <w:r w:rsidRPr="00F55871">
              <w:rPr>
                <w:rFonts w:ascii="Times New Roman" w:hAnsi="Times New Roman"/>
                <w:sz w:val="18"/>
              </w:rPr>
              <w:t>seq_gru_metrics.csv</w:t>
            </w:r>
          </w:p>
        </w:tc>
      </w:tr>
      <w:tr w:rsidR="00C51D1A" w14:paraId="3C05EACE" w14:textId="77777777" w:rsidTr="00042435">
        <w:trPr>
          <w:cantSplit/>
          <w:jc w:val="center"/>
        </w:trPr>
        <w:tc>
          <w:tcPr>
            <w:tcW w:w="1250" w:type="dxa"/>
          </w:tcPr>
          <w:p w14:paraId="1F25E919" w14:textId="77777777" w:rsidR="00C51D1A" w:rsidRDefault="00000000" w:rsidP="00042435">
            <w:r>
              <w:rPr>
                <w:rFonts w:ascii="Times New Roman" w:hAnsi="Times New Roman"/>
                <w:sz w:val="18"/>
              </w:rPr>
              <w:t>Decision thresholds</w:t>
            </w:r>
          </w:p>
        </w:tc>
        <w:tc>
          <w:tcPr>
            <w:tcW w:w="1560" w:type="dxa"/>
          </w:tcPr>
          <w:p w14:paraId="0C6C25A6" w14:textId="77777777" w:rsidR="00C51D1A" w:rsidRPr="00F55871" w:rsidRDefault="00000000" w:rsidP="00042435">
            <w:r w:rsidRPr="00F55871">
              <w:rPr>
                <w:rFonts w:ascii="Times New Roman" w:hAnsi="Times New Roman"/>
                <w:sz w:val="18"/>
              </w:rPr>
              <w:t xml:space="preserve">Cross-validation 2020–2024 (n = 39,931); single evaluation </w:t>
            </w:r>
            <w:proofErr w:type="gramStart"/>
            <w:r w:rsidRPr="00F55871">
              <w:rPr>
                <w:rFonts w:ascii="Times New Roman" w:hAnsi="Times New Roman"/>
                <w:sz w:val="18"/>
              </w:rPr>
              <w:t>on</w:t>
            </w:r>
            <w:proofErr w:type="gramEnd"/>
            <w:r w:rsidRPr="00F55871">
              <w:rPr>
                <w:rFonts w:ascii="Times New Roman" w:hAnsi="Times New Roman"/>
                <w:sz w:val="18"/>
              </w:rPr>
              <w:t xml:space="preserve"> 2025</w:t>
            </w:r>
          </w:p>
        </w:tc>
        <w:tc>
          <w:tcPr>
            <w:tcW w:w="2450" w:type="dxa"/>
          </w:tcPr>
          <w:p w14:paraId="2BED024F" w14:textId="77777777" w:rsidR="00C51D1A" w:rsidRPr="00F55871" w:rsidRDefault="00000000" w:rsidP="00042435">
            <w:r w:rsidRPr="00F55871">
              <w:rPr>
                <w:rFonts w:ascii="Times New Roman" w:hAnsi="Times New Roman"/>
                <w:sz w:val="18"/>
              </w:rPr>
              <w:t xml:space="preserve">Maximum F1 at </w:t>
            </w:r>
            <w:r>
              <w:rPr>
                <w:rFonts w:ascii="Times New Roman" w:hAnsi="Times New Roman"/>
                <w:sz w:val="18"/>
              </w:rPr>
              <w:t>τ</w:t>
            </w:r>
            <w:r w:rsidRPr="00F55871">
              <w:rPr>
                <w:rFonts w:ascii="Times New Roman" w:hAnsi="Times New Roman"/>
                <w:sz w:val="18"/>
              </w:rPr>
              <w:t xml:space="preserve"> = 28.0 ppb and cost ratios from 2:1 to 10:1; with the climatological threshold, POD = 0.355 and precision = 0.620</w:t>
            </w:r>
          </w:p>
        </w:tc>
        <w:tc>
          <w:tcPr>
            <w:tcW w:w="1900" w:type="dxa"/>
          </w:tcPr>
          <w:p w14:paraId="3E7E6299" w14:textId="77777777" w:rsidR="00C51D1A" w:rsidRPr="00F55871" w:rsidRDefault="00000000" w:rsidP="00042435">
            <w:r w:rsidRPr="00F55871">
              <w:rPr>
                <w:rFonts w:ascii="Times New Roman" w:hAnsi="Times New Roman"/>
                <w:sz w:val="18"/>
              </w:rPr>
              <w:t>The definition of the event (observed P90) and the operational thresholds are distinct decisions</w:t>
            </w:r>
          </w:p>
        </w:tc>
        <w:tc>
          <w:tcPr>
            <w:tcW w:w="2200" w:type="dxa"/>
          </w:tcPr>
          <w:p w14:paraId="11994F84" w14:textId="77777777" w:rsidR="00C51D1A" w:rsidRDefault="00000000" w:rsidP="00042435">
            <w:pPr>
              <w:spacing w:before="36" w:after="0"/>
            </w:pPr>
            <w:r>
              <w:rPr>
                <w:rFonts w:ascii="Times New Roman" w:hAnsi="Times New Roman"/>
                <w:sz w:val="18"/>
              </w:rPr>
              <w:t>episode_threshold_</w:t>
            </w:r>
            <w:proofErr w:type="gramStart"/>
            <w:r>
              <w:rPr>
                <w:rFonts w:ascii="Times New Roman" w:hAnsi="Times New Roman"/>
                <w:sz w:val="18"/>
              </w:rPr>
              <w:t>frozen.json</w:t>
            </w:r>
            <w:proofErr w:type="gramEnd"/>
            <w:r>
              <w:rPr>
                <w:rFonts w:ascii="Times New Roman" w:hAnsi="Times New Roman"/>
                <w:sz w:val="18"/>
              </w:rPr>
              <w:t>;</w:t>
            </w:r>
          </w:p>
          <w:p w14:paraId="418C3CD1" w14:textId="77777777" w:rsidR="00C51D1A" w:rsidRDefault="00000000" w:rsidP="00042435">
            <w:pPr>
              <w:spacing w:after="0"/>
            </w:pPr>
            <w:r>
              <w:rPr>
                <w:rFonts w:ascii="Times New Roman" w:hAnsi="Times New Roman"/>
                <w:sz w:val="18"/>
              </w:rPr>
              <w:t>Tables S19–S20</w:t>
            </w:r>
          </w:p>
        </w:tc>
      </w:tr>
      <w:tr w:rsidR="00C51D1A" w14:paraId="2A4B20CA" w14:textId="77777777" w:rsidTr="00042435">
        <w:trPr>
          <w:cantSplit/>
          <w:jc w:val="center"/>
        </w:trPr>
        <w:tc>
          <w:tcPr>
            <w:tcW w:w="1250" w:type="dxa"/>
          </w:tcPr>
          <w:p w14:paraId="4A0DA240" w14:textId="77777777" w:rsidR="00C51D1A" w:rsidRDefault="00000000" w:rsidP="00042435">
            <w:r>
              <w:rPr>
                <w:rFonts w:ascii="Times New Roman" w:hAnsi="Times New Roman"/>
                <w:sz w:val="18"/>
              </w:rPr>
              <w:t>Uncertainty</w:t>
            </w:r>
          </w:p>
        </w:tc>
        <w:tc>
          <w:tcPr>
            <w:tcW w:w="1560" w:type="dxa"/>
          </w:tcPr>
          <w:p w14:paraId="08163AAF" w14:textId="77777777" w:rsidR="00C51D1A" w:rsidRPr="00D44238" w:rsidRDefault="00000000" w:rsidP="00042435">
            <w:pPr>
              <w:rPr>
                <w:lang w:val="es-419"/>
              </w:rPr>
            </w:pPr>
            <w:r>
              <w:rPr>
                <w:rFonts w:ascii="Times New Roman" w:hAnsi="Times New Roman"/>
                <w:sz w:val="18"/>
                <w:lang w:val="es-419"/>
              </w:rPr>
              <w:t>10,419 observations; August–December 2025; +24 h</w:t>
            </w:r>
          </w:p>
        </w:tc>
        <w:tc>
          <w:tcPr>
            <w:tcW w:w="2450" w:type="dxa"/>
          </w:tcPr>
          <w:p w14:paraId="57D5FF59" w14:textId="77777777" w:rsidR="00C51D1A" w:rsidRPr="00F55871" w:rsidRDefault="00000000" w:rsidP="00042435">
            <w:r w:rsidRPr="00F55871">
              <w:rPr>
                <w:rFonts w:ascii="Times New Roman" w:hAnsi="Times New Roman"/>
                <w:sz w:val="18"/>
              </w:rPr>
              <w:t>Raw interval 73.3% (40.2% in the high stratum); conformal 78.7–79.3% (43.7–47.4%); oracle 72.4%</w:t>
            </w:r>
          </w:p>
        </w:tc>
        <w:tc>
          <w:tcPr>
            <w:tcW w:w="1900" w:type="dxa"/>
          </w:tcPr>
          <w:p w14:paraId="47B1E6E1" w14:textId="77777777" w:rsidR="00C51D1A" w:rsidRPr="00F55871" w:rsidRDefault="00000000" w:rsidP="00042435">
            <w:r w:rsidRPr="00F55871">
              <w:rPr>
                <w:rFonts w:ascii="Times New Roman" w:hAnsi="Times New Roman"/>
                <w:sz w:val="18"/>
              </w:rPr>
              <w:t>Recalibration corrects the average over the whole range, not the high regime</w:t>
            </w:r>
          </w:p>
        </w:tc>
        <w:tc>
          <w:tcPr>
            <w:tcW w:w="2200" w:type="dxa"/>
          </w:tcPr>
          <w:p w14:paraId="0EF30EA6" w14:textId="77777777" w:rsidR="00C51D1A" w:rsidRDefault="00000000" w:rsidP="00042435">
            <w:pPr>
              <w:spacing w:before="36" w:after="0"/>
            </w:pPr>
            <w:r>
              <w:rPr>
                <w:rFonts w:ascii="Times New Roman" w:hAnsi="Times New Roman"/>
                <w:sz w:val="18"/>
              </w:rPr>
              <w:t>conformal_coverage.csv;</w:t>
            </w:r>
          </w:p>
          <w:p w14:paraId="1D859FAB" w14:textId="77777777" w:rsidR="00C51D1A" w:rsidRDefault="00000000" w:rsidP="00042435">
            <w:pPr>
              <w:spacing w:after="0"/>
            </w:pPr>
            <w:r>
              <w:rPr>
                <w:rFonts w:ascii="Times New Roman" w:hAnsi="Times New Roman"/>
                <w:sz w:val="18"/>
              </w:rPr>
              <w:t>Tables S17–S18</w:t>
            </w:r>
          </w:p>
        </w:tc>
      </w:tr>
    </w:tbl>
    <w:p w14:paraId="0FA15771" w14:textId="77777777" w:rsidR="00042435" w:rsidRPr="00F55871" w:rsidRDefault="00042435" w:rsidP="00042435">
      <w:pPr>
        <w:pStyle w:val="BodyText"/>
        <w:spacing w:before="0" w:after="0" w:line="276" w:lineRule="auto"/>
        <w:jc w:val="both"/>
      </w:pPr>
    </w:p>
    <w:p w14:paraId="1F35ABAB" w14:textId="31471946" w:rsidR="00C51D1A" w:rsidRPr="00F55871" w:rsidRDefault="00000000" w:rsidP="00042435">
      <w:pPr>
        <w:pStyle w:val="BodyText"/>
        <w:spacing w:before="0" w:after="0" w:line="276" w:lineRule="auto"/>
        <w:jc w:val="both"/>
      </w:pPr>
      <w:r w:rsidRPr="00F55871">
        <w:t xml:space="preserve">(a) </w:t>
      </w:r>
      <w:r w:rsidRPr="00F55871">
        <w:rPr>
          <w:b/>
        </w:rPr>
        <w:t>SARIMA specification and sensitivity to the gap convention.</w:t>
      </w:r>
      <w:r w:rsidRPr="00F55871">
        <w:t xml:space="preserve"> The adopted specification maintains the regular hourly index (gaps as </w:t>
      </w:r>
      <w:proofErr w:type="spellStart"/>
      <w:r w:rsidRPr="00F55871">
        <w:t>NaN</w:t>
      </w:r>
      <w:proofErr w:type="spellEnd"/>
      <w:r w:rsidRPr="00F55871">
        <w:t xml:space="preserve"> handled by the state-space Kalman filter), adaptive calendar estimation windows (base 4,380 h, extension until ≥3,000 valid observations, cap 35,064 h) and selection within training: the five candidates are evaluated by means of station-specific internal temporal hold-outs (the last year before 2025 with coverage ≥60%: 2023 at Parque Centenario, 2024 at Córdoba and La Boca) and a single common specification is selected by </w:t>
      </w:r>
      <w:proofErr w:type="spellStart"/>
      <w:r w:rsidRPr="00F55871">
        <w:t>minimising</w:t>
      </w:r>
      <w:proofErr w:type="spellEnd"/>
      <w:r w:rsidRPr="00F55871">
        <w:t xml:space="preserve"> the mean RMSE across stations and horizons — (1,0,0)×(1,0,1)24 — which is then fitted separately at each station (Online Resource 1, §7). As a sensitivity analysis, an alternative convention — (2,0,1)×(1,0,1)24 estimated over the last 4,380 h with gaps ≤6 h linearly interpolated and longer ones concatenated (compression of the time index) — barely alters the evaluation year (7.41/7.53/7.54 against 7.39/7.55/7.60 ppb at 24/48/72 h), but it does alter the cross-validation: under the adopted convention, the rolling fit degrades in the low-coverage folds — La Boca 2021 does not converge (58% gaps despite the window extension) and diverges up to ≈49 ppb at 72 h (sarima_fit_log.csv) — and the weighted aggregate ends up numerically on a par with persistence at 24 h (+0.9%) and below it at 48–72 h (Table S7). Artefacts: sarima_spec_selection.csv and sarima_diagnostics.csv (Online Resource 2, Tables S3–S4).</w:t>
      </w:r>
    </w:p>
    <w:p w14:paraId="3BB724ED" w14:textId="77777777" w:rsidR="00042435" w:rsidRPr="00F55871" w:rsidRDefault="00042435" w:rsidP="00042435">
      <w:pPr>
        <w:pStyle w:val="BodyText"/>
        <w:spacing w:before="0" w:after="0" w:line="276" w:lineRule="auto"/>
        <w:jc w:val="both"/>
      </w:pPr>
    </w:p>
    <w:p w14:paraId="69078121" w14:textId="77777777" w:rsidR="00C51D1A" w:rsidRPr="00F55871" w:rsidRDefault="00000000" w:rsidP="00042435">
      <w:pPr>
        <w:pStyle w:val="BodyText"/>
        <w:spacing w:before="0" w:after="0" w:line="276" w:lineRule="auto"/>
        <w:jc w:val="both"/>
      </w:pPr>
      <w:r w:rsidRPr="00F55871">
        <w:t xml:space="preserve">(b) </w:t>
      </w:r>
      <w:r w:rsidRPr="00F55871">
        <w:rPr>
          <w:b/>
        </w:rPr>
        <w:t>Completed morning inference and multiplicity.</w:t>
      </w:r>
      <w:r w:rsidRPr="00F55871">
        <w:t xml:space="preserve"> The paired block bootstrap (7 days, B = 2000) was extended to the 08/12 h issue times: at 08 h the 95% CI of the </w:t>
      </w:r>
      <w:proofErr w:type="spellStart"/>
      <w:r w:rsidRPr="00F55871">
        <w:t>XGBoost</w:t>
      </w:r>
      <w:proofErr w:type="spellEnd"/>
      <w:r w:rsidRPr="00F55871">
        <w:t xml:space="preserve">−SARIMA </w:t>
      </w:r>
      <w:r>
        <w:t>Δ</w:t>
      </w:r>
      <w:r w:rsidRPr="00F55871">
        <w:t>RMSE excludes zero at 24 h ([−0.89, −0.29] ppb) but crosses it at 48/72 h ([−0.45, +0.16] and [−0.40, +0.23]); at 12 h it excludes zero only at 24 h ([−0.79, −0.25]). The DM statistic is robust to the HAC lag (L = 0/7/automatic Newey–West) in all the 24 h contrasts (p ≤ 0.004 in the worst variant; hac_lag_robustness.csv). Over the 162 p values of the package, the Benjamini–Hochberg correction (</w:t>
      </w:r>
      <w:r>
        <w:t>α</w:t>
      </w:r>
      <w:r w:rsidRPr="00F55871">
        <w:t xml:space="preserve"> = 0.05) retains the primary family at 24 h and the morning and midday contrasts at 24 h in their three </w:t>
      </w:r>
      <w:proofErr w:type="gramStart"/>
      <w:r w:rsidRPr="00F55871">
        <w:t>variants, and</w:t>
      </w:r>
      <w:proofErr w:type="gramEnd"/>
      <w:r w:rsidRPr="00F55871">
        <w:t xml:space="preserve"> discards the marginal ones (morning at 48–72 h; </w:t>
      </w:r>
      <w:proofErr w:type="spellStart"/>
      <w:r w:rsidRPr="00F55871">
        <w:t>XGBoost</w:t>
      </w:r>
      <w:proofErr w:type="spellEnd"/>
      <w:r w:rsidRPr="00F55871">
        <w:t xml:space="preserve"> vs Ridge at 48 h per station with Bonferroni; the years 2021 and 2022 of the year-by-year analysis).</w:t>
      </w:r>
    </w:p>
    <w:p w14:paraId="6C08DB93" w14:textId="77777777" w:rsidR="00042435" w:rsidRPr="00F55871" w:rsidRDefault="00042435" w:rsidP="00042435">
      <w:pPr>
        <w:pStyle w:val="BodyText"/>
        <w:spacing w:before="0" w:after="0" w:line="276" w:lineRule="auto"/>
        <w:jc w:val="both"/>
      </w:pPr>
    </w:p>
    <w:p w14:paraId="5FF1D02A" w14:textId="77777777" w:rsidR="00C51D1A" w:rsidRPr="00F55871" w:rsidRDefault="00000000" w:rsidP="00042435">
      <w:pPr>
        <w:pStyle w:val="BodyText"/>
        <w:spacing w:before="0" w:after="0" w:line="276" w:lineRule="auto"/>
        <w:jc w:val="both"/>
      </w:pPr>
      <w:r w:rsidRPr="00F55871">
        <w:t xml:space="preserve">(c) </w:t>
      </w:r>
      <w:r w:rsidRPr="00F55871">
        <w:rPr>
          <w:b/>
        </w:rPr>
        <w:t>Satellite: seeds and same-day ingestion.</w:t>
      </w:r>
      <w:r w:rsidRPr="00F55871">
        <w:t xml:space="preserve"> Across five seeds the satellite contribution (C−B) fluctuates around zero within the between-seed dispersion — the value at 24 h is given in the index table; at 48 and 72 h it is +0.037 ± 0.038 and +0.012 ± 0.016 ppb — without a consistent incremental improvement. An alternative ingestion that uses the same-day column for issue times after 14 h (41.7% of the grid; the OFFL product means that this variant bounds the potential value of fresher satellite information, not its NRT feasibility) does not improve it either: +0.051 ppb over all issue times and +0.054 in the affected subset.</w:t>
      </w:r>
    </w:p>
    <w:p w14:paraId="78D6C58C" w14:textId="77777777" w:rsidR="00042435" w:rsidRPr="00F55871" w:rsidRDefault="00042435" w:rsidP="00042435">
      <w:pPr>
        <w:pStyle w:val="BodyText"/>
        <w:spacing w:before="0" w:after="0" w:line="276" w:lineRule="auto"/>
        <w:jc w:val="both"/>
      </w:pPr>
    </w:p>
    <w:p w14:paraId="5ACBBACA" w14:textId="77777777" w:rsidR="00C51D1A" w:rsidRPr="00F55871" w:rsidRDefault="00000000" w:rsidP="00042435">
      <w:pPr>
        <w:pStyle w:val="BodyText"/>
        <w:spacing w:before="0" w:after="0" w:line="276" w:lineRule="auto"/>
        <w:jc w:val="both"/>
      </w:pPr>
      <w:r w:rsidRPr="00F55871">
        <w:t xml:space="preserve">(d) </w:t>
      </w:r>
      <w:r w:rsidRPr="00F55871">
        <w:rPr>
          <w:b/>
          <w:bCs/>
        </w:rPr>
        <w:t>Implementation robustness (</w:t>
      </w:r>
      <w:proofErr w:type="spellStart"/>
      <w:r w:rsidRPr="00F55871">
        <w:rPr>
          <w:b/>
          <w:bCs/>
        </w:rPr>
        <w:t>LightGBM</w:t>
      </w:r>
      <w:proofErr w:type="spellEnd"/>
      <w:r w:rsidRPr="00F55871">
        <w:rPr>
          <w:b/>
          <w:bCs/>
        </w:rPr>
        <w:t>), climatological threshold and recurrent-network training with temporal validation</w:t>
      </w:r>
      <w:r w:rsidRPr="00F55871">
        <w:t xml:space="preserve">. </w:t>
      </w:r>
      <w:proofErr w:type="spellStart"/>
      <w:r w:rsidRPr="00F55871">
        <w:t>LightGBM</w:t>
      </w:r>
      <w:proofErr w:type="spellEnd"/>
      <w:r w:rsidRPr="00F55871">
        <w:t xml:space="preserve"> with a comparable budget differs from </w:t>
      </w:r>
      <w:proofErr w:type="spellStart"/>
      <w:r w:rsidRPr="00F55871">
        <w:t>XGBoost</w:t>
      </w:r>
      <w:proofErr w:type="spellEnd"/>
      <w:r w:rsidRPr="00F55871">
        <w:t xml:space="preserve"> by ≤0.03 ppb at all three horizons (7.061/7.700/7.800 against 7.041/7.692/7.821), which provides evidence that the pattern is not exclusive to </w:t>
      </w:r>
      <w:proofErr w:type="spellStart"/>
      <w:r w:rsidRPr="00F55871">
        <w:t>XGBoost</w:t>
      </w:r>
      <w:proofErr w:type="spellEnd"/>
      <w:r w:rsidRPr="00F55871">
        <w:t xml:space="preserve"> and does not depend on a single gradient boosting implementation. In the single 2025 evaluation, the hourly classifier with a frozen climatological threshold reproduces the POD, precision and FAR values reported in §6. The recurrent networks are trained (configuration C, fixed seed, graphics processing unit [GPU] on the Compute Unified Device Architecture [CUDA] platform) with the purged internal chronological validation for early stopping described in Online Resource 1: with the per-horizon means of the index table, LSTM and GRU outperform persistence (9.70/10.99/11.32 ppb) in 22 and 23 of the 24 fold-horizon pairs, respectively, and remain behind the tabular models. Artefacts: lightgbm_test2025.csv, table_alert_metrics.csv (in 02_data/results/), seq_lstm_metrics.csv, seq_gru_metrics.csv (es_* columns; the configuration and the validation status of the retraining are documented in the canonical results and in the distributed verifiers).</w:t>
      </w:r>
    </w:p>
    <w:p w14:paraId="3108A9B9" w14:textId="77777777" w:rsidR="00042435" w:rsidRPr="00F55871" w:rsidRDefault="00042435" w:rsidP="00042435">
      <w:pPr>
        <w:pStyle w:val="BodyText"/>
        <w:spacing w:before="0" w:after="0" w:line="276" w:lineRule="auto"/>
        <w:jc w:val="both"/>
      </w:pPr>
    </w:p>
    <w:p w14:paraId="54C9C7ED" w14:textId="77777777" w:rsidR="00C51D1A" w:rsidRPr="00F55871" w:rsidRDefault="00000000" w:rsidP="00042435">
      <w:pPr>
        <w:pStyle w:val="BodyText"/>
        <w:spacing w:before="0" w:after="0" w:line="276" w:lineRule="auto"/>
        <w:jc w:val="both"/>
      </w:pPr>
      <w:r w:rsidRPr="00F55871">
        <w:t xml:space="preserve">(e) </w:t>
      </w:r>
      <w:r w:rsidRPr="00F55871">
        <w:rPr>
          <w:b/>
          <w:bCs/>
        </w:rPr>
        <w:t>Alignment of the information set between families</w:t>
      </w:r>
      <w:r w:rsidRPr="00F55871">
        <w:t xml:space="preserve">. The “common issue times” align forecast issuance across model families, not the information set: SARIMA, SARIMAX and the persistence baselines observe NO₂(t), whereas the machine-learning features begin at lag t−1. To bound the effect of that asymmetry, the complete pipeline was retrained incorporating NO₂(t) into the feature set — the same variable observed by the classical model at the forecast origin, and only that one, so as not to over-align the comparison — keeping the target-time purge, the </w:t>
      </w:r>
      <w:r w:rsidRPr="00F55871">
        <w:lastRenderedPageBreak/>
        <w:t>hyperparameters, the seed, the evaluation year and the row filter identical, so that the contrast is based on the same n = 1,025, 1,020 and 1,017 pairs for 24, 48 and 72 h as in Table 1.</w:t>
      </w:r>
    </w:p>
    <w:p w14:paraId="5C07A231" w14:textId="77777777" w:rsidR="00C51D1A" w:rsidRPr="00F55871" w:rsidRDefault="00000000" w:rsidP="00042435">
      <w:pPr>
        <w:pStyle w:val="BodyText"/>
        <w:spacing w:before="0" w:after="0" w:line="276" w:lineRule="auto"/>
        <w:jc w:val="both"/>
      </w:pPr>
      <w:r w:rsidRPr="00F55871">
        <w:t xml:space="preserve">At 24 h the advantage of </w:t>
      </w:r>
      <w:proofErr w:type="spellStart"/>
      <w:r w:rsidRPr="00F55871">
        <w:t>XGBoost</w:t>
      </w:r>
      <w:proofErr w:type="spellEnd"/>
      <w:r w:rsidRPr="00F55871">
        <w:t xml:space="preserve"> over SARIMA holds (</w:t>
      </w:r>
      <w:r>
        <w:t>Δ</w:t>
      </w:r>
      <w:r w:rsidRPr="00F55871">
        <w:t>RMSE −0.38, against −0.36 ppb without alignment; p = 0.003 in the primary inferential variant, date-collapsed, and 0.001 and 0.008 in the sensitivity variants — pooled panel and per station with Bonferroni; 95% bootstrap CI [−0.62, −0.16]). At 48 and 72 h the absence of a difference persists (</w:t>
      </w:r>
      <w:r>
        <w:t>Δ</w:t>
      </w:r>
      <w:r w:rsidRPr="00F55871">
        <w:t>RMSE +0.11 and +0.16 ppb; p ≥ 0.24 in all variants, with intervals crossing zero), so that the null result at long horizons is not an artefact of the informational penalty imposed on machine learning. The net effect of the alignment — the difference between the aligned configuration and the distributed one over the same pairs — is small and does not reach significance at any horizon (|</w:t>
      </w:r>
      <w:r>
        <w:t>Δ</w:t>
      </w:r>
      <w:r w:rsidRPr="00F55871">
        <w:t xml:space="preserve">RMSE| ≤ 0.07 ppb, with bootstrap intervals crossing zero at all three), and its sign is not stable: it changes across horizons and across execution environments, with excursions of up to 0.05 ppb when re-running the same configuration on different machines, of the same order as the drift documented for gradient boosting under </w:t>
      </w:r>
      <w:proofErr w:type="spellStart"/>
      <w:r w:rsidRPr="00F55871">
        <w:t>tree_method</w:t>
      </w:r>
      <w:proofErr w:type="spellEnd"/>
      <w:r w:rsidRPr="00F55871">
        <w:t xml:space="preserve"> “hist” with parallelism. The deterministic control confirms it: the alignment reduces the Ridge error by exactly 0.052 ppb at 24 h on the full hourly dataset, without variation across environments. What the analysis supports is therefore the qualitative conclusion — </w:t>
      </w:r>
      <w:proofErr w:type="spellStart"/>
      <w:r w:rsidRPr="00F55871">
        <w:t>equalising</w:t>
      </w:r>
      <w:proofErr w:type="spellEnd"/>
      <w:r w:rsidRPr="00F55871">
        <w:t xml:space="preserve"> the information set does not alter any inferential decision — and not the point value of the alignment effect, which lies below the resolution of the experiment. As an additional control, the unaligned configuration reproduces the distributed contrast at 24 h within 0.003 ppb (−0.361 against −0.364). These contrasts are a robustness </w:t>
      </w:r>
      <w:proofErr w:type="spellStart"/>
      <w:r w:rsidRPr="00F55871">
        <w:t>recomputation</w:t>
      </w:r>
      <w:proofErr w:type="spellEnd"/>
      <w:r w:rsidRPr="00F55871">
        <w:t xml:space="preserve"> of contrasts already accounted for, not new hypotheses: their p values are reported raw and are incorporated neither into the primary inferential family nor into the global multiplicity correction. Generator: aligned_information_sensitivity.py.</w:t>
      </w:r>
    </w:p>
    <w:p w14:paraId="0AC62498" w14:textId="77777777" w:rsidR="00042435" w:rsidRPr="00F55871" w:rsidRDefault="00042435" w:rsidP="00042435">
      <w:pPr>
        <w:pStyle w:val="BodyText"/>
        <w:spacing w:before="0" w:after="0" w:line="276" w:lineRule="auto"/>
        <w:jc w:val="both"/>
      </w:pPr>
    </w:p>
    <w:p w14:paraId="2BE61C80" w14:textId="77777777" w:rsidR="00C51D1A" w:rsidRPr="00F55871" w:rsidRDefault="00000000" w:rsidP="00042435">
      <w:pPr>
        <w:pStyle w:val="BodyText"/>
        <w:spacing w:before="0" w:after="0" w:line="276" w:lineRule="auto"/>
        <w:jc w:val="both"/>
      </w:pPr>
      <w:r w:rsidRPr="00F55871">
        <w:t xml:space="preserve">(f) </w:t>
      </w:r>
      <w:r w:rsidRPr="00F55871">
        <w:rPr>
          <w:b/>
          <w:bCs/>
        </w:rPr>
        <w:t>Pooled training versus per-station models</w:t>
      </w:r>
      <w:r w:rsidRPr="00F55871">
        <w:t xml:space="preserve">. Pooling the three stations into a single model is a design decision and not a neutral choice, and its effect is not the same for all families. On the held-out year, pooled </w:t>
      </w:r>
      <w:proofErr w:type="spellStart"/>
      <w:r w:rsidRPr="00F55871">
        <w:t>XGBoost</w:t>
      </w:r>
      <w:proofErr w:type="spellEnd"/>
      <w:r w:rsidRPr="00F55871">
        <w:t xml:space="preserve"> improves on the </w:t>
      </w:r>
      <w:proofErr w:type="spellStart"/>
      <w:r w:rsidRPr="00F55871">
        <w:t>XGBoost</w:t>
      </w:r>
      <w:proofErr w:type="spellEnd"/>
      <w:r w:rsidRPr="00F55871">
        <w:t xml:space="preserve"> models fitted separately (7.35 against 7.55 ppb of weighted RMSE over the common intersection of that comparison, n = 12,606), whereas in Ridge the relation is reversed: the per-station fit improves on the pooled one (7.47 against 7.57 ppb over n = 25,245). The inclusion of station fixed effects in the pooled Ridge recovers approximately half of that difference (7.52 ppb). This pattern suggests that gradient boosting exploits the information shared between sites — presumably through nonlinear interactions between calendar, meteorology and baseline level — whereas Ridge retains station-specific heterogeneity that pooled training does not fully absorb and that a per-site intercept only partially compensates. It should be noted that the evaluation populations of the two families differ in this artefact (n = 12,606 for </w:t>
      </w:r>
      <w:proofErr w:type="spellStart"/>
      <w:r w:rsidRPr="00F55871">
        <w:t>XGBoost</w:t>
      </w:r>
      <w:proofErr w:type="spellEnd"/>
      <w:r w:rsidRPr="00F55871">
        <w:t xml:space="preserve"> against 25,245 for Ridge), so that the valid comparison is within each family — pooled against per station — and not between families. This sensitivity does not alter any conclusion of the main text, which relies on the pooled configuration uniformly for the machine-learning families, but it documents that the decision to pool has asymmetric consequences and deserves to be made explicit.</w:t>
      </w:r>
    </w:p>
    <w:p w14:paraId="35E02727" w14:textId="77777777" w:rsidR="00C51D1A" w:rsidRPr="00F55871" w:rsidRDefault="00000000" w:rsidP="00042435">
      <w:pPr>
        <w:pStyle w:val="Heading2"/>
        <w:spacing w:before="0" w:line="360" w:lineRule="auto"/>
      </w:pPr>
      <w:r w:rsidRPr="00F55871">
        <w:lastRenderedPageBreak/>
        <w:t>References</w:t>
      </w:r>
    </w:p>
    <w:p w14:paraId="734AD609" w14:textId="76048498" w:rsidR="00C51D1A" w:rsidRDefault="00000000" w:rsidP="00042435">
      <w:pPr>
        <w:pStyle w:val="BodyText"/>
        <w:spacing w:before="0" w:after="0" w:line="276" w:lineRule="auto"/>
        <w:jc w:val="both"/>
        <w:rPr>
          <w:lang w:val="es-419"/>
        </w:rPr>
      </w:pPr>
      <w:r w:rsidRPr="00F55871">
        <w:t xml:space="preserve">Aas, K., </w:t>
      </w:r>
      <w:proofErr w:type="spellStart"/>
      <w:r w:rsidRPr="00F55871">
        <w:t>Jullum</w:t>
      </w:r>
      <w:proofErr w:type="spellEnd"/>
      <w:r w:rsidRPr="00F55871">
        <w:t xml:space="preserve">, M., &amp; Løland, A. (2021). </w:t>
      </w:r>
      <w:r>
        <w:t xml:space="preserve">Explaining individual predictions when features are dependent: More accurate approximations to Shapley values. </w:t>
      </w:r>
      <w:r w:rsidRPr="00D44238">
        <w:rPr>
          <w:i/>
          <w:lang w:val="es-419"/>
        </w:rPr>
        <w:t xml:space="preserve">Artificial </w:t>
      </w:r>
      <w:proofErr w:type="spellStart"/>
      <w:r w:rsidRPr="00D44238">
        <w:rPr>
          <w:i/>
          <w:lang w:val="es-419"/>
        </w:rPr>
        <w:t>Intelligence</w:t>
      </w:r>
      <w:proofErr w:type="spellEnd"/>
      <w:r w:rsidRPr="00D44238">
        <w:rPr>
          <w:i/>
          <w:lang w:val="es-419"/>
        </w:rPr>
        <w:t>, 298</w:t>
      </w:r>
      <w:r w:rsidRPr="00D44238">
        <w:rPr>
          <w:lang w:val="es-419"/>
        </w:rPr>
        <w:t xml:space="preserve">, </w:t>
      </w:r>
      <w:proofErr w:type="spellStart"/>
      <w:r w:rsidRPr="00D44238">
        <w:rPr>
          <w:lang w:val="es-419"/>
        </w:rPr>
        <w:t>Article</w:t>
      </w:r>
      <w:proofErr w:type="spellEnd"/>
      <w:r w:rsidRPr="00D44238">
        <w:rPr>
          <w:lang w:val="es-419"/>
        </w:rPr>
        <w:t xml:space="preserve"> 103502. </w:t>
      </w:r>
      <w:hyperlink r:id="rId5" w:history="1">
        <w:r w:rsidR="00F55871" w:rsidRPr="00BC3255">
          <w:rPr>
            <w:rStyle w:val="Hyperlink"/>
            <w:lang w:val="es-419"/>
          </w:rPr>
          <w:t>https://doi.org/10.1016/j.artint.2021.103502</w:t>
        </w:r>
      </w:hyperlink>
    </w:p>
    <w:p w14:paraId="1902136E" w14:textId="6DB27B68" w:rsidR="00C51D1A" w:rsidRDefault="00000000" w:rsidP="00042435">
      <w:pPr>
        <w:pStyle w:val="FirstParagraph"/>
        <w:spacing w:before="0" w:after="0" w:line="276" w:lineRule="auto"/>
        <w:jc w:val="both"/>
        <w:rPr>
          <w:lang w:val="es-419"/>
        </w:rPr>
      </w:pPr>
      <w:r w:rsidRPr="00D44238">
        <w:rPr>
          <w:lang w:val="es-419"/>
        </w:rPr>
        <w:t xml:space="preserve">Agencia de Protección Ambiental (APRA). (2019). </w:t>
      </w:r>
      <w:r w:rsidRPr="00D44238">
        <w:rPr>
          <w:i/>
          <w:lang w:val="es-419"/>
        </w:rPr>
        <w:t>Informe Anual Ambiental 2019 [Annual Environmental Report 2019]. Gobierno</w:t>
      </w:r>
      <w:r w:rsidRPr="00D44238">
        <w:rPr>
          <w:lang w:val="es-419"/>
        </w:rPr>
        <w:t xml:space="preserve"> de la Ciudad Autónoma de Buenos Aires. </w:t>
      </w:r>
      <w:hyperlink r:id="rId6" w:history="1">
        <w:r w:rsidR="00F55871" w:rsidRPr="00BC3255">
          <w:rPr>
            <w:rStyle w:val="Hyperlink"/>
            <w:lang w:val="es-419"/>
          </w:rPr>
          <w:t>https://static.buenosaires.gob.ar/sites/default/files/2023-01/Informe%20Anual%20Ambiental%202019.pdf</w:t>
        </w:r>
      </w:hyperlink>
    </w:p>
    <w:p w14:paraId="7FB015AF" w14:textId="439CA795" w:rsidR="00C51D1A" w:rsidRDefault="00000000" w:rsidP="00042435">
      <w:pPr>
        <w:pStyle w:val="FirstParagraph"/>
        <w:spacing w:before="0" w:after="0" w:line="276" w:lineRule="auto"/>
        <w:jc w:val="both"/>
        <w:rPr>
          <w:lang w:val="es-419"/>
        </w:rPr>
      </w:pPr>
      <w:r w:rsidRPr="00D44238">
        <w:rPr>
          <w:lang w:val="es-419"/>
        </w:rPr>
        <w:t xml:space="preserve">Agencia de Protección Ambiental (APRA). (2021). </w:t>
      </w:r>
      <w:r w:rsidRPr="00D44238">
        <w:rPr>
          <w:i/>
          <w:lang w:val="es-419"/>
        </w:rPr>
        <w:t>Resolución N° 68-APRA/21: Estándares de calidad de aire y cronograma de adecuación progresiva [Resolution No. 68-APRA/21: Air quality standards and progressive compliance schedule]. Gobierno</w:t>
      </w:r>
      <w:r w:rsidRPr="00D44238">
        <w:rPr>
          <w:lang w:val="es-419"/>
        </w:rPr>
        <w:t xml:space="preserve"> de la Ciudad Autónoma de Buenos Aires. Boletín Oficial de la Ciudad Autónoma de Buenos Aires, </w:t>
      </w:r>
      <w:proofErr w:type="spellStart"/>
      <w:r w:rsidRPr="00D44238">
        <w:rPr>
          <w:lang w:val="es-419"/>
        </w:rPr>
        <w:t>N°</w:t>
      </w:r>
      <w:proofErr w:type="spellEnd"/>
      <w:r w:rsidRPr="00D44238">
        <w:rPr>
          <w:lang w:val="es-419"/>
        </w:rPr>
        <w:t xml:space="preserve"> 6112, 29 de abril de 2021. Anexo I: Estándares de calidad de aire [Annex I: Air quality standards] (Informe N° 12564371-GCABA-APRA/21). </w:t>
      </w:r>
      <w:hyperlink r:id="rId7" w:history="1">
        <w:r w:rsidR="00F55871" w:rsidRPr="00BC3255">
          <w:rPr>
            <w:rStyle w:val="Hyperlink"/>
            <w:lang w:val="es-419"/>
          </w:rPr>
          <w:t>https://documentosboletinoficial.buenosaires.gob.ar/publico/PE-RES-SECA-APRA-68-21-ANX.pdf</w:t>
        </w:r>
      </w:hyperlink>
    </w:p>
    <w:p w14:paraId="213CD9A8" w14:textId="41A87CBC" w:rsidR="00C51D1A" w:rsidRDefault="00000000" w:rsidP="00042435">
      <w:pPr>
        <w:pStyle w:val="FirstParagraph"/>
        <w:spacing w:before="0" w:after="0" w:line="276" w:lineRule="auto"/>
        <w:jc w:val="both"/>
        <w:rPr>
          <w:lang w:val="es-419"/>
        </w:rPr>
      </w:pPr>
      <w:r w:rsidRPr="00D44238">
        <w:rPr>
          <w:lang w:val="es-419"/>
        </w:rPr>
        <w:t xml:space="preserve">Agencia de Protección Ambiental (APRA). (2022). </w:t>
      </w:r>
      <w:r w:rsidRPr="00D44238">
        <w:rPr>
          <w:i/>
          <w:lang w:val="es-419"/>
        </w:rPr>
        <w:t>Informe Anual Ambiental 2022 [Annual Environmental Report 2022]. Gobierno</w:t>
      </w:r>
      <w:r w:rsidRPr="00D44238">
        <w:rPr>
          <w:lang w:val="es-419"/>
        </w:rPr>
        <w:t xml:space="preserve"> de la Ciudad Autónoma de Buenos Aires. </w:t>
      </w:r>
      <w:hyperlink r:id="rId8" w:history="1">
        <w:r w:rsidR="00F55871" w:rsidRPr="00BC3255">
          <w:rPr>
            <w:rStyle w:val="Hyperlink"/>
            <w:lang w:val="es-419"/>
          </w:rPr>
          <w:t>https://static.buenosaires.gob.ar/sites/default/files/2023-09/INFORME%20ANUAL%20AMBIENTAL%202022.pdf</w:t>
        </w:r>
      </w:hyperlink>
    </w:p>
    <w:p w14:paraId="3676B7E8" w14:textId="19BFC86E" w:rsidR="00C51D1A" w:rsidRDefault="00000000" w:rsidP="00042435">
      <w:pPr>
        <w:pStyle w:val="BodyText"/>
        <w:spacing w:before="0" w:after="0" w:line="276" w:lineRule="auto"/>
        <w:jc w:val="both"/>
        <w:rPr>
          <w:lang w:val="es-419"/>
        </w:rPr>
      </w:pPr>
      <w:r w:rsidRPr="00D44238">
        <w:rPr>
          <w:lang w:val="es-419"/>
        </w:rPr>
        <w:t xml:space="preserve">Agencia de Protección Ambiental (APRA). (2023). </w:t>
      </w:r>
      <w:r w:rsidRPr="00D44238">
        <w:rPr>
          <w:i/>
          <w:lang w:val="es-419"/>
        </w:rPr>
        <w:t>Informe Anual Ambiental 2023 [Annual Environmental Report 2023]. Gobierno</w:t>
      </w:r>
      <w:r w:rsidRPr="00D44238">
        <w:rPr>
          <w:lang w:val="es-419"/>
        </w:rPr>
        <w:t xml:space="preserve"> de la Ciudad Autónoma de Buenos Aires. </w:t>
      </w:r>
      <w:hyperlink r:id="rId9" w:history="1">
        <w:r w:rsidR="00F55871" w:rsidRPr="00BC3255">
          <w:rPr>
            <w:rStyle w:val="Hyperlink"/>
            <w:lang w:val="es-419"/>
          </w:rPr>
          <w:t>https://static.buenosaires.gob.ar/sites/default/files/2024-12/Informe%20Anual%20Ambiental%202023.pdf</w:t>
        </w:r>
      </w:hyperlink>
    </w:p>
    <w:p w14:paraId="037A09C4" w14:textId="7E3E7A02" w:rsidR="00C51D1A" w:rsidRDefault="00000000" w:rsidP="00042435">
      <w:pPr>
        <w:pStyle w:val="BodyText"/>
        <w:spacing w:before="0" w:after="0" w:line="276" w:lineRule="auto"/>
        <w:jc w:val="both"/>
        <w:rPr>
          <w:lang w:val="es-419"/>
        </w:rPr>
      </w:pPr>
      <w:r w:rsidRPr="00D44238">
        <w:rPr>
          <w:lang w:val="es-419"/>
        </w:rPr>
        <w:t xml:space="preserve">Agencia de Protección Ambiental (APRA). (2024). </w:t>
      </w:r>
      <w:r w:rsidRPr="00D44238">
        <w:rPr>
          <w:i/>
          <w:lang w:val="es-419"/>
        </w:rPr>
        <w:t>Informe Anual Ambiental 2024 [Annual Environmental Report 2024]. Gobierno</w:t>
      </w:r>
      <w:r w:rsidRPr="00D44238">
        <w:rPr>
          <w:lang w:val="es-419"/>
        </w:rPr>
        <w:t xml:space="preserve"> de la Ciudad Autónoma de Buenos Aires. </w:t>
      </w:r>
      <w:hyperlink r:id="rId10" w:history="1">
        <w:r w:rsidR="00F55871" w:rsidRPr="00BC3255">
          <w:rPr>
            <w:rStyle w:val="Hyperlink"/>
            <w:lang w:val="es-419"/>
          </w:rPr>
          <w:t>https://static.buenosaires.gob.ar/sites/default/files/2025-10/Informe%20Anual%20Ambiental%202024_0.pdf</w:t>
        </w:r>
      </w:hyperlink>
    </w:p>
    <w:p w14:paraId="7BD54671" w14:textId="77777777" w:rsidR="00C51D1A" w:rsidRDefault="00000000" w:rsidP="00042435">
      <w:pPr>
        <w:pStyle w:val="BodyText"/>
        <w:spacing w:before="0" w:after="0" w:line="276" w:lineRule="auto"/>
        <w:jc w:val="both"/>
      </w:pPr>
      <w:r>
        <w:t xml:space="preserve">European Union. (2008). Directive 2008/50/EC of the European Parliament and of the Council of 21 May 2008 on ambient air quality and cleaner air for Europe. </w:t>
      </w:r>
      <w:r>
        <w:rPr>
          <w:i/>
        </w:rPr>
        <w:t>Official Journal of the European Union, L 152</w:t>
      </w:r>
      <w:r>
        <w:t>, 1–44.</w:t>
      </w:r>
    </w:p>
    <w:p w14:paraId="3FFC5DA1" w14:textId="77777777" w:rsidR="00C51D1A" w:rsidRDefault="00000000" w:rsidP="00042435">
      <w:pPr>
        <w:pStyle w:val="BodyText"/>
        <w:spacing w:before="0" w:after="0" w:line="276" w:lineRule="auto"/>
        <w:jc w:val="both"/>
      </w:pPr>
      <w:r>
        <w:t xml:space="preserve">European Union. (2024). Directive (EU) 2024/2881 of the European Parliament and of the Council of 23 October 2024 on ambient air quality and cleaner air for Europe (recast). </w:t>
      </w:r>
      <w:r>
        <w:rPr>
          <w:i/>
        </w:rPr>
        <w:t>Official Journal of the European Union, L</w:t>
      </w:r>
      <w:r>
        <w:t>, 2024/2881, 20 November 2024.</w:t>
      </w:r>
    </w:p>
    <w:p w14:paraId="4FA0B7A3" w14:textId="13F680CF" w:rsidR="00C51D1A" w:rsidRDefault="00000000" w:rsidP="00042435">
      <w:pPr>
        <w:pStyle w:val="BodyText"/>
        <w:spacing w:before="0" w:after="0" w:line="276" w:lineRule="auto"/>
        <w:jc w:val="both"/>
        <w:rPr>
          <w:lang w:val="es-419"/>
        </w:rPr>
      </w:pPr>
      <w:r>
        <w:t xml:space="preserve">Ley N° 1356. </w:t>
      </w:r>
      <w:r w:rsidRPr="00F55871">
        <w:t xml:space="preserve">(2004). </w:t>
      </w:r>
      <w:proofErr w:type="spellStart"/>
      <w:r w:rsidRPr="00F55871">
        <w:rPr>
          <w:i/>
        </w:rPr>
        <w:t>Preservación</w:t>
      </w:r>
      <w:proofErr w:type="spellEnd"/>
      <w:r w:rsidRPr="00F55871">
        <w:rPr>
          <w:i/>
        </w:rPr>
        <w:t xml:space="preserve"> del </w:t>
      </w:r>
      <w:proofErr w:type="spellStart"/>
      <w:r w:rsidRPr="00F55871">
        <w:rPr>
          <w:i/>
        </w:rPr>
        <w:t>recurso</w:t>
      </w:r>
      <w:proofErr w:type="spellEnd"/>
      <w:r w:rsidRPr="00F55871">
        <w:rPr>
          <w:i/>
        </w:rPr>
        <w:t xml:space="preserve"> </w:t>
      </w:r>
      <w:proofErr w:type="spellStart"/>
      <w:r w:rsidRPr="00F55871">
        <w:rPr>
          <w:i/>
        </w:rPr>
        <w:t>aire</w:t>
      </w:r>
      <w:proofErr w:type="spellEnd"/>
      <w:r w:rsidRPr="00F55871">
        <w:rPr>
          <w:i/>
        </w:rPr>
        <w:t xml:space="preserve"> y </w:t>
      </w:r>
      <w:proofErr w:type="spellStart"/>
      <w:r w:rsidRPr="00F55871">
        <w:rPr>
          <w:i/>
        </w:rPr>
        <w:t>prevención</w:t>
      </w:r>
      <w:proofErr w:type="spellEnd"/>
      <w:r w:rsidRPr="00F55871">
        <w:rPr>
          <w:i/>
        </w:rPr>
        <w:t xml:space="preserve"> y </w:t>
      </w:r>
      <w:proofErr w:type="gramStart"/>
      <w:r w:rsidRPr="00F55871">
        <w:rPr>
          <w:i/>
        </w:rPr>
        <w:t>control</w:t>
      </w:r>
      <w:proofErr w:type="gramEnd"/>
      <w:r w:rsidRPr="00F55871">
        <w:rPr>
          <w:i/>
        </w:rPr>
        <w:t xml:space="preserve"> de la </w:t>
      </w:r>
      <w:proofErr w:type="spellStart"/>
      <w:r w:rsidRPr="00F55871">
        <w:rPr>
          <w:i/>
        </w:rPr>
        <w:t>contaminación</w:t>
      </w:r>
      <w:proofErr w:type="spellEnd"/>
      <w:r w:rsidRPr="00F55871">
        <w:rPr>
          <w:i/>
        </w:rPr>
        <w:t xml:space="preserve"> </w:t>
      </w:r>
      <w:proofErr w:type="spellStart"/>
      <w:r w:rsidRPr="00F55871">
        <w:rPr>
          <w:i/>
        </w:rPr>
        <w:t>atmosférica</w:t>
      </w:r>
      <w:proofErr w:type="spellEnd"/>
      <w:r w:rsidRPr="00F55871">
        <w:rPr>
          <w:i/>
        </w:rPr>
        <w:t xml:space="preserve"> [Preservation of the air resource and prevention and control of atmospheric pollution]. </w:t>
      </w:r>
      <w:r w:rsidRPr="00D44238">
        <w:rPr>
          <w:i/>
          <w:lang w:val="es-419"/>
        </w:rPr>
        <w:t>Legislatura</w:t>
      </w:r>
      <w:r w:rsidRPr="00D44238">
        <w:rPr>
          <w:lang w:val="es-419"/>
        </w:rPr>
        <w:t xml:space="preserve"> de la Ciudad Autónoma de Buenos Aires. Boletín Oficial de la Ciudad Autónoma de Buenos Aires, </w:t>
      </w:r>
      <w:proofErr w:type="spellStart"/>
      <w:r w:rsidRPr="00D44238">
        <w:rPr>
          <w:lang w:val="es-419"/>
        </w:rPr>
        <w:t>N°</w:t>
      </w:r>
      <w:proofErr w:type="spellEnd"/>
      <w:r w:rsidRPr="00D44238">
        <w:rPr>
          <w:lang w:val="es-419"/>
        </w:rPr>
        <w:t xml:space="preserve"> 2000, 10 de agosto de 2004 (republicada en el </w:t>
      </w:r>
      <w:proofErr w:type="spellStart"/>
      <w:r w:rsidRPr="00D44238">
        <w:rPr>
          <w:lang w:val="es-419"/>
        </w:rPr>
        <w:t>N°</w:t>
      </w:r>
      <w:proofErr w:type="spellEnd"/>
      <w:r w:rsidRPr="00D44238">
        <w:rPr>
          <w:lang w:val="es-419"/>
        </w:rPr>
        <w:t xml:space="preserve"> 2006, 19 de agosto de 2004, por fe de erratas en los artículos 35 y 66). Anexo I: Estándares de calidad de aire ambiente (Tabla A) [Annex I: Ambient air quality standards (Table A)]. </w:t>
      </w:r>
      <w:hyperlink r:id="rId11" w:history="1">
        <w:r w:rsidR="00F55871" w:rsidRPr="00BC3255">
          <w:rPr>
            <w:rStyle w:val="Hyperlink"/>
            <w:lang w:val="es-419"/>
          </w:rPr>
          <w:t>https://boletinoficial.buenosaires.gob.ar/normativaba/norma/59418</w:t>
        </w:r>
      </w:hyperlink>
    </w:p>
    <w:p w14:paraId="63B1D35C" w14:textId="091FCF3C" w:rsidR="00C51D1A" w:rsidRDefault="00000000" w:rsidP="00042435">
      <w:pPr>
        <w:pStyle w:val="BodyText"/>
        <w:spacing w:before="0" w:after="0" w:line="276" w:lineRule="auto"/>
        <w:jc w:val="both"/>
      </w:pPr>
      <w:r w:rsidRPr="00D44238">
        <w:rPr>
          <w:lang w:val="es-419"/>
        </w:rPr>
        <w:lastRenderedPageBreak/>
        <w:t xml:space="preserve">Morillas, C., Álvarez, S., Serio, C., Masiello, G., &amp; Martínez, S. (2024). </w:t>
      </w:r>
      <w:r>
        <w:t xml:space="preserve">TROPOMI NO2 Sentinel-5P data in the Community of Madrid: A detailed consistency analysis </w:t>
      </w:r>
      <w:proofErr w:type="gramStart"/>
      <w:r>
        <w:t>with in</w:t>
      </w:r>
      <w:proofErr w:type="gramEnd"/>
      <w:r>
        <w:t xml:space="preserve"> situ surface observations. </w:t>
      </w:r>
      <w:r>
        <w:rPr>
          <w:i/>
        </w:rPr>
        <w:t>Remote Sensing Applications: Society and Environment, 33</w:t>
      </w:r>
      <w:r>
        <w:t xml:space="preserve">, Article 101083. </w:t>
      </w:r>
      <w:hyperlink r:id="rId12" w:history="1">
        <w:r w:rsidR="00F55871" w:rsidRPr="00BC3255">
          <w:rPr>
            <w:rStyle w:val="Hyperlink"/>
          </w:rPr>
          <w:t>https://doi.org/10.1016/j.rsase.2023.101083</w:t>
        </w:r>
      </w:hyperlink>
    </w:p>
    <w:p w14:paraId="380666E2" w14:textId="3748C6F7" w:rsidR="00C51D1A" w:rsidRDefault="00000000" w:rsidP="00042435">
      <w:pPr>
        <w:pStyle w:val="BodyText"/>
        <w:spacing w:before="0" w:after="0" w:line="276" w:lineRule="auto"/>
        <w:jc w:val="both"/>
      </w:pPr>
      <w:proofErr w:type="spellStart"/>
      <w:r>
        <w:t>Pseftogkas</w:t>
      </w:r>
      <w:proofErr w:type="spellEnd"/>
      <w:r>
        <w:t xml:space="preserve">, A., </w:t>
      </w:r>
      <w:proofErr w:type="spellStart"/>
      <w:r>
        <w:t>Koukouli</w:t>
      </w:r>
      <w:proofErr w:type="spellEnd"/>
      <w:r>
        <w:t xml:space="preserve">, M.-E., Segers, A., Manders, A., van Geffen, J., Balis, D., Meleti, C., </w:t>
      </w:r>
      <w:proofErr w:type="spellStart"/>
      <w:r>
        <w:t>Stavrakou</w:t>
      </w:r>
      <w:proofErr w:type="spellEnd"/>
      <w:r>
        <w:t xml:space="preserve">, T., &amp; </w:t>
      </w:r>
      <w:proofErr w:type="spellStart"/>
      <w:r>
        <w:t>Eskes</w:t>
      </w:r>
      <w:proofErr w:type="spellEnd"/>
      <w:r>
        <w:t xml:space="preserve">, H. (2022). Comparison of S5P/TROPOMI inferred NO2 surface concentrations </w:t>
      </w:r>
      <w:proofErr w:type="gramStart"/>
      <w:r>
        <w:t>with in</w:t>
      </w:r>
      <w:proofErr w:type="gramEnd"/>
      <w:r>
        <w:t xml:space="preserve"> situ measurements over Central Europe. </w:t>
      </w:r>
      <w:r>
        <w:rPr>
          <w:i/>
        </w:rPr>
        <w:t>Remote Sensing, 14</w:t>
      </w:r>
      <w:r>
        <w:t xml:space="preserve">(19), Article 4886. </w:t>
      </w:r>
      <w:hyperlink r:id="rId13" w:history="1">
        <w:r w:rsidR="00F55871" w:rsidRPr="00BC3255">
          <w:rPr>
            <w:rStyle w:val="Hyperlink"/>
          </w:rPr>
          <w:t>https://doi.org/10.3390/rs14194886</w:t>
        </w:r>
      </w:hyperlink>
    </w:p>
    <w:p w14:paraId="68A5CC9B" w14:textId="203402D7" w:rsidR="00C51D1A" w:rsidRDefault="00000000" w:rsidP="00042435">
      <w:pPr>
        <w:pStyle w:val="BodyText"/>
        <w:spacing w:before="0" w:after="0" w:line="276" w:lineRule="auto"/>
        <w:jc w:val="both"/>
      </w:pPr>
      <w:r>
        <w:t xml:space="preserve">Romano, Y., Patterson, E., &amp; </w:t>
      </w:r>
      <w:proofErr w:type="spellStart"/>
      <w:r>
        <w:t>Candès</w:t>
      </w:r>
      <w:proofErr w:type="spellEnd"/>
      <w:r>
        <w:t xml:space="preserve">, E. J. (2019). </w:t>
      </w:r>
      <w:proofErr w:type="spellStart"/>
      <w:r>
        <w:t>Conformalized</w:t>
      </w:r>
      <w:proofErr w:type="spellEnd"/>
      <w:r>
        <w:t xml:space="preserve"> quantile regression. In </w:t>
      </w:r>
      <w:r>
        <w:rPr>
          <w:i/>
        </w:rPr>
        <w:t>Advances in Neural Information Processing Systems 32</w:t>
      </w:r>
      <w:r>
        <w:t xml:space="preserve">. Curran Associates. </w:t>
      </w:r>
      <w:hyperlink r:id="rId14" w:history="1">
        <w:r w:rsidR="00F55871" w:rsidRPr="00BC3255">
          <w:rPr>
            <w:rStyle w:val="Hyperlink"/>
          </w:rPr>
          <w:t>https://proceedings.neurips.cc/paper/2019/hash/5103c3584b063c431bd1268e9b5e76fb-Abstract.html</w:t>
        </w:r>
      </w:hyperlink>
    </w:p>
    <w:p w14:paraId="3BA754B7" w14:textId="77777777" w:rsidR="00C51D1A" w:rsidRDefault="00000000" w:rsidP="00042435">
      <w:pPr>
        <w:pStyle w:val="BodyText"/>
        <w:spacing w:before="0" w:after="0" w:line="276" w:lineRule="auto"/>
        <w:jc w:val="both"/>
      </w:pPr>
      <w:r>
        <w:t xml:space="preserve">Seinfeld, J. H., &amp; </w:t>
      </w:r>
      <w:proofErr w:type="spellStart"/>
      <w:r>
        <w:t>Pandis</w:t>
      </w:r>
      <w:proofErr w:type="spellEnd"/>
      <w:r>
        <w:t xml:space="preserve">, S. N. (2016). </w:t>
      </w:r>
      <w:r>
        <w:rPr>
          <w:i/>
        </w:rPr>
        <w:t>Atmospheric chemistry and physics: From air pollution to climate change</w:t>
      </w:r>
      <w:r>
        <w:t xml:space="preserve"> (3rd ed.). Wiley.</w:t>
      </w:r>
    </w:p>
    <w:p w14:paraId="1D69B45E" w14:textId="77777777" w:rsidR="00C51D1A" w:rsidRDefault="00000000" w:rsidP="00042435">
      <w:pPr>
        <w:pStyle w:val="BodyText"/>
        <w:spacing w:before="0" w:after="0" w:line="276" w:lineRule="auto"/>
        <w:jc w:val="both"/>
      </w:pPr>
      <w:r>
        <w:t xml:space="preserve">Wilks, D. S. (2011). </w:t>
      </w:r>
      <w:r>
        <w:rPr>
          <w:i/>
        </w:rPr>
        <w:t>Statistical methods in the atmospheric sciences</w:t>
      </w:r>
      <w:r>
        <w:t xml:space="preserve"> (3rd ed.). Academic Press.</w:t>
      </w:r>
    </w:p>
    <w:p w14:paraId="7B39435A" w14:textId="3686076D" w:rsidR="00C51D1A" w:rsidRDefault="00000000" w:rsidP="00042435">
      <w:pPr>
        <w:pStyle w:val="BodyText"/>
        <w:spacing w:before="0" w:after="0" w:line="276" w:lineRule="auto"/>
        <w:jc w:val="both"/>
      </w:pPr>
      <w:r>
        <w:t xml:space="preserve">World Health Organization. (2021). </w:t>
      </w:r>
      <w:r>
        <w:rPr>
          <w:i/>
        </w:rPr>
        <w:t>WHO global air quality guidelines: Particulate matter (PM2.5 and PM10), ozone, nitrogen dioxide, sulfur dioxide and carbon monoxide</w:t>
      </w:r>
      <w:r>
        <w:t xml:space="preserve">. World Health Organization. </w:t>
      </w:r>
      <w:hyperlink r:id="rId15" w:history="1">
        <w:r w:rsidR="00F55871" w:rsidRPr="00BC3255">
          <w:rPr>
            <w:rStyle w:val="Hyperlink"/>
          </w:rPr>
          <w:t>https://www.who.int/publications/i/item/9789240034228</w:t>
        </w:r>
      </w:hyperlink>
    </w:p>
    <w:sectPr w:rsidR="00C51D1A">
      <w:pgSz w:w="12240" w:h="15840"/>
      <w:pgMar w:top="1440" w:right="1440" w:bottom="1440" w:left="144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roman"/>
    <w:pitch w:val="variable"/>
  </w:font>
  <w:font w:name="Noto Sans CJK SC">
    <w:panose1 w:val="00000000000000000000"/>
    <w:charset w:val="00"/>
    <w:family w:val="roman"/>
    <w:notTrueType/>
    <w:pitch w:val="default"/>
  </w:font>
  <w:font w:name="DejaVu San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93178"/>
    <w:multiLevelType w:val="multilevel"/>
    <w:tmpl w:val="D22EC006"/>
    <w:lvl w:ilvl="0">
      <w:numFmt w:val="bullet"/>
      <w:lvlText w:val=""/>
      <w:lvlJc w:val="left"/>
      <w:pPr>
        <w:tabs>
          <w:tab w:val="num" w:pos="0"/>
        </w:tabs>
        <w:ind w:left="480" w:hanging="480"/>
      </w:pPr>
      <w:rPr>
        <w:rFonts w:ascii="Symbol" w:hAnsi="Symbol" w:cs="Symbol" w:hint="default"/>
      </w:rPr>
    </w:lvl>
    <w:lvl w:ilvl="1">
      <w:numFmt w:val="bullet"/>
      <w:lvlText w:val=""/>
      <w:lvlJc w:val="left"/>
      <w:pPr>
        <w:tabs>
          <w:tab w:val="num" w:pos="720"/>
        </w:tabs>
        <w:ind w:left="1200" w:hanging="480"/>
      </w:pPr>
      <w:rPr>
        <w:rFonts w:ascii="Symbol" w:hAnsi="Symbol" w:cs="Symbol" w:hint="default"/>
      </w:rPr>
    </w:lvl>
    <w:lvl w:ilvl="2">
      <w:numFmt w:val="bullet"/>
      <w:lvlText w:val=""/>
      <w:lvlJc w:val="left"/>
      <w:pPr>
        <w:tabs>
          <w:tab w:val="num" w:pos="1440"/>
        </w:tabs>
        <w:ind w:left="1920" w:hanging="480"/>
      </w:pPr>
      <w:rPr>
        <w:rFonts w:ascii="Symbol" w:hAnsi="Symbol" w:cs="Symbol" w:hint="default"/>
      </w:rPr>
    </w:lvl>
    <w:lvl w:ilvl="3">
      <w:numFmt w:val="bullet"/>
      <w:lvlText w:val=""/>
      <w:lvlJc w:val="left"/>
      <w:pPr>
        <w:tabs>
          <w:tab w:val="num" w:pos="2160"/>
        </w:tabs>
        <w:ind w:left="2640" w:hanging="480"/>
      </w:pPr>
      <w:rPr>
        <w:rFonts w:ascii="Symbol" w:hAnsi="Symbol" w:cs="Symbol" w:hint="default"/>
      </w:rPr>
    </w:lvl>
    <w:lvl w:ilvl="4">
      <w:numFmt w:val="bullet"/>
      <w:lvlText w:val=""/>
      <w:lvlJc w:val="left"/>
      <w:pPr>
        <w:tabs>
          <w:tab w:val="num" w:pos="2880"/>
        </w:tabs>
        <w:ind w:left="3360" w:hanging="480"/>
      </w:pPr>
      <w:rPr>
        <w:rFonts w:ascii="Symbol" w:hAnsi="Symbol" w:cs="Symbol" w:hint="default"/>
      </w:rPr>
    </w:lvl>
    <w:lvl w:ilvl="5">
      <w:numFmt w:val="bullet"/>
      <w:lvlText w:val=""/>
      <w:lvlJc w:val="left"/>
      <w:pPr>
        <w:tabs>
          <w:tab w:val="num" w:pos="3600"/>
        </w:tabs>
        <w:ind w:left="4080" w:hanging="480"/>
      </w:pPr>
      <w:rPr>
        <w:rFonts w:ascii="Symbol" w:hAnsi="Symbol" w:cs="Symbol" w:hint="default"/>
      </w:rPr>
    </w:lvl>
    <w:lvl w:ilvl="6">
      <w:numFmt w:val="bullet"/>
      <w:lvlText w:val=""/>
      <w:lvlJc w:val="left"/>
      <w:pPr>
        <w:tabs>
          <w:tab w:val="num" w:pos="4320"/>
        </w:tabs>
        <w:ind w:left="4800" w:hanging="480"/>
      </w:pPr>
      <w:rPr>
        <w:rFonts w:ascii="Symbol" w:hAnsi="Symbol" w:cs="Symbol" w:hint="default"/>
      </w:rPr>
    </w:lvl>
    <w:lvl w:ilvl="7">
      <w:numFmt w:val="bullet"/>
      <w:lvlText w:val=""/>
      <w:lvlJc w:val="left"/>
      <w:pPr>
        <w:tabs>
          <w:tab w:val="num" w:pos="5040"/>
        </w:tabs>
        <w:ind w:left="5520" w:hanging="480"/>
      </w:pPr>
      <w:rPr>
        <w:rFonts w:ascii="Symbol" w:hAnsi="Symbol" w:cs="Symbol" w:hint="default"/>
      </w:rPr>
    </w:lvl>
    <w:lvl w:ilvl="8">
      <w:numFmt w:val="bullet"/>
      <w:lvlText w:val=""/>
      <w:lvlJc w:val="left"/>
      <w:pPr>
        <w:tabs>
          <w:tab w:val="num" w:pos="5760"/>
        </w:tabs>
        <w:ind w:left="6240" w:hanging="480"/>
      </w:pPr>
      <w:rPr>
        <w:rFonts w:ascii="Symbol" w:hAnsi="Symbol" w:cs="Symbol" w:hint="default"/>
      </w:rPr>
    </w:lvl>
  </w:abstractNum>
  <w:abstractNum w:abstractNumId="1" w15:restartNumberingAfterBreak="0">
    <w:nsid w:val="26134DE9"/>
    <w:multiLevelType w:val="multilevel"/>
    <w:tmpl w:val="5C50C2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78536226">
    <w:abstractNumId w:val="0"/>
  </w:num>
  <w:num w:numId="2" w16cid:durableId="95172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defaultTabStop w:val="720"/>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C51D1A"/>
    <w:rsid w:val="00042435"/>
    <w:rsid w:val="009E06A3"/>
    <w:rsid w:val="00C51D1A"/>
    <w:rsid w:val="00D44238"/>
    <w:rsid w:val="00E1015E"/>
    <w:rsid w:val="00E91C78"/>
    <w:rsid w:val="00F5587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1E755"/>
  <w15:docId w15:val="{30654A70-A65C-410A-AE8A-509C89EF0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p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qFormat/>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qFormat/>
    <w:rPr>
      <w:rFonts w:ascii="Consolas" w:hAnsi="Consolas"/>
      <w:color w:val="BB6688"/>
      <w:sz w:val="22"/>
    </w:rPr>
  </w:style>
  <w:style w:type="character" w:customStyle="1" w:styleId="ImportTok">
    <w:name w:val="ImportTok"/>
    <w:basedOn w:val="VerbatimChar"/>
    <w:qFormat/>
    <w:rPr>
      <w:rFonts w:ascii="Consolas" w:hAnsi="Consolas"/>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qFormat/>
    <w:rPr>
      <w:rFonts w:ascii="Consolas" w:hAnsi="Consolas"/>
      <w:color w:val="007020"/>
      <w:sz w:val="22"/>
    </w:rPr>
  </w:style>
  <w:style w:type="character" w:customStyle="1" w:styleId="FunctionTok">
    <w:name w:val="FunctionTok"/>
    <w:basedOn w:val="VerbatimChar"/>
    <w:qFormat/>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qFormat/>
    <w:rPr>
      <w:rFonts w:ascii="Consolas" w:hAnsi="Consolas"/>
      <w:color w:val="666666"/>
      <w:sz w:val="22"/>
    </w:rPr>
  </w:style>
  <w:style w:type="character" w:customStyle="1" w:styleId="BuiltInTok">
    <w:name w:val="BuiltInTok"/>
    <w:basedOn w:val="VerbatimChar"/>
    <w:qFormat/>
    <w:rPr>
      <w:rFonts w:ascii="Consolas" w:hAnsi="Consolas"/>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qFormat/>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qFormat/>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qFormat/>
    <w:rPr>
      <w:rFonts w:ascii="Consolas" w:hAnsi="Consolas"/>
      <w:sz w:val="22"/>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DejaVu Sans"/>
      <w:sz w:val="28"/>
      <w:szCs w:val="28"/>
    </w:rPr>
  </w:style>
  <w:style w:type="paragraph" w:styleId="BodyText">
    <w:name w:val="Body Text"/>
    <w:basedOn w:val="Normal"/>
    <w:qFormat/>
    <w:pPr>
      <w:spacing w:before="180" w:after="180"/>
    </w:pPr>
  </w:style>
  <w:style w:type="paragraph" w:styleId="List">
    <w:name w:val="List"/>
    <w:basedOn w:val="BodyText"/>
    <w:rPr>
      <w:rFonts w:cs="DejaVu Sans"/>
    </w:rPr>
  </w:style>
  <w:style w:type="paragraph" w:styleId="Caption">
    <w:name w:val="caption"/>
    <w:basedOn w:val="Normal"/>
    <w:link w:val="CaptionChar"/>
    <w:qFormat/>
    <w:pPr>
      <w:spacing w:after="120"/>
    </w:pPr>
    <w:rPr>
      <w:i/>
    </w:rPr>
  </w:style>
  <w:style w:type="paragraph" w:customStyle="1" w:styleId="Index">
    <w:name w:val="Index"/>
    <w:basedOn w:val="Normal"/>
    <w:qFormat/>
    <w:pPr>
      <w:suppressLineNumbers/>
    </w:pPr>
    <w:rPr>
      <w:rFonts w:cs="DejaVu Sans"/>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CaptionedFigure">
    <w:name w:val="Captioned Figure"/>
    <w:basedOn w:val="Figure"/>
    <w:qFormat/>
    <w:pPr>
      <w:keepNext/>
    </w:pPr>
  </w:style>
  <w:style w:type="paragraph" w:styleId="IndexHeading">
    <w:name w:val="index heading"/>
    <w:basedOn w:val="Heading"/>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qFormat/>
  </w:style>
  <w:style w:type="table" w:customStyle="1" w:styleId="Table">
    <w:name w:val="Table"/>
    <w:semiHidden/>
    <w:unhideWhenUsed/>
    <w:qFormat/>
    <w:tblPr>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F558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tatic.buenosaires.gob.ar/sites/default/files/2023-09/INFORME%20ANUAL%20AMBIENTAL%202022.pdf" TargetMode="External"/><Relationship Id="rId13" Type="http://schemas.openxmlformats.org/officeDocument/2006/relationships/hyperlink" Target="https://doi.org/10.3390/rs14194886" TargetMode="External"/><Relationship Id="rId3" Type="http://schemas.openxmlformats.org/officeDocument/2006/relationships/settings" Target="settings.xml"/><Relationship Id="rId7" Type="http://schemas.openxmlformats.org/officeDocument/2006/relationships/hyperlink" Target="https://documentosboletinoficial.buenosaires.gob.ar/publico/PE-RES-SECA-APRA-68-21-ANX.pdf" TargetMode="External"/><Relationship Id="rId12" Type="http://schemas.openxmlformats.org/officeDocument/2006/relationships/hyperlink" Target="https://doi.org/10.1016/j.rsase.2023.10108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tatic.buenosaires.gob.ar/sites/default/files/2023-01/Informe%20Anual%20Ambiental%202019.pdf" TargetMode="External"/><Relationship Id="rId11" Type="http://schemas.openxmlformats.org/officeDocument/2006/relationships/hyperlink" Target="https://boletinoficial.buenosaires.gob.ar/normativaba/norma/59418" TargetMode="External"/><Relationship Id="rId5" Type="http://schemas.openxmlformats.org/officeDocument/2006/relationships/hyperlink" Target="https://doi.org/10.1016/j.artint.2021.103502" TargetMode="External"/><Relationship Id="rId15" Type="http://schemas.openxmlformats.org/officeDocument/2006/relationships/hyperlink" Target="https://www.who.int/publications/i/item/9789240034228" TargetMode="External"/><Relationship Id="rId10" Type="http://schemas.openxmlformats.org/officeDocument/2006/relationships/hyperlink" Target="https://static.buenosaires.gob.ar/sites/default/files/2025-10/Informe%20Anual%20Ambiental%202024_0.pdf" TargetMode="External"/><Relationship Id="rId4" Type="http://schemas.openxmlformats.org/officeDocument/2006/relationships/webSettings" Target="webSettings.xml"/><Relationship Id="rId9" Type="http://schemas.openxmlformats.org/officeDocument/2006/relationships/hyperlink" Target="https://static.buenosaires.gob.ar/sites/default/files/2024-12/Informe%20Anual%20Ambiental%202023.pdf" TargetMode="External"/><Relationship Id="rId14" Type="http://schemas.openxmlformats.org/officeDocument/2006/relationships/hyperlink" Target="https://proceedings.neurips.cc/paper/2019/hash/5103c3584b063c431bd1268e9b5e76fb-Abstract.html"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majorFont>
      <a:minorFont>
        <a:latin typeface="Times New Roman"/>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18</Pages>
  <Words>8182</Words>
  <Characters>46723</Characters>
  <Application>Microsoft Office Word</Application>
  <DocSecurity>0</DocSecurity>
  <Lines>819</Lines>
  <Paragraphs>194</Paragraphs>
  <ScaleCrop>false</ScaleCrop>
  <HeadingPairs>
    <vt:vector size="2" baseType="variant">
      <vt:variant>
        <vt:lpstr>Title</vt:lpstr>
      </vt:variant>
      <vt:variant>
        <vt:i4>1</vt:i4>
      </vt:variant>
    </vt:vector>
  </HeadingPairs>
  <TitlesOfParts>
    <vt:vector size="1" baseType="lpstr">
      <vt:lpstr>Online Resource 4 — Supplementary results</vt:lpstr>
    </vt:vector>
  </TitlesOfParts>
  <Company/>
  <LinksUpToDate>false</LinksUpToDate>
  <CharactersWithSpaces>54711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Resource 4 — Supplementary results</dc:title>
  <dc:subject>When Does Model Complexity Pay? Multi-Horizon NO₂ Forecasting in the Sparse Monitoring Network of the City of Buenos Aires</dc:subject>
  <dc:creator>Javier Aira</dc:creator>
  <dc:description/>
  <cp:lastModifiedBy>Javier Aira</cp:lastModifiedBy>
  <cp:revision>5</cp:revision>
  <dcterms:created xsi:type="dcterms:W3CDTF">2026-07-13T20:06:00Z</dcterms:created>
  <dcterms:modified xsi:type="dcterms:W3CDTF">2026-08-10T16:49:00Z</dcterms:modified>
  <dc:language>en-US</dc:language>
</cp:coreProperties>
</file>