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7. Energy, WASH and vulnerability exposures by sustainable household environment status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7. Energy, WASH and vulnerability exposures by sustainable household environment status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909"/>
        <w:gridCol w:w="3003"/>
        <w:gridCol w:w="1303"/>
        <w:gridCol w:w="1609"/>
        <w:gridCol w:w="2025"/>
        <w:gridCol w:w="2098"/>
        <w:gridCol w:w="1132"/>
        <w:gridCol w:w="1902"/>
      </w:tblGrid>
      <w:tr>
        <w:trPr>
          <w:trHeight w:val="617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Category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 absent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 present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Analysis note</w:t>
            </w:r>
          </w:p>
        </w:tc>
      </w:tr>
      <w:tr>
        <w:trPr>
          <w:trHeight w:val="617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545 (90.7%)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545 (90.7%)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322 (53.6%)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322 (53.6%)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83 (13.8%)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83 (13.8%)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308 (51.2%)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308 (51.2%)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435 (72.4%)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435 (72.4%)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410 (68.2%)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410 (68.2%)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body7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112 (18.6%)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112 (18.6%)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2026-08-10T23:09:40Z</dcterms:modified>
  <cp:category/>
</cp:coreProperties>
</file>