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Table 6. Energy, WASH and vulnerability exposures by high environmental-health risk status</w:t>
      </w:r>
    </w:p>
    <w:p>
      <w:pPr>
        <w:pStyle w:val="Normal"/>
      </w:pPr>
      <w:r>
        <w:t xml:space="preserve">Household Energy, Environmental Health and Sanitation Practices in Rural Karangura, Uganda: Implications for Sustainable Water and Public Health</w:t>
      </w:r>
    </w:p>
    <w:p>
      <w:pPr>
        <w:pStyle w:val="TableCaption"/>
        <w:jc w:val="center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60" w:before="60" w:line="240"/>
        <w:ind w:left="60" w:right="60" w:firstLine="0" w:firstLineChars="0"/>
      </w:pPr>
      <w:r>
        <w:t xml:space="preserve">Table 6. Energy, WASH and vulnerability exposures by high environmental-health risk status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382"/>
        <w:gridCol w:w="3003"/>
        <w:gridCol w:w="1303"/>
        <w:gridCol w:w="1609"/>
        <w:gridCol w:w="2025"/>
        <w:gridCol w:w="2098"/>
        <w:gridCol w:w="1132"/>
        <w:gridCol w:w="1902"/>
      </w:tblGrid>
      <w:tr>
        <w:trPr>
          <w:trHeight w:val="617" w:hRule="auto"/>
          <w:tblHeader/>
        </w:trPr>
        header1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Category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 absent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 present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Analysis note</w:t>
            </w:r>
          </w:p>
        </w:tc>
      </w:tr>
      <w:tr>
        <w:trPr>
          <w:trHeight w:val="617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562 (90.9%)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179 (78.9%)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383 (98%)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322 (53.5%)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80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242 (62.7%)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85 (13.7%)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 (0.9%)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83 (21.2%)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314 (50.6%)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77 (33.8%)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237 (60.5%)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451 (72.7%)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143 (62.7%)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308 (78.6%)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418 (67.4%)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49 (21.5%)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369 (94.1%)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body7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114 (18.4%)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36 (15.8%)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78 (19.9%)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0.244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</w:tbl>
    <w:p>
      <w:pPr>
        <w:pStyle w:val="Normal"/>
      </w:pPr>
      <w:r>
        <w:t xml:space="preserve"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2026-08-10T23:09:39Z</dcterms:modified>
  <cp:category/>
</cp:coreProperties>
</file>