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1. Baseline household and respondent characteristics by high environmental-health risk status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1. Baseline household and respondent characteristics by high environmental-health risk status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382"/>
        <w:gridCol w:w="3566"/>
        <w:gridCol w:w="2343"/>
        <w:gridCol w:w="1609"/>
        <w:gridCol w:w="2025"/>
        <w:gridCol w:w="2098"/>
        <w:gridCol w:w="1132"/>
        <w:gridCol w:w="2697"/>
      </w:tblGrid>
      <w:tr>
        <w:trPr>
          <w:trHeight w:val="617" w:hRule="auto"/>
          <w:tblHeader/>
        </w:trPr>
        header 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Category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absent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 present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Analysis note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Respondent age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Mean ± SD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39.1 ± 15.0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39.3 ± 14.8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39.0 ± 15.1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0.804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Wilcoxon rank-sum test</w:t>
            </w:r>
          </w:p>
        </w:tc>
      </w:tr>
      <w:tr>
        <w:trPr>
          <w:trHeight w:val="614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members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Mean ± SD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4.0 ± 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3.6 ± 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4.2 ± 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Wilcoxon rank-sum test</w:t>
            </w:r>
          </w:p>
        </w:tc>
      </w:tr>
      <w:tr>
        <w:trPr>
          <w:trHeight w:val="614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Under-five children in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Mean ± SD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0.8 ± 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0.7 ± 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 ± 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Wilcoxon rank-sum test</w:t>
            </w:r>
          </w:p>
        </w:tc>
      </w:tr>
      <w:tr>
        <w:trPr>
          <w:trHeight w:val="614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Asset index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Mean ± SD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3.7 ± 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3.9 ± 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3.5 ± 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Wilcoxon rank-sum test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Female respondent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368 (59.4%)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138 (60.5%)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230 (58.7%)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0.713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with orphans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69 (11.1%)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 (7%)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 (13.5%)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with disability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24 (10.5%)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38 (9.7%)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0.846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114 (18.4%)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 (15.8%)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78 (19.9%)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Yes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418 (67.4%)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49 (21.5%)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369 (94.1%)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Kamabale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158 (25.6%)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43 (18.9%)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115 (29.4%)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Kibwa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142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71 (31.3%)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71 (18.2%)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Nyakitokoli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318 (51.5%)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113 (49.8%)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205 (52.4%)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asset tertile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Highest asset tertile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206 (33.2%)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 (37.3%)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121 (30.9%)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asset tertile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Lowest asset tertile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207 (33.4%)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78 (34.2%)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129 (32.9%)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  <w:tr>
        <w:trPr>
          <w:trHeight w:val="617" w:hRule="auto"/>
        </w:trPr>
        body15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Household asset tertile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Middle asset tertile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207 (33.4%)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65 (28.5%)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142 (36.2%)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0.109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Chi-square test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2026-08-10T23:09:36Z</dcterms:modified>
  <cp:category/>
</cp:coreProperties>
</file>