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Titre1"/>
      </w:pPr>
      <w:r>
        <w:t xml:space="preserve">Table 3. Environmental-health risk score distribution</w:t>
      </w:r>
    </w:p>
    <w:p>
      <w:pPr>
        <w:pStyle w:val="Normal"/>
      </w:pPr>
      <w:r>
        <w:t xml:space="preserve">Household Energy, Environmental Health and Sanitation Practices in Rural Karangura, Uganda: Implications for Sustainable Water and Public Health</w:t>
      </w:r>
    </w:p>
    <w:p>
      <w:pPr>
        <w:pStyle w:val="TableCaption"/>
        <w:jc w:val="center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60" w:before="60" w:line="240"/>
        <w:ind w:left="60" w:right="60" w:firstLine="0" w:firstLineChars="0"/>
      </w:pPr>
      <w:r>
        <w:t xml:space="preserve">Table 3. Environmental-health risk score distribution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492"/>
        <w:gridCol w:w="2220"/>
        <w:gridCol w:w="1817"/>
        <w:gridCol w:w="1169"/>
      </w:tblGrid>
      <w:tr>
        <w:trPr>
          <w:trHeight w:val="617" w:hRule="auto"/>
          <w:tblHeader/>
        </w:trPr>
        header1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Environmental-health risk score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Households, n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Households, 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Percent</w:t>
            </w:r>
          </w:p>
        </w:tc>
      </w:tr>
      <w:tr>
        <w:trPr>
          <w:trHeight w:val="617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 (0.2%)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0.2</w:t>
            </w:r>
          </w:p>
        </w:tc>
      </w:tr>
      <w:tr>
        <w:trPr>
          <w:trHeight w:val="61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61 (9.8%)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9.8</w:t>
            </w:r>
          </w:p>
        </w:tc>
      </w:tr>
      <w:tr>
        <w:trPr>
          <w:trHeight w:val="617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166 (26.8%)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166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26.8</w:t>
            </w:r>
          </w:p>
        </w:tc>
      </w:tr>
      <w:tr>
        <w:trPr>
          <w:trHeight w:val="617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159 (25.6%)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159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25.6</w:t>
            </w:r>
          </w:p>
        </w:tc>
      </w:tr>
      <w:tr>
        <w:trPr>
          <w:trHeight w:val="617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194 (31.3%)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194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31.3</w:t>
            </w:r>
          </w:p>
        </w:tc>
      </w:tr>
      <w:tr>
        <w:trPr>
          <w:trHeight w:val="617" w:hRule="auto"/>
        </w:trPr>
        body6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39 (6.3%)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6.3</w:t>
            </w:r>
          </w:p>
        </w:tc>
      </w:tr>
    </w:tbl>
    <w:p>
      <w:pPr>
        <w:pStyle w:val="Normal"/>
      </w:pPr>
      <w:r>
        <w:t xml:space="preserve"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2026-08-10T23:09:37Z</dcterms:modified>
  <cp:category/>
</cp:coreProperties>
</file>