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99197E" w14:textId="77777777" w:rsidR="00A23F00" w:rsidRDefault="00000000">
      <w:r>
        <w:rPr>
          <w:b/>
        </w:rPr>
        <w:t>Implementing HUGO™ RAS for Radical Prostatectomy – a retrospective monocentric comparison to the da Vinci Xi® system</w:t>
      </w:r>
    </w:p>
    <w:p w14:paraId="3C73DFF9" w14:textId="77777777" w:rsidR="00A23F00" w:rsidRDefault="00000000">
      <w:r>
        <w:rPr>
          <w:b/>
          <w:sz w:val="28"/>
        </w:rPr>
        <w:t>Supplementary Material</w:t>
      </w:r>
    </w:p>
    <w:p w14:paraId="44642E32" w14:textId="77777777" w:rsidR="00A23F00" w:rsidRDefault="00A23F00"/>
    <w:p w14:paraId="524D0CBA" w14:textId="77777777" w:rsidR="00A23F00" w:rsidRDefault="00000000">
      <w:pPr>
        <w:pStyle w:val="TableCaption"/>
        <w:rPr>
          <w:rFonts w:hint="eastAsia"/>
        </w:rPr>
      </w:pPr>
      <w:r>
        <w:t>Supplement Table1:</w:t>
      </w:r>
      <w:r>
        <w:rPr>
          <w:rFonts w:ascii="Monaco" w:hAnsi="Monaco"/>
          <w:color w:val="000000"/>
          <w:sz w:val="18"/>
          <w:szCs w:val="18"/>
        </w:rPr>
        <w:t xml:space="preserve"> </w:t>
      </w:r>
      <w:r>
        <w:t>For each outcome, a separate propensity score model was specified using clinically relevant preoperative covariates. Overlap weighting was subsequently applied based on the estimated propensity scores.</w:t>
      </w:r>
    </w:p>
    <w:tbl>
      <w:tblPr>
        <w:tblStyle w:val="Tabellenraster"/>
        <w:tblW w:w="5000" w:type="pct"/>
        <w:tblLayout w:type="fixed"/>
        <w:tblLook w:val="0020" w:firstRow="1" w:lastRow="0" w:firstColumn="0" w:lastColumn="0" w:noHBand="0" w:noVBand="0"/>
      </w:tblPr>
      <w:tblGrid>
        <w:gridCol w:w="3288"/>
        <w:gridCol w:w="5679"/>
        <w:gridCol w:w="5027"/>
      </w:tblGrid>
      <w:tr w:rsidR="00A23F00" w14:paraId="39D0D751" w14:textId="77777777">
        <w:tc>
          <w:tcPr>
            <w:tcW w:w="3290" w:type="dxa"/>
          </w:tcPr>
          <w:p w14:paraId="70EE303B" w14:textId="77777777" w:rsidR="00A23F00" w:rsidRDefault="00000000">
            <w:pPr>
              <w:pStyle w:val="Compact"/>
              <w:rPr>
                <w:rFonts w:hint="eastAsia"/>
                <w:b/>
              </w:rPr>
            </w:pPr>
            <w:r>
              <w:rPr>
                <w:b/>
              </w:rPr>
              <w:t>Outcome</w:t>
            </w:r>
          </w:p>
        </w:tc>
        <w:tc>
          <w:tcPr>
            <w:tcW w:w="5683" w:type="dxa"/>
          </w:tcPr>
          <w:p w14:paraId="7CBD4084" w14:textId="77777777" w:rsidR="00A23F00" w:rsidRDefault="00000000">
            <w:pPr>
              <w:pStyle w:val="Compact"/>
              <w:rPr>
                <w:rFonts w:hint="eastAsia"/>
                <w:b/>
              </w:rPr>
            </w:pPr>
            <w:r>
              <w:rPr>
                <w:b/>
              </w:rPr>
              <w:t>Covariates included in the propensity score model</w:t>
            </w:r>
          </w:p>
        </w:tc>
        <w:tc>
          <w:tcPr>
            <w:tcW w:w="5031" w:type="dxa"/>
          </w:tcPr>
          <w:p w14:paraId="0360F62D" w14:textId="77777777" w:rsidR="00A23F00" w:rsidRDefault="00000000">
            <w:pPr>
              <w:pStyle w:val="Compact"/>
              <w:rPr>
                <w:rFonts w:hint="eastAsia"/>
                <w:b/>
              </w:rPr>
            </w:pPr>
            <w:r>
              <w:rPr>
                <w:b/>
              </w:rPr>
              <w:t>Clinical Rationale</w:t>
            </w:r>
          </w:p>
        </w:tc>
      </w:tr>
      <w:tr w:rsidR="00A23F00" w14:paraId="1A1FFFDD" w14:textId="77777777">
        <w:tc>
          <w:tcPr>
            <w:tcW w:w="3290" w:type="dxa"/>
          </w:tcPr>
          <w:p w14:paraId="1BE1166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Operative duration</w:t>
            </w:r>
          </w:p>
        </w:tc>
        <w:tc>
          <w:tcPr>
            <w:tcW w:w="5683" w:type="dxa"/>
          </w:tcPr>
          <w:p w14:paraId="2524DD9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ASA score, BMI, Planned nerve-sparing</w:t>
            </w:r>
          </w:p>
        </w:tc>
        <w:tc>
          <w:tcPr>
            <w:tcW w:w="5031" w:type="dxa"/>
          </w:tcPr>
          <w:p w14:paraId="12567700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Surgical complexity and patient factors</w:t>
            </w:r>
          </w:p>
        </w:tc>
      </w:tr>
      <w:tr w:rsidR="00A23F00" w14:paraId="4B5C43E8" w14:textId="77777777">
        <w:tc>
          <w:tcPr>
            <w:tcW w:w="3290" w:type="dxa"/>
          </w:tcPr>
          <w:p w14:paraId="58A771FD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Length of hospital stay</w:t>
            </w:r>
          </w:p>
        </w:tc>
        <w:tc>
          <w:tcPr>
            <w:tcW w:w="5683" w:type="dxa"/>
          </w:tcPr>
          <w:p w14:paraId="2ACCD34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Age, ASA score</w:t>
            </w:r>
          </w:p>
        </w:tc>
        <w:tc>
          <w:tcPr>
            <w:tcW w:w="5031" w:type="dxa"/>
          </w:tcPr>
          <w:p w14:paraId="0ED2E307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Recovery and perioperative risk</w:t>
            </w:r>
          </w:p>
        </w:tc>
      </w:tr>
      <w:tr w:rsidR="00A23F00" w14:paraId="0FF0F040" w14:textId="77777777">
        <w:tc>
          <w:tcPr>
            <w:tcW w:w="3290" w:type="dxa"/>
          </w:tcPr>
          <w:p w14:paraId="2DA5F63F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Anastomotic integrity at first cystogram</w:t>
            </w:r>
          </w:p>
        </w:tc>
        <w:tc>
          <w:tcPr>
            <w:tcW w:w="5683" w:type="dxa"/>
          </w:tcPr>
          <w:p w14:paraId="52E495FE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Age, BMI, Planned nerve-sparing, D’Amico risk group, Prostate volume</w:t>
            </w:r>
          </w:p>
        </w:tc>
        <w:tc>
          <w:tcPr>
            <w:tcW w:w="5031" w:type="dxa"/>
          </w:tcPr>
          <w:p w14:paraId="265B1993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Anastomotic complexity and oncological extent</w:t>
            </w:r>
          </w:p>
        </w:tc>
      </w:tr>
      <w:tr w:rsidR="00A23F00" w14:paraId="3B9CFBCC" w14:textId="77777777">
        <w:tc>
          <w:tcPr>
            <w:tcW w:w="3290" w:type="dxa"/>
          </w:tcPr>
          <w:p w14:paraId="293D848B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Positive surgical margins</w:t>
            </w:r>
          </w:p>
        </w:tc>
        <w:tc>
          <w:tcPr>
            <w:tcW w:w="5683" w:type="dxa"/>
          </w:tcPr>
          <w:p w14:paraId="3812924D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BMI, D’Amico risk group, Prostate volume</w:t>
            </w:r>
          </w:p>
        </w:tc>
        <w:tc>
          <w:tcPr>
            <w:tcW w:w="5031" w:type="dxa"/>
          </w:tcPr>
          <w:p w14:paraId="3B836A97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Tumor biology and surgical difficulty</w:t>
            </w:r>
          </w:p>
        </w:tc>
      </w:tr>
      <w:tr w:rsidR="00A23F00" w14:paraId="44E02197" w14:textId="77777777">
        <w:tc>
          <w:tcPr>
            <w:tcW w:w="3290" w:type="dxa"/>
          </w:tcPr>
          <w:p w14:paraId="10748BE4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Lymph node yield</w:t>
            </w:r>
          </w:p>
        </w:tc>
        <w:tc>
          <w:tcPr>
            <w:tcW w:w="5683" w:type="dxa"/>
          </w:tcPr>
          <w:p w14:paraId="622767F1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BMI, Age, ASA score, D’Amico risk group</w:t>
            </w:r>
          </w:p>
        </w:tc>
        <w:tc>
          <w:tcPr>
            <w:tcW w:w="5031" w:type="dxa"/>
          </w:tcPr>
          <w:p w14:paraId="1CCB78A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Extent of pelvic lymph node dissection</w:t>
            </w:r>
          </w:p>
        </w:tc>
      </w:tr>
      <w:tr w:rsidR="00A23F00" w14:paraId="24831ACC" w14:textId="77777777">
        <w:tc>
          <w:tcPr>
            <w:tcW w:w="3290" w:type="dxa"/>
          </w:tcPr>
          <w:p w14:paraId="65757AEA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Complications</w:t>
            </w:r>
          </w:p>
        </w:tc>
        <w:tc>
          <w:tcPr>
            <w:tcW w:w="5683" w:type="dxa"/>
          </w:tcPr>
          <w:p w14:paraId="66F953C6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ASA score, Planned nerve-sparing, Prostate volume, D’Amico risk group</w:t>
            </w:r>
          </w:p>
        </w:tc>
        <w:tc>
          <w:tcPr>
            <w:tcW w:w="5031" w:type="dxa"/>
          </w:tcPr>
          <w:p w14:paraId="060FBAEF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Patient frailty and operative complexity</w:t>
            </w:r>
          </w:p>
        </w:tc>
      </w:tr>
      <w:tr w:rsidR="00A23F00" w14:paraId="6324F8B3" w14:textId="77777777">
        <w:tc>
          <w:tcPr>
            <w:tcW w:w="3290" w:type="dxa"/>
          </w:tcPr>
          <w:p w14:paraId="54A7D1E2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Achieved nerve sparing</w:t>
            </w:r>
          </w:p>
        </w:tc>
        <w:tc>
          <w:tcPr>
            <w:tcW w:w="5683" w:type="dxa"/>
          </w:tcPr>
          <w:p w14:paraId="452BB9C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Surgeon, D’Amico risk group, Prostate volume, Planned nerve-sparing</w:t>
            </w:r>
          </w:p>
        </w:tc>
        <w:tc>
          <w:tcPr>
            <w:tcW w:w="5031" w:type="dxa"/>
          </w:tcPr>
          <w:p w14:paraId="39829F4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Surgical complexity</w:t>
            </w:r>
          </w:p>
        </w:tc>
      </w:tr>
    </w:tbl>
    <w:p w14:paraId="1C65D4AE" w14:textId="77777777" w:rsidR="00A23F00" w:rsidRDefault="00000000">
      <w:r>
        <w:br w:type="page"/>
      </w:r>
    </w:p>
    <w:p w14:paraId="099CCF09" w14:textId="77777777" w:rsidR="00A23F00" w:rsidRDefault="00000000">
      <w:pPr>
        <w:keepNext/>
      </w:pPr>
      <w:r>
        <w:rPr>
          <w:noProof/>
        </w:rPr>
        <w:lastRenderedPageBreak/>
        <w:drawing>
          <wp:inline distT="0" distB="0" distL="0" distR="0" wp14:anchorId="3E206E4A" wp14:editId="7D33F541">
            <wp:extent cx="7710805" cy="512064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512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F4C1B" w14:textId="77777777" w:rsidR="00A23F00" w:rsidRDefault="00000000">
      <w:pPr>
        <w:pStyle w:val="TableCaption"/>
        <w:rPr>
          <w:rFonts w:hint="eastAsia"/>
        </w:rPr>
      </w:pPr>
      <w:r>
        <w:t>Supplementary Figure S1: Outcome-specific Love plots before and after overlap weighting</w:t>
      </w:r>
    </w:p>
    <w:p w14:paraId="48D79EB8" w14:textId="77777777" w:rsidR="00A23F00" w:rsidRDefault="00000000">
      <w:r>
        <w:br w:type="page"/>
      </w:r>
    </w:p>
    <w:p w14:paraId="12F0DCCD" w14:textId="77777777" w:rsidR="00A23F00" w:rsidRDefault="00000000">
      <w:pPr>
        <w:keepNext/>
        <w:spacing w:befor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4D54BFCA" wp14:editId="474E87EB">
            <wp:extent cx="7710805" cy="512064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512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363CA" w14:textId="77777777" w:rsidR="00A23F00" w:rsidRDefault="00000000">
      <w:pPr>
        <w:pStyle w:val="TableCaption"/>
        <w:rPr>
          <w:rFonts w:hint="eastAsia"/>
        </w:rPr>
      </w:pPr>
      <w:r>
        <w:t>Supplementary Figure S2: Outcome-specific propensity score distributions by robotic platform</w:t>
      </w:r>
    </w:p>
    <w:p w14:paraId="43280284" w14:textId="77777777" w:rsidR="00A23F00" w:rsidRDefault="00000000">
      <w:r>
        <w:br w:type="page"/>
      </w:r>
    </w:p>
    <w:p w14:paraId="70F55C64" w14:textId="77777777" w:rsidR="00A23F00" w:rsidRDefault="00000000">
      <w:pPr>
        <w:keepNext/>
        <w:spacing w:befor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AC10C8D" wp14:editId="4B0B5051">
            <wp:extent cx="7680960" cy="5120640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512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64B63" w14:textId="77777777" w:rsidR="00A23F00" w:rsidRDefault="00000000">
      <w:pPr>
        <w:pStyle w:val="TableCaption"/>
        <w:rPr>
          <w:rFonts w:hint="eastAsia"/>
        </w:rPr>
      </w:pPr>
      <w:r>
        <w:t>Supplementary Figure S3: Adjusted treatment effects with unadjusted 95%-confidence intervals indicating precision from outcome-specific overlap-weighted regression models</w:t>
      </w:r>
    </w:p>
    <w:p w14:paraId="01622031" w14:textId="77777777" w:rsidR="00A23F00" w:rsidRDefault="00000000">
      <w:pPr>
        <w:pStyle w:val="TableCaption"/>
        <w:spacing w:before="0"/>
        <w:rPr>
          <w:rFonts w:hint="eastAsia"/>
          <w:color w:val="5A5A5A" w:themeColor="text1" w:themeTint="A5"/>
          <w:spacing w:val="15"/>
          <w:sz w:val="22"/>
          <w:szCs w:val="22"/>
          <w:lang w:eastAsia="en-US"/>
        </w:rPr>
      </w:pPr>
      <w:r>
        <w:lastRenderedPageBreak/>
        <w:t>Supplementary Table S2. Estimated platform and surgeon effects across all outcome-specific regression models.</w:t>
      </w:r>
    </w:p>
    <w:tbl>
      <w:tblPr>
        <w:tblStyle w:val="Tabellenraster"/>
        <w:tblW w:w="5000" w:type="pct"/>
        <w:tblLayout w:type="fixed"/>
        <w:tblLook w:val="0020" w:firstRow="1" w:lastRow="0" w:firstColumn="0" w:lastColumn="0" w:noHBand="0" w:noVBand="0"/>
      </w:tblPr>
      <w:tblGrid>
        <w:gridCol w:w="3933"/>
        <w:gridCol w:w="5034"/>
        <w:gridCol w:w="5027"/>
      </w:tblGrid>
      <w:tr w:rsidR="00A23F00" w14:paraId="181AFDA2" w14:textId="77777777">
        <w:tc>
          <w:tcPr>
            <w:tcW w:w="3935" w:type="dxa"/>
          </w:tcPr>
          <w:p w14:paraId="2C79A762" w14:textId="77777777" w:rsidR="00A23F00" w:rsidRDefault="00000000">
            <w:pPr>
              <w:pStyle w:val="Compac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  <w:tc>
          <w:tcPr>
            <w:tcW w:w="5038" w:type="dxa"/>
          </w:tcPr>
          <w:p w14:paraId="52171B31" w14:textId="77777777" w:rsidR="00A23F00" w:rsidRDefault="00000000">
            <w:pPr>
              <w:pStyle w:val="Compac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Platform effect</w:t>
            </w:r>
          </w:p>
        </w:tc>
        <w:tc>
          <w:tcPr>
            <w:tcW w:w="5031" w:type="dxa"/>
          </w:tcPr>
          <w:p w14:paraId="5B7AFBCE" w14:textId="77777777" w:rsidR="00A23F00" w:rsidRDefault="00000000">
            <w:pPr>
              <w:pStyle w:val="Compact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Surgeon effect</w:t>
            </w:r>
          </w:p>
        </w:tc>
      </w:tr>
      <w:tr w:rsidR="00A23F00" w14:paraId="3BB88D0D" w14:textId="77777777">
        <w:tc>
          <w:tcPr>
            <w:tcW w:w="3935" w:type="dxa"/>
          </w:tcPr>
          <w:p w14:paraId="5E80E3A0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Operative duration</w:t>
            </w:r>
          </w:p>
        </w:tc>
        <w:tc>
          <w:tcPr>
            <w:tcW w:w="5038" w:type="dxa"/>
          </w:tcPr>
          <w:p w14:paraId="11A95EA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β = +14.6 (-3.0 to 32.2), p=0.104</w:t>
            </w:r>
          </w:p>
        </w:tc>
        <w:tc>
          <w:tcPr>
            <w:tcW w:w="5031" w:type="dxa"/>
          </w:tcPr>
          <w:p w14:paraId="29A1B564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β = -7.0 (-25.9 to 11.8), p=0.460</w:t>
            </w:r>
          </w:p>
        </w:tc>
      </w:tr>
      <w:tr w:rsidR="00A23F00" w14:paraId="2AE87311" w14:textId="77777777">
        <w:tc>
          <w:tcPr>
            <w:tcW w:w="3935" w:type="dxa"/>
          </w:tcPr>
          <w:p w14:paraId="32080FC1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Length of hospital stay</w:t>
            </w:r>
          </w:p>
        </w:tc>
        <w:tc>
          <w:tcPr>
            <w:tcW w:w="5038" w:type="dxa"/>
          </w:tcPr>
          <w:p w14:paraId="7A51256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β = -0.003 (-0.022 to 0.015), p=0.720</w:t>
            </w:r>
          </w:p>
        </w:tc>
        <w:tc>
          <w:tcPr>
            <w:tcW w:w="5031" w:type="dxa"/>
          </w:tcPr>
          <w:p w14:paraId="16147C12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β = -0.000 (-0.019 to 0.019), p=0.969</w:t>
            </w:r>
          </w:p>
        </w:tc>
      </w:tr>
      <w:tr w:rsidR="00A23F00" w14:paraId="2D44C721" w14:textId="77777777">
        <w:tc>
          <w:tcPr>
            <w:tcW w:w="3935" w:type="dxa"/>
          </w:tcPr>
          <w:p w14:paraId="32931351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Anastomotic integrity</w:t>
            </w:r>
          </w:p>
        </w:tc>
        <w:tc>
          <w:tcPr>
            <w:tcW w:w="5038" w:type="dxa"/>
          </w:tcPr>
          <w:p w14:paraId="4F58D07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1.22 (0.35 to 4.36), p=0.755</w:t>
            </w:r>
          </w:p>
        </w:tc>
        <w:tc>
          <w:tcPr>
            <w:tcW w:w="5031" w:type="dxa"/>
          </w:tcPr>
          <w:p w14:paraId="1D42F885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1.20 (0.30 to 5.00), p=0.793</w:t>
            </w:r>
          </w:p>
        </w:tc>
      </w:tr>
      <w:tr w:rsidR="00A23F00" w14:paraId="7EE66A1B" w14:textId="77777777">
        <w:tc>
          <w:tcPr>
            <w:tcW w:w="3935" w:type="dxa"/>
          </w:tcPr>
          <w:p w14:paraId="42981B66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Positive surgical margins</w:t>
            </w:r>
          </w:p>
        </w:tc>
        <w:tc>
          <w:tcPr>
            <w:tcW w:w="5038" w:type="dxa"/>
          </w:tcPr>
          <w:p w14:paraId="605FECC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0.69 (0.20 to 2.35), p=0.555</w:t>
            </w:r>
          </w:p>
        </w:tc>
        <w:tc>
          <w:tcPr>
            <w:tcW w:w="5031" w:type="dxa"/>
          </w:tcPr>
          <w:p w14:paraId="5B0C38A8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0.56 (0.15 to 1.97), p=0.374</w:t>
            </w:r>
          </w:p>
        </w:tc>
      </w:tr>
      <w:tr w:rsidR="00A23F00" w14:paraId="0031AD1C" w14:textId="77777777">
        <w:tc>
          <w:tcPr>
            <w:tcW w:w="3935" w:type="dxa"/>
          </w:tcPr>
          <w:p w14:paraId="68818F48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Lymph node yield</w:t>
            </w:r>
          </w:p>
        </w:tc>
        <w:tc>
          <w:tcPr>
            <w:tcW w:w="5038" w:type="dxa"/>
          </w:tcPr>
          <w:p w14:paraId="4D62B890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IRR = 0.87 (0.65 to 1.17), p=0.359</w:t>
            </w:r>
          </w:p>
        </w:tc>
        <w:tc>
          <w:tcPr>
            <w:tcW w:w="5031" w:type="dxa"/>
          </w:tcPr>
          <w:p w14:paraId="5F4F4C5E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IRR = 1.50 (1.11 to 2.04), p=0.008</w:t>
            </w:r>
          </w:p>
        </w:tc>
      </w:tr>
      <w:tr w:rsidR="00A23F00" w14:paraId="6215C780" w14:textId="77777777">
        <w:tc>
          <w:tcPr>
            <w:tcW w:w="3935" w:type="dxa"/>
          </w:tcPr>
          <w:p w14:paraId="0CCAC16C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Complications</w:t>
            </w:r>
          </w:p>
        </w:tc>
        <w:tc>
          <w:tcPr>
            <w:tcW w:w="5038" w:type="dxa"/>
          </w:tcPr>
          <w:p w14:paraId="596B1331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0.83 (0.18 to 3.60), p=0.803</w:t>
            </w:r>
          </w:p>
        </w:tc>
        <w:tc>
          <w:tcPr>
            <w:tcW w:w="5031" w:type="dxa"/>
          </w:tcPr>
          <w:p w14:paraId="7BCC278A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OR = 1.05 (0.20 to 5.19), p=0.956</w:t>
            </w:r>
          </w:p>
        </w:tc>
      </w:tr>
      <w:tr w:rsidR="00A23F00" w14:paraId="4A271D4A" w14:textId="77777777">
        <w:tc>
          <w:tcPr>
            <w:tcW w:w="14004" w:type="dxa"/>
            <w:gridSpan w:val="3"/>
          </w:tcPr>
          <w:p w14:paraId="789368C4" w14:textId="77777777" w:rsidR="00A23F00" w:rsidRDefault="00000000">
            <w:pPr>
              <w:pStyle w:val="Compact"/>
              <w:rPr>
                <w:rFonts w:hint="eastAsia"/>
              </w:rPr>
            </w:pPr>
            <w:r>
              <w:t>Values represent adjusted effect estimates obtained from the final overlap-weighted outcome models. Platform and surgeon effects were estimated simultaneously within the same multivariable outcome models.</w:t>
            </w: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>
              <w:t>β = regression coefficient; OR = odds ratio; IRR = incidence rate ratio; CI = confidence interval.</w:t>
            </w:r>
          </w:p>
        </w:tc>
      </w:tr>
    </w:tbl>
    <w:p w14:paraId="599B83E9" w14:textId="77777777" w:rsidR="00497782" w:rsidRDefault="00497782"/>
    <w:sectPr w:rsidR="00497782">
      <w:pgSz w:w="16838" w:h="11906" w:orient="landscape"/>
      <w:pgMar w:top="1417" w:right="1417" w:bottom="1134" w:left="1417" w:header="0" w:footer="0" w:gutter="0"/>
      <w:lnNumType w:countBy="1" w:distance="283" w:restart="continuous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Textkörper (komplexe Sch">
    <w:altName w:val="Arial"/>
    <w:panose1 w:val="020B0604020202020204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00"/>
    <w:rsid w:val="00194908"/>
    <w:rsid w:val="00497782"/>
    <w:rsid w:val="00A23F00"/>
    <w:rsid w:val="00A6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21B8E"/>
  <w15:docId w15:val="{EF06E43A-2AFC-4D48-9A89-9109B651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67C1"/>
    <w:pPr>
      <w:suppressAutoHyphens w:val="0"/>
      <w:spacing w:before="360" w:after="360"/>
      <w:jc w:val="both"/>
    </w:pPr>
    <w:rPr>
      <w:rFonts w:ascii="Arial (Textkörper (komplexe Sch" w:eastAsia="Times New Roman" w:hAnsi="Arial (Textkörper (komplexe Sch" w:cs="Times New Roman"/>
      <w:sz w:val="24"/>
      <w:szCs w:val="24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052B"/>
    <w:pPr>
      <w:keepNext/>
      <w:keepLines/>
      <w:spacing w:before="240" w:line="360" w:lineRule="auto"/>
      <w:outlineLvl w:val="0"/>
    </w:pPr>
    <w:rPr>
      <w:rFonts w:eastAsiaTheme="majorEastAsia" w:cstheme="majorBidi"/>
      <w:b/>
      <w:color w:val="000000" w:themeColor="text1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052B"/>
    <w:pPr>
      <w:keepNext/>
      <w:keepLines/>
      <w:spacing w:before="40" w:line="360" w:lineRule="auto"/>
      <w:outlineLvl w:val="1"/>
    </w:pPr>
    <w:rPr>
      <w:rFonts w:eastAsiaTheme="majorEastAsia" w:cstheme="majorBidi"/>
      <w:b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6CD9"/>
    <w:pPr>
      <w:keepNext/>
      <w:keepLines/>
      <w:spacing w:before="40" w:line="360" w:lineRule="auto"/>
      <w:outlineLvl w:val="2"/>
    </w:pPr>
    <w:rPr>
      <w:rFonts w:eastAsiaTheme="majorEastAsia" w:cstheme="majorBidi"/>
      <w:color w:val="000000" w:themeColor="text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D6052B"/>
    <w:rPr>
      <w:rFonts w:ascii="Arial (Textkörper (komplexe Sch" w:eastAsiaTheme="majorEastAsia" w:hAnsi="Arial (Textkörper (komplexe Sch" w:cstheme="majorBidi"/>
      <w:b/>
      <w:color w:val="000000" w:themeColor="text1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D6052B"/>
    <w:rPr>
      <w:rFonts w:ascii="Arial (Textkörper (komplexe Sch" w:eastAsiaTheme="majorEastAsia" w:hAnsi="Arial (Textkörper (komplexe Sch" w:cstheme="majorBidi"/>
      <w:b/>
      <w:sz w:val="24"/>
      <w:szCs w:val="26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023719"/>
    <w:rPr>
      <w:rFonts w:ascii="Arial (Textkörper (komplexe Sch" w:eastAsiaTheme="minorEastAsia" w:hAnsi="Arial (Textkörper (komplexe Sch"/>
      <w:color w:val="5A5A5A" w:themeColor="text1" w:themeTint="A5"/>
      <w:spacing w:val="15"/>
      <w:lang w:val="en-US"/>
    </w:rPr>
  </w:style>
  <w:style w:type="character" w:styleId="Platzhaltertext">
    <w:name w:val="Placeholder Text"/>
    <w:basedOn w:val="Absatz-Standardschriftart"/>
    <w:uiPriority w:val="99"/>
    <w:semiHidden/>
    <w:qFormat/>
    <w:rsid w:val="00B41FF4"/>
    <w:rPr>
      <w:color w:val="808080"/>
    </w:rPr>
  </w:style>
  <w:style w:type="character" w:customStyle="1" w:styleId="gtfrommd">
    <w:name w:val="gt_from_md"/>
    <w:basedOn w:val="Absatz-Standardschriftart"/>
    <w:qFormat/>
    <w:rsid w:val="001334D1"/>
  </w:style>
  <w:style w:type="character" w:customStyle="1" w:styleId="gtfootnotemarks">
    <w:name w:val="gt_footnote_marks"/>
    <w:basedOn w:val="Absatz-Standardschriftart"/>
    <w:qFormat/>
    <w:rsid w:val="001334D1"/>
  </w:style>
  <w:style w:type="character" w:customStyle="1" w:styleId="berschrift3Zchn">
    <w:name w:val="Überschrift 3 Zchn"/>
    <w:basedOn w:val="Absatz-Standardschriftart"/>
    <w:link w:val="berschrift3"/>
    <w:uiPriority w:val="9"/>
    <w:qFormat/>
    <w:rsid w:val="00B46CD9"/>
    <w:rPr>
      <w:rFonts w:ascii="Arial (Textkörper (komplexe Sch" w:eastAsiaTheme="majorEastAsia" w:hAnsi="Arial (Textkörper (komplexe Sch" w:cstheme="majorBidi"/>
      <w:color w:val="000000" w:themeColor="text1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B645D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7B645D"/>
    <w:rPr>
      <w:sz w:val="20"/>
      <w:szCs w:val="20"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B645D"/>
    <w:rPr>
      <w:b/>
      <w:bCs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A61C29"/>
    <w:rPr>
      <w:sz w:val="24"/>
      <w:lang w:val="en-US"/>
    </w:rPr>
  </w:style>
  <w:style w:type="character" w:customStyle="1" w:styleId="VerbatimChar">
    <w:name w:val="Verbatim Char"/>
    <w:basedOn w:val="Absatz-Standardschriftart"/>
    <w:link w:val="SourceCode"/>
    <w:qFormat/>
    <w:rsid w:val="00A61C29"/>
    <w:rPr>
      <w:rFonts w:ascii="Consolas" w:hAnsi="Consolas"/>
      <w:shd w:val="clear" w:color="auto" w:fill="F8F8F8"/>
    </w:rPr>
  </w:style>
  <w:style w:type="character" w:styleId="Fett">
    <w:name w:val="Strong"/>
    <w:basedOn w:val="Absatz-Standardschriftart"/>
    <w:uiPriority w:val="22"/>
    <w:qFormat/>
    <w:rsid w:val="007855BF"/>
    <w:rPr>
      <w:b/>
      <w:bCs/>
    </w:rPr>
  </w:style>
  <w:style w:type="character" w:customStyle="1" w:styleId="apple-converted-space">
    <w:name w:val="apple-converted-space"/>
    <w:basedOn w:val="Absatz-Standardschriftart"/>
    <w:qFormat/>
    <w:rsid w:val="007855BF"/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D6052B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gbqs1kebaj">
    <w:name w:val="gbqs1kebaj"/>
    <w:basedOn w:val="Absatz-Standardschriftart"/>
    <w:qFormat/>
    <w:rsid w:val="00D6052B"/>
  </w:style>
  <w:style w:type="character" w:customStyle="1" w:styleId="TitelZchn">
    <w:name w:val="Titel Zchn"/>
    <w:basedOn w:val="Absatz-Standardschriftart"/>
    <w:link w:val="Titel"/>
    <w:uiPriority w:val="10"/>
    <w:qFormat/>
    <w:rsid w:val="00D6052B"/>
    <w:rPr>
      <w:rFonts w:ascii="Arial (Textkörper (komplexe Sch" w:eastAsiaTheme="majorEastAsia" w:hAnsi="Arial (Textkörper (komplexe Sch" w:cstheme="majorBidi"/>
      <w:spacing w:val="-10"/>
      <w:kern w:val="2"/>
      <w:sz w:val="40"/>
      <w:szCs w:val="56"/>
      <w:lang w:eastAsia="zh-CN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9A3070"/>
    <w:rPr>
      <w:rFonts w:ascii="Segoe UI" w:eastAsia="Times New Roman" w:hAnsi="Segoe UI" w:cs="Segoe UI"/>
      <w:sz w:val="18"/>
      <w:szCs w:val="18"/>
      <w:lang w:val="en-US" w:eastAsia="zh-CN"/>
    </w:rPr>
  </w:style>
  <w:style w:type="character" w:styleId="Zeilennummer">
    <w:name w:val="line number"/>
    <w:basedOn w:val="Absatz-Standardschriftart"/>
    <w:uiPriority w:val="99"/>
    <w:semiHidden/>
    <w:unhideWhenUsed/>
    <w:rsid w:val="00323363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61C29"/>
    <w:pPr>
      <w:spacing w:after="120" w:line="360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Liste">
    <w:name w:val="List"/>
    <w:basedOn w:val="Textkrper"/>
    <w:rPr>
      <w:rFonts w:cs="DejaVu Sans"/>
    </w:rPr>
  </w:style>
  <w:style w:type="paragraph" w:styleId="Beschriftung">
    <w:name w:val="caption"/>
    <w:basedOn w:val="Standard"/>
    <w:next w:val="Standard"/>
    <w:uiPriority w:val="35"/>
    <w:unhideWhenUsed/>
    <w:qFormat/>
    <w:rsid w:val="0004099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Index">
    <w:name w:val="Index"/>
    <w:basedOn w:val="Standard"/>
    <w:qFormat/>
    <w:pPr>
      <w:suppressLineNumbers/>
    </w:pPr>
    <w:rPr>
      <w:rFonts w:cs="DejaVu Sans"/>
    </w:rPr>
  </w:style>
  <w:style w:type="paragraph" w:styleId="StandardWeb">
    <w:name w:val="Normal (Web)"/>
    <w:basedOn w:val="Standard"/>
    <w:uiPriority w:val="99"/>
    <w:unhideWhenUsed/>
    <w:qFormat/>
    <w:rsid w:val="007510D8"/>
    <w:pPr>
      <w:spacing w:beforeAutospacing="1" w:afterAutospacing="1"/>
    </w:pPr>
    <w:rPr>
      <w:lang w:eastAsia="en-GB"/>
    </w:rPr>
  </w:style>
  <w:style w:type="paragraph" w:styleId="Listenabsatz">
    <w:name w:val="List Paragraph"/>
    <w:basedOn w:val="Standard"/>
    <w:uiPriority w:val="34"/>
    <w:qFormat/>
    <w:rsid w:val="007510D8"/>
    <w:pPr>
      <w:spacing w:line="360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KeinLeerraum">
    <w:name w:val="No Spacing"/>
    <w:uiPriority w:val="1"/>
    <w:qFormat/>
    <w:rsid w:val="009D2EA1"/>
  </w:style>
  <w:style w:type="paragraph" w:styleId="Untertitel">
    <w:name w:val="Subtitle"/>
    <w:next w:val="Standard"/>
    <w:link w:val="UntertitelZchn"/>
    <w:uiPriority w:val="11"/>
    <w:qFormat/>
    <w:rsid w:val="00023719"/>
    <w:pPr>
      <w:spacing w:line="360" w:lineRule="auto"/>
      <w:jc w:val="both"/>
    </w:pPr>
    <w:rPr>
      <w:rFonts w:ascii="Arial (Textkörper (komplexe Sch" w:eastAsiaTheme="minorEastAsia" w:hAnsi="Arial (Textkörper (komplexe Sch" w:cs="Arial"/>
      <w:color w:val="5A5A5A" w:themeColor="text1" w:themeTint="A5"/>
      <w:spacing w:val="15"/>
      <w:lang w:val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7B645D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B645D"/>
    <w:rPr>
      <w:b/>
      <w:bCs/>
    </w:rPr>
  </w:style>
  <w:style w:type="paragraph" w:customStyle="1" w:styleId="Compact">
    <w:name w:val="Compact"/>
    <w:basedOn w:val="Textkrper"/>
    <w:qFormat/>
    <w:rsid w:val="00D6052B"/>
    <w:pPr>
      <w:spacing w:before="36" w:after="36" w:line="240" w:lineRule="auto"/>
      <w:jc w:val="left"/>
    </w:pPr>
    <w:rPr>
      <w:rFonts w:ascii="Arial (Textkörper (komplexe Sch" w:eastAsiaTheme="minorEastAsia" w:hAnsi="Arial (Textkörper (komplexe Sch"/>
      <w:szCs w:val="24"/>
      <w:lang w:eastAsia="zh-CN"/>
    </w:rPr>
  </w:style>
  <w:style w:type="paragraph" w:customStyle="1" w:styleId="SourceCode">
    <w:name w:val="Source Code"/>
    <w:basedOn w:val="Standard"/>
    <w:link w:val="VerbatimChar"/>
    <w:qFormat/>
    <w:rsid w:val="00A61C29"/>
    <w:pPr>
      <w:shd w:val="clear" w:color="auto" w:fill="F8F8F8"/>
      <w:spacing w:after="200"/>
    </w:pPr>
    <w:rPr>
      <w:rFonts w:ascii="Consolas" w:eastAsiaTheme="minorHAnsi" w:hAnsi="Consolas" w:cstheme="minorBidi"/>
      <w:sz w:val="22"/>
      <w:szCs w:val="22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D60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aption">
    <w:name w:val="Table Caption"/>
    <w:basedOn w:val="Beschriftung"/>
    <w:qFormat/>
    <w:rsid w:val="003A6E65"/>
    <w:pPr>
      <w:keepNext/>
      <w:spacing w:after="120"/>
      <w:jc w:val="left"/>
    </w:pPr>
    <w:rPr>
      <w:rFonts w:ascii="Arial (Textkörper (komplexe Sch" w:eastAsiaTheme="minorEastAsia" w:hAnsi="Arial (Textkörper (komplexe Sch"/>
      <w:i w:val="0"/>
      <w:iCs w:val="0"/>
      <w:color w:val="auto"/>
      <w:sz w:val="24"/>
      <w:szCs w:val="24"/>
      <w:lang w:eastAsia="zh-CN"/>
    </w:rPr>
  </w:style>
  <w:style w:type="paragraph" w:styleId="Titel">
    <w:name w:val="Title"/>
    <w:basedOn w:val="Standard"/>
    <w:next w:val="Standard"/>
    <w:link w:val="TitelZchn"/>
    <w:uiPriority w:val="10"/>
    <w:qFormat/>
    <w:rsid w:val="00D6052B"/>
    <w:pPr>
      <w:contextualSpacing/>
    </w:pPr>
    <w:rPr>
      <w:rFonts w:eastAsiaTheme="majorEastAsia" w:cstheme="majorBidi"/>
      <w:spacing w:val="-10"/>
      <w:kern w:val="2"/>
      <w:sz w:val="40"/>
      <w:szCs w:val="56"/>
    </w:rPr>
  </w:style>
  <w:style w:type="paragraph" w:customStyle="1" w:styleId="isselectedend">
    <w:name w:val="isselectedend"/>
    <w:basedOn w:val="Standard"/>
    <w:qFormat/>
    <w:rsid w:val="00FA43B3"/>
    <w:pPr>
      <w:spacing w:beforeAutospacing="1" w:afterAutospacing="1"/>
    </w:pPr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A3070"/>
    <w:pPr>
      <w:spacing w:before="0" w:after="0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EE14FF"/>
    <w:rPr>
      <w:rFonts w:ascii="Arial (Textkörper (komplexe Sch" w:eastAsia="Times New Roman" w:hAnsi="Arial (Textkörper (komplexe Sch" w:cs="Times New Roman"/>
      <w:sz w:val="24"/>
      <w:szCs w:val="24"/>
      <w:lang w:val="en-US" w:eastAsia="zh-CN"/>
    </w:rPr>
  </w:style>
  <w:style w:type="paragraph" w:customStyle="1" w:styleId="pdq2pgselectionanchorcontainer">
    <w:name w:val="pdq2pg_selectionanchorcontainer"/>
    <w:basedOn w:val="Standard"/>
    <w:qFormat/>
    <w:rsid w:val="00A63239"/>
    <w:pPr>
      <w:spacing w:beforeAutospacing="1" w:afterAutospacing="1"/>
      <w:jc w:val="left"/>
    </w:pPr>
    <w:rPr>
      <w:rFonts w:ascii="Times New Roman" w:hAnsi="Times New Roman"/>
      <w:lang w:val="de-DE"/>
    </w:rPr>
  </w:style>
  <w:style w:type="table" w:styleId="Tabellenraster">
    <w:name w:val="Table Grid"/>
    <w:basedOn w:val="NormaleTabelle"/>
    <w:uiPriority w:val="39"/>
    <w:rsid w:val="00F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A61C29"/>
    <w:pPr>
      <w:spacing w:after="200"/>
    </w:pPr>
    <w:rPr>
      <w:rFonts w:eastAsiaTheme="minorEastAsia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CFD0-5C52-44E0-BAD1-91FF8D01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363</Words>
  <Characters>2265</Characters>
  <Application>Microsoft Office Word</Application>
  <DocSecurity>0</DocSecurity>
  <Lines>73</Lines>
  <Paragraphs>61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Moderegger, Anton</dc:creator>
  <dc:description/>
  <cp:lastModifiedBy>Eva Lotta Moderegger</cp:lastModifiedBy>
  <cp:revision>2</cp:revision>
  <dcterms:created xsi:type="dcterms:W3CDTF">2026-08-10T18:59:00Z</dcterms:created>
  <dcterms:modified xsi:type="dcterms:W3CDTF">2026-08-10T18:59:00Z</dcterms:modified>
  <dc:language>en-US</dc:language>
</cp:coreProperties>
</file>