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CCC30" w14:textId="595A90E7" w:rsidR="00F83A06" w:rsidRPr="00275F80" w:rsidRDefault="00F83A06" w:rsidP="006D6457">
      <w:pPr>
        <w:spacing w:line="480" w:lineRule="auto"/>
        <w:rPr>
          <w:rFonts w:ascii="Arial" w:hAnsi="Arial" w:cs="Arial"/>
          <w:b/>
          <w:sz w:val="20"/>
        </w:rPr>
      </w:pPr>
      <w:bookmarkStart w:id="0" w:name="_Hlk227332582"/>
      <w:r w:rsidRPr="00275F80">
        <w:rPr>
          <w:rFonts w:ascii="Arial" w:hAnsi="Arial" w:cs="Arial"/>
          <w:b/>
          <w:sz w:val="20"/>
        </w:rPr>
        <w:t>Supp</w:t>
      </w:r>
      <w:r w:rsidR="00073A5B">
        <w:rPr>
          <w:rFonts w:ascii="Arial" w:hAnsi="Arial" w:cs="Arial"/>
          <w:b/>
          <w:sz w:val="20"/>
        </w:rPr>
        <w:t xml:space="preserve">lementary </w:t>
      </w:r>
      <w:r w:rsidR="00AA3331">
        <w:rPr>
          <w:rFonts w:ascii="Arial" w:hAnsi="Arial" w:cs="Arial"/>
          <w:b/>
          <w:sz w:val="20"/>
        </w:rPr>
        <w:t>Material</w:t>
      </w:r>
      <w:r w:rsidRPr="00275F80">
        <w:rPr>
          <w:rFonts w:ascii="Arial" w:hAnsi="Arial" w:cs="Arial"/>
          <w:b/>
          <w:sz w:val="20"/>
        </w:rPr>
        <w:t xml:space="preserve"> for</w:t>
      </w:r>
    </w:p>
    <w:p w14:paraId="4E42C60A" w14:textId="77777777" w:rsidR="009E0369" w:rsidRDefault="009E0369" w:rsidP="009E0369">
      <w:pPr>
        <w:spacing w:line="480" w:lineRule="auto"/>
        <w:rPr>
          <w:rFonts w:ascii="Cambria" w:hAnsi="Cambria" w:cs="Times New Roman"/>
          <w:b/>
          <w:bCs/>
          <w:i/>
          <w:iCs/>
          <w:kern w:val="28"/>
          <w:sz w:val="32"/>
          <w:szCs w:val="32"/>
        </w:rPr>
      </w:pPr>
      <w:r w:rsidRPr="00800636">
        <w:rPr>
          <w:rFonts w:ascii="Cambria" w:hAnsi="Cambria" w:cs="Times New Roman"/>
          <w:b/>
          <w:bCs/>
          <w:kern w:val="28"/>
          <w:sz w:val="32"/>
          <w:szCs w:val="32"/>
        </w:rPr>
        <w:t>A Flux-to-AI Discovery Framework Reveals Carbon-Regulated Intermittent Non-Canonical Nitrification in</w:t>
      </w:r>
      <w:r w:rsidRPr="00800636">
        <w:rPr>
          <w:rFonts w:ascii="Cambria" w:hAnsi="Cambria" w:cs="Times New Roman"/>
          <w:b/>
          <w:bCs/>
          <w:i/>
          <w:iCs/>
          <w:kern w:val="28"/>
          <w:sz w:val="32"/>
          <w:szCs w:val="32"/>
        </w:rPr>
        <w:t xml:space="preserve"> Achromobacter xylosoxidans</w:t>
      </w:r>
    </w:p>
    <w:p w14:paraId="665BA6E2" w14:textId="79EB4814" w:rsidR="00F83A06" w:rsidRPr="00D81FB5" w:rsidRDefault="00F83A06" w:rsidP="006D6457">
      <w:pPr>
        <w:spacing w:line="480" w:lineRule="auto"/>
        <w:rPr>
          <w:rFonts w:ascii="Arial" w:hAnsi="Arial" w:cs="Arial"/>
          <w:sz w:val="20"/>
          <w:lang w:val="es-MX"/>
        </w:rPr>
      </w:pPr>
      <w:r w:rsidRPr="00D81FB5">
        <w:rPr>
          <w:rFonts w:ascii="Arial" w:hAnsi="Arial" w:cs="Arial"/>
          <w:sz w:val="20"/>
          <w:lang w:val="es-MX"/>
        </w:rPr>
        <w:t>Gabriela Canto-Encalada</w:t>
      </w:r>
      <w:r w:rsidRPr="00D81FB5">
        <w:rPr>
          <w:rFonts w:ascii="Arial" w:hAnsi="Arial" w:cs="Arial"/>
          <w:sz w:val="20"/>
          <w:vertAlign w:val="superscript"/>
          <w:lang w:val="es-MX"/>
        </w:rPr>
        <w:t>1</w:t>
      </w:r>
      <w:r w:rsidRPr="00D81FB5">
        <w:rPr>
          <w:rFonts w:ascii="Arial" w:hAnsi="Arial" w:cs="Arial"/>
          <w:sz w:val="20"/>
          <w:lang w:val="es-MX"/>
        </w:rPr>
        <w:t xml:space="preserve">, </w:t>
      </w:r>
      <w:proofErr w:type="spellStart"/>
      <w:r w:rsidRPr="00D81FB5">
        <w:rPr>
          <w:rFonts w:ascii="Arial" w:hAnsi="Arial" w:cs="Arial"/>
          <w:sz w:val="20"/>
          <w:lang w:val="es-MX"/>
        </w:rPr>
        <w:t>Hamza</w:t>
      </w:r>
      <w:proofErr w:type="spellEnd"/>
      <w:r w:rsidRPr="00D81FB5">
        <w:rPr>
          <w:rFonts w:ascii="Arial" w:hAnsi="Arial" w:cs="Arial"/>
          <w:sz w:val="20"/>
          <w:lang w:val="es-MX"/>
        </w:rPr>
        <w:t xml:space="preserve"> Hajama</w:t>
      </w:r>
      <w:r w:rsidRPr="00D81FB5">
        <w:rPr>
          <w:rFonts w:ascii="Arial" w:hAnsi="Arial" w:cs="Arial"/>
          <w:sz w:val="20"/>
          <w:vertAlign w:val="superscript"/>
          <w:lang w:val="es-MX"/>
        </w:rPr>
        <w:t>1</w:t>
      </w:r>
      <w:r w:rsidRPr="00D81FB5">
        <w:rPr>
          <w:rFonts w:ascii="Arial" w:hAnsi="Arial" w:cs="Arial"/>
          <w:sz w:val="20"/>
          <w:lang w:val="es-MX"/>
        </w:rPr>
        <w:t>, Alexis Saldivar</w:t>
      </w:r>
      <w:r w:rsidRPr="00D81FB5">
        <w:rPr>
          <w:rFonts w:ascii="Arial" w:hAnsi="Arial" w:cs="Arial"/>
          <w:sz w:val="20"/>
          <w:vertAlign w:val="superscript"/>
          <w:lang w:val="es-MX"/>
        </w:rPr>
        <w:t>1</w:t>
      </w:r>
      <w:r w:rsidRPr="00D81FB5">
        <w:rPr>
          <w:rFonts w:ascii="Arial" w:hAnsi="Arial" w:cs="Arial"/>
          <w:sz w:val="20"/>
          <w:lang w:val="es-MX"/>
        </w:rPr>
        <w:t xml:space="preserve">, </w:t>
      </w:r>
      <w:proofErr w:type="spellStart"/>
      <w:r w:rsidRPr="00D81FB5">
        <w:rPr>
          <w:rFonts w:ascii="Arial" w:hAnsi="Arial" w:cs="Arial"/>
          <w:sz w:val="20"/>
          <w:lang w:val="es-MX"/>
        </w:rPr>
        <w:t>Ademikanra</w:t>
      </w:r>
      <w:proofErr w:type="spellEnd"/>
      <w:r w:rsidRPr="00D81FB5">
        <w:rPr>
          <w:rFonts w:ascii="Arial" w:hAnsi="Arial" w:cs="Arial"/>
          <w:sz w:val="20"/>
          <w:lang w:val="es-MX"/>
        </w:rPr>
        <w:t xml:space="preserve"> Adekunle</w:t>
      </w:r>
      <w:r w:rsidRPr="00D81FB5">
        <w:rPr>
          <w:rFonts w:ascii="Arial" w:hAnsi="Arial" w:cs="Arial"/>
          <w:sz w:val="20"/>
          <w:vertAlign w:val="superscript"/>
          <w:lang w:val="es-MX"/>
        </w:rPr>
        <w:t>1</w:t>
      </w:r>
      <w:r w:rsidRPr="00D81FB5">
        <w:rPr>
          <w:rFonts w:ascii="Arial" w:hAnsi="Arial" w:cs="Arial"/>
          <w:sz w:val="20"/>
          <w:lang w:val="es-MX"/>
        </w:rPr>
        <w:t>, Gregory Willkeen</w:t>
      </w:r>
      <w:r w:rsidRPr="00D81FB5">
        <w:rPr>
          <w:rFonts w:ascii="Arial" w:hAnsi="Arial" w:cs="Arial"/>
          <w:sz w:val="20"/>
          <w:vertAlign w:val="superscript"/>
          <w:lang w:val="es-MX"/>
        </w:rPr>
        <w:t>1</w:t>
      </w:r>
      <w:r w:rsidRPr="00D81FB5">
        <w:rPr>
          <w:rFonts w:ascii="Arial" w:hAnsi="Arial" w:cs="Arial"/>
          <w:sz w:val="20"/>
          <w:lang w:val="es-MX"/>
        </w:rPr>
        <w:t>, Anca M. Segall</w:t>
      </w:r>
      <w:r w:rsidRPr="00D81FB5">
        <w:rPr>
          <w:rFonts w:ascii="Arial" w:hAnsi="Arial" w:cs="Arial"/>
          <w:sz w:val="20"/>
          <w:vertAlign w:val="superscript"/>
          <w:lang w:val="es-MX"/>
        </w:rPr>
        <w:t>1</w:t>
      </w:r>
      <w:r w:rsidRPr="00D81FB5">
        <w:rPr>
          <w:rFonts w:ascii="Arial" w:hAnsi="Arial" w:cs="Arial"/>
          <w:sz w:val="20"/>
          <w:lang w:val="es-MX"/>
        </w:rPr>
        <w:t>, Cristal Zuniga</w:t>
      </w:r>
      <w:r w:rsidRPr="00D81FB5">
        <w:rPr>
          <w:rFonts w:ascii="Arial" w:hAnsi="Arial" w:cs="Arial"/>
          <w:sz w:val="20"/>
          <w:vertAlign w:val="superscript"/>
          <w:lang w:val="es-MX"/>
        </w:rPr>
        <w:t>1,2</w:t>
      </w:r>
      <w:r w:rsidRPr="00D81FB5">
        <w:rPr>
          <w:rFonts w:ascii="Arial" w:hAnsi="Arial" w:cs="Arial"/>
          <w:sz w:val="20"/>
          <w:lang w:val="es-MX"/>
        </w:rPr>
        <w:t>*</w:t>
      </w:r>
    </w:p>
    <w:p w14:paraId="651E1EE4" w14:textId="77777777" w:rsidR="00F83A06" w:rsidRPr="00275F80" w:rsidRDefault="00F83A06" w:rsidP="006D6457">
      <w:pPr>
        <w:spacing w:line="480" w:lineRule="auto"/>
        <w:rPr>
          <w:rFonts w:ascii="Arial" w:hAnsi="Arial" w:cs="Arial"/>
          <w:sz w:val="20"/>
        </w:rPr>
      </w:pPr>
      <w:r w:rsidRPr="00275F80">
        <w:rPr>
          <w:rFonts w:ascii="Arial" w:hAnsi="Arial" w:cs="Arial"/>
          <w:sz w:val="20"/>
        </w:rPr>
        <w:t>*Corresponding author: Cristal Zuniga</w:t>
      </w:r>
    </w:p>
    <w:p w14:paraId="130FAEA8" w14:textId="6CCBEF81" w:rsidR="00AA3331" w:rsidRPr="00275F80" w:rsidRDefault="00F83A06" w:rsidP="00A6689A">
      <w:pPr>
        <w:spacing w:line="480" w:lineRule="auto"/>
        <w:rPr>
          <w:rFonts w:ascii="Arial" w:hAnsi="Arial" w:cs="Arial"/>
          <w:sz w:val="20"/>
        </w:rPr>
      </w:pPr>
      <w:r w:rsidRPr="00275F80">
        <w:rPr>
          <w:rFonts w:ascii="Arial" w:hAnsi="Arial" w:cs="Arial"/>
          <w:sz w:val="20"/>
        </w:rPr>
        <w:t xml:space="preserve">Email: </w:t>
      </w:r>
      <w:hyperlink r:id="rId8" w:history="1">
        <w:r w:rsidRPr="00275F80">
          <w:rPr>
            <w:rStyle w:val="Hyperlink"/>
            <w:rFonts w:ascii="Arial" w:hAnsi="Arial" w:cs="Arial"/>
            <w:sz w:val="20"/>
          </w:rPr>
          <w:t>czuniga2@sdsu.edu</w:t>
        </w:r>
      </w:hyperlink>
    </w:p>
    <w:p w14:paraId="221AFA39" w14:textId="762F5B9B" w:rsidR="00F83A06" w:rsidRDefault="00AA3331" w:rsidP="006D6457">
      <w:pPr>
        <w:pStyle w:val="SMHeading"/>
        <w:spacing w:line="480" w:lineRule="auto"/>
        <w:rPr>
          <w:rFonts w:ascii="Arial" w:hAnsi="Arial" w:cs="Arial"/>
          <w:sz w:val="20"/>
          <w:szCs w:val="20"/>
        </w:rPr>
      </w:pPr>
      <w:r w:rsidRPr="00275F80">
        <w:rPr>
          <w:rFonts w:ascii="Arial" w:hAnsi="Arial" w:cs="Arial"/>
          <w:sz w:val="20"/>
          <w:szCs w:val="20"/>
        </w:rPr>
        <w:t>Supp</w:t>
      </w:r>
      <w:r>
        <w:rPr>
          <w:rFonts w:ascii="Arial" w:hAnsi="Arial" w:cs="Arial"/>
          <w:sz w:val="20"/>
          <w:szCs w:val="20"/>
        </w:rPr>
        <w:t>lementary</w:t>
      </w:r>
      <w:r w:rsidRPr="00275F80">
        <w:rPr>
          <w:rFonts w:ascii="Arial" w:hAnsi="Arial" w:cs="Arial"/>
          <w:sz w:val="20"/>
          <w:szCs w:val="20"/>
        </w:rPr>
        <w:t xml:space="preserve"> Text</w:t>
      </w:r>
    </w:p>
    <w:p w14:paraId="0633BB3F" w14:textId="77777777" w:rsidR="00F83A06" w:rsidRPr="00275F80" w:rsidRDefault="00F83A06" w:rsidP="00EA268C">
      <w:pPr>
        <w:pStyle w:val="SMHeading"/>
        <w:spacing w:before="0" w:after="0" w:line="480" w:lineRule="auto"/>
        <w:rPr>
          <w:rFonts w:ascii="Arial" w:hAnsi="Arial" w:cs="Arial"/>
          <w:sz w:val="20"/>
          <w:szCs w:val="20"/>
        </w:rPr>
      </w:pPr>
      <w:bookmarkStart w:id="1" w:name="_Toc220581548"/>
      <w:r w:rsidRPr="00275F80">
        <w:rPr>
          <w:rFonts w:ascii="Arial" w:hAnsi="Arial" w:cs="Arial"/>
          <w:sz w:val="20"/>
          <w:szCs w:val="20"/>
        </w:rPr>
        <w:t>Results</w:t>
      </w:r>
      <w:bookmarkEnd w:id="1"/>
    </w:p>
    <w:p w14:paraId="51051EA1" w14:textId="6FAAC00D" w:rsidR="00F83A06" w:rsidRPr="00EA268C" w:rsidRDefault="00F83A06" w:rsidP="00EA268C">
      <w:pPr>
        <w:pStyle w:val="SMHeading"/>
        <w:spacing w:before="0" w:after="0" w:line="480" w:lineRule="auto"/>
        <w:rPr>
          <w:rFonts w:ascii="Arial" w:hAnsi="Arial" w:cs="Arial"/>
          <w:i/>
          <w:iCs/>
          <w:sz w:val="20"/>
          <w:szCs w:val="20"/>
          <w:highlight w:val="white"/>
        </w:rPr>
      </w:pPr>
      <w:r w:rsidRPr="00275F80">
        <w:rPr>
          <w:rFonts w:ascii="Arial" w:hAnsi="Arial" w:cs="Arial"/>
          <w:sz w:val="20"/>
          <w:szCs w:val="20"/>
        </w:rPr>
        <w:t xml:space="preserve">Approach and expansion of the genomics repertoire of </w:t>
      </w:r>
      <w:r w:rsidRPr="00275F80">
        <w:rPr>
          <w:rFonts w:ascii="Arial" w:hAnsi="Arial" w:cs="Arial"/>
          <w:i/>
          <w:iCs/>
          <w:sz w:val="20"/>
          <w:szCs w:val="20"/>
        </w:rPr>
        <w:t>Achromobacter xylosoxidans</w:t>
      </w:r>
    </w:p>
    <w:p w14:paraId="39CC13D4" w14:textId="6C39364F" w:rsidR="00F83A06" w:rsidRPr="00275F80" w:rsidRDefault="00F83A06" w:rsidP="006D6457">
      <w:pPr>
        <w:shd w:val="clear" w:color="auto" w:fill="FFFFFF"/>
        <w:spacing w:line="480" w:lineRule="auto"/>
        <w:rPr>
          <w:rFonts w:ascii="Arial" w:hAnsi="Arial" w:cs="Arial"/>
          <w:sz w:val="20"/>
          <w:highlight w:val="white"/>
        </w:rPr>
      </w:pPr>
      <w:bookmarkStart w:id="2" w:name="_Hlk223712505"/>
      <w:r w:rsidRPr="00275F80">
        <w:rPr>
          <w:rFonts w:ascii="Arial" w:hAnsi="Arial" w:cs="Arial"/>
          <w:sz w:val="20"/>
          <w:highlight w:val="white"/>
        </w:rPr>
        <w:t xml:space="preserve">Several studies have confirmed the ability of </w:t>
      </w:r>
      <w:r w:rsidRPr="00275F80">
        <w:rPr>
          <w:rFonts w:ascii="Arial" w:hAnsi="Arial" w:cs="Arial"/>
          <w:i/>
          <w:iCs/>
          <w:sz w:val="20"/>
          <w:highlight w:val="white"/>
        </w:rPr>
        <w:t xml:space="preserve">Ax </w:t>
      </w:r>
      <w:r w:rsidRPr="00275F80">
        <w:rPr>
          <w:rFonts w:ascii="Arial" w:hAnsi="Arial" w:cs="Arial"/>
          <w:sz w:val="20"/>
          <w:highlight w:val="white"/>
        </w:rPr>
        <w:t xml:space="preserve">to perform heterotrophic nitrification </w:t>
      </w:r>
      <w:r w:rsidRPr="00275F80">
        <w:rPr>
          <w:rFonts w:ascii="Arial" w:hAnsi="Arial" w:cs="Arial"/>
          <w:sz w:val="20"/>
          <w:highlight w:val="white"/>
        </w:rPr>
        <w:fldChar w:fldCharType="begin"/>
      </w:r>
      <w:r w:rsidR="002A6978">
        <w:rPr>
          <w:rFonts w:ascii="Arial" w:hAnsi="Arial" w:cs="Arial"/>
          <w:sz w:val="20"/>
          <w:highlight w:val="white"/>
        </w:rPr>
        <w:instrText xml:space="preserve"> ADDIN ZOTERO_ITEM CSL_CITATION {"citationID":"QXFY5uTr","properties":{"formattedCitation":"(1,2)","plainCitation":"(1,2)","noteIndex":0},"citationItems":[{"id":82,"uris":["http://zotero.org/users/12257494/items/5VE44AG6"],"itemData":{"id":82,"type":"article-journal","abstract":"Organic carbon sources play a significant role in heterotrophic nitrogen consumption. This quintessential exploration is focused on carbon and nitrogen biogeochemical cycles in heterotrophic bacteria, capable of simultaneous nitrification and denitrification (SND). A heterotrophic bacterial strain Achromobacter xylosoxidans CF-S36 isolated from domestic wastewater efficiently eliminated ammonia, nitrate and nitrite by utilizing different carbon sources. The type of carbon utilized by strain CF-S36 determined the rate of heterotrophic nitrogen removal. Quantitative real-time PCR (qRT-PCR) analysis of genes of central carbon and nitrogen metabolism, signal transduction, electron transport chain (ETC) pathways and assays of enzymes of denitrification processes revealed the existence of well-coordinated link between carbon utilization and nitrogen elimination in bacterial cell. The most preferred carbon source for nitrification was succinate followed by glucose and acetate. Inhibitory effect of nitrite on glycolytic pathway and nitrogen assimilation genes attributes glucose as unfavorable carbon source for denitrification process in strain CF-S36. Acetate served as efficient carbon source for utilizing nitrite through denitrification process. The study demonstrated here might be useful to biogeochemical engineer to understand the involvement of heterotrophic bacteria in global biogeochemical cycle and to gain further insight into the diversified application of these microorganisms.","container-title":"Journal of Bioscience and Bioengineering","DOI":"10.1016/j.jbiosc.2016.07.012","ISSN":"1389-1723","issue":"1","journalAbbreviation":"Journal of Bioscience and Bioengineering","page":"46-55","source":"ScienceDirect","title":"Molecular insight into the dynamic central metabolic pathways of &lt;i&gt;Achromobacter xylosoxidans&lt;/i&gt; CF-S36 during heterotrophic nitrogen removal processes","volume":"123","author":[{"family":"Padhi","given":"Soumesh Kumar"},{"family":"Maiti","given":"Nikhil Kumar"}],"issued":{"date-parts":[["2017",1,1]]}}},{"id":367,"uris":["http://zotero.org/users/12257494/items/DH5NDJT9"],"itemData":{"id":367,"type":"article-journal","abstract":"Heterotrophic carbon utilizing microbes were acclimatized in the laboratory by inoculating sludge collected from the waste discharge pond of a small-scale rural abattoir in India in a nutrient solution intermittently fed with glucose and ammonium chloride. Cultures of 10 well-developed isolates were selected and grown in a basal medium containing glucose and ammonium chloride. Culture supernatants were periodically analyzed for ammonium nitrogen (NH4+-N) and chemical oxygen demand (COD). Polyphasic taxonomic study of the most active nitrifier (S18) was done. Half saturation concentration (Ks), maximum rate of substrate utilization (k), yield coefficient (Y) and decay coefficient (Kd) were determined from the Lineweaver–Burk plot using the modified Monod equation. S18 was able to remove 97 ± 2% of (NH4+-N) and 88 ± 3% of COD. Molecular phylogenetic study supported by physiological and biochemical characteristics assigned S18 as Achromobacter xylosoxidans. Nitrification activity of A. xylosoxidans was demonstrated for the first time, while interestingly, the distinctive anaerobic denitrification property was preserved in S18. Ks values were determined as 232.13 ± 1.5 mg/l for COD reduction and 2.131 ± 1.9 mg/l for NH4+-N utilization. Yield coefficients obtained were 0.4423 ± 0.1134 mg of MLVSS/mg of COD and 0.2461 ± 0.0793 mg of MLVSS/mg of NH4+-N while the decay coefficients were 0.0627 ± 0.0013 per day and 0.0514 ± 0.0008 per day, respectively. After a contact period of 24 h, 650 ± 5 mg/l solids were produced when the initial concentration of COD and NH4+-N were 1820 ± 10 mg/l and 120 ± 5.5 mg/l, respectively. This is the first report on the kinetic coefficients for carbon oxidation and nitrification by a single bacterium isolated from slaughterhouse wastewater.","container-title":"Bioprocess and Biosystems Engineering","DOI":"10.1007/s00449-011-0652-6","ISSN":"1615-7605","issue":"5","journalAbbreviation":"Bioprocess Biosyst Eng","language":"en","page":"721-728","source":"Springer Link","title":"Heterotrophic nitrification by Achromobacter xylosoxidans S18 isolated from a small-scale slaughterhouse wastewater","volume":"35","author":[{"family":"Kundu","given":"Pradyut"},{"family":"Pramanik","given":"Arnab"},{"family":"Mitra","given":"Sayani"},{"family":"Choudhury","given":"Jayanta Debabrata"},{"family":"Mukherjee","given":"Joydeep"},{"family":"Mukherjee","given":"Somnath"}],"issued":{"date-parts":[["2012",6,1]]}}}],"schema":"https://github.com/citation-style-language/schema/raw/master/csl-citation.json"} </w:instrText>
      </w:r>
      <w:r w:rsidRPr="00275F80">
        <w:rPr>
          <w:rFonts w:ascii="Arial" w:hAnsi="Arial" w:cs="Arial"/>
          <w:sz w:val="20"/>
          <w:highlight w:val="white"/>
        </w:rPr>
        <w:fldChar w:fldCharType="separate"/>
      </w:r>
      <w:r w:rsidR="002A6978" w:rsidRPr="002A6978">
        <w:rPr>
          <w:rFonts w:ascii="Arial" w:hAnsi="Arial" w:cs="Arial"/>
          <w:sz w:val="20"/>
        </w:rPr>
        <w:t>(1,2)</w:t>
      </w:r>
      <w:r w:rsidRPr="00275F80">
        <w:rPr>
          <w:rFonts w:ascii="Arial" w:hAnsi="Arial" w:cs="Arial"/>
          <w:sz w:val="20"/>
          <w:highlight w:val="white"/>
        </w:rPr>
        <w:fldChar w:fldCharType="end"/>
      </w:r>
      <w:r w:rsidRPr="00275F80">
        <w:rPr>
          <w:rFonts w:ascii="Arial" w:hAnsi="Arial" w:cs="Arial"/>
          <w:sz w:val="20"/>
          <w:highlight w:val="white"/>
        </w:rPr>
        <w:t xml:space="preserve">. This process involves simultaneously generating energy from an organic carbon source while oxidizing ammonium. However, little is known about the enzymes involved in this process for heterotrophic nitrifiers. Most of the 133 genomes of </w:t>
      </w:r>
      <w:r w:rsidRPr="00275F80">
        <w:rPr>
          <w:rFonts w:ascii="Arial" w:hAnsi="Arial" w:cs="Arial"/>
          <w:i/>
          <w:iCs/>
          <w:sz w:val="20"/>
          <w:highlight w:val="white"/>
        </w:rPr>
        <w:t xml:space="preserve">Ax </w:t>
      </w:r>
      <w:r w:rsidRPr="00275F80">
        <w:rPr>
          <w:rFonts w:ascii="Arial" w:hAnsi="Arial" w:cs="Arial"/>
          <w:sz w:val="20"/>
          <w:highlight w:val="white"/>
        </w:rPr>
        <w:t>strains contained the genes that encode for the enzymes that catalyze the oxidation of NH</w:t>
      </w:r>
      <w:r w:rsidRPr="00275F80">
        <w:rPr>
          <w:rFonts w:ascii="Arial" w:hAnsi="Arial" w:cs="Arial"/>
          <w:sz w:val="20"/>
          <w:highlight w:val="white"/>
          <w:vertAlign w:val="subscript"/>
        </w:rPr>
        <w:t>4</w:t>
      </w:r>
      <w:r w:rsidRPr="00275F80">
        <w:rPr>
          <w:rFonts w:ascii="Arial" w:hAnsi="Arial" w:cs="Arial"/>
          <w:sz w:val="20"/>
          <w:highlight w:val="white"/>
          <w:vertAlign w:val="superscript"/>
        </w:rPr>
        <w:t>+</w:t>
      </w:r>
      <w:r w:rsidRPr="00275F80">
        <w:rPr>
          <w:rFonts w:ascii="Arial" w:hAnsi="Arial" w:cs="Arial"/>
          <w:sz w:val="20"/>
          <w:highlight w:val="white"/>
        </w:rPr>
        <w:t xml:space="preserve"> to hydroxylamine (Ammonia monooxygenase, Amo) and the oxidation of nitrite to nitrate (Nitrate reductase, Nap) (</w:t>
      </w:r>
      <w:r w:rsidRPr="00275F80">
        <w:rPr>
          <w:rFonts w:ascii="Arial" w:hAnsi="Arial" w:cs="Arial"/>
          <w:b/>
          <w:bCs/>
          <w:sz w:val="20"/>
          <w:highlight w:val="white"/>
        </w:rPr>
        <w:t>Fig. 2F</w:t>
      </w:r>
      <w:r w:rsidRPr="00275F80">
        <w:rPr>
          <w:rFonts w:ascii="Arial" w:hAnsi="Arial" w:cs="Arial"/>
          <w:sz w:val="20"/>
          <w:highlight w:val="white"/>
        </w:rPr>
        <w:t>). Nonetheless, there is limited information on the enzymes responsible for oxidizing hydroxylamine (NH</w:t>
      </w:r>
      <w:r w:rsidRPr="00275F80">
        <w:rPr>
          <w:rFonts w:ascii="Cambria Math" w:hAnsi="Cambria Math" w:cs="Cambria Math"/>
          <w:sz w:val="20"/>
          <w:highlight w:val="white"/>
        </w:rPr>
        <w:t>₂</w:t>
      </w:r>
      <w:r w:rsidRPr="00275F80">
        <w:rPr>
          <w:rFonts w:ascii="Arial" w:hAnsi="Arial" w:cs="Arial"/>
          <w:sz w:val="20"/>
          <w:highlight w:val="white"/>
        </w:rPr>
        <w:t xml:space="preserve">OH) to nitrite. A previous study proposed a nitrification pathway for the heterotrophic nitrifier </w:t>
      </w:r>
      <w:r w:rsidRPr="00275F80">
        <w:rPr>
          <w:rFonts w:ascii="Arial" w:hAnsi="Arial" w:cs="Arial"/>
          <w:i/>
          <w:iCs/>
          <w:sz w:val="20"/>
          <w:highlight w:val="white"/>
        </w:rPr>
        <w:t xml:space="preserve">Alcaligenes </w:t>
      </w:r>
      <w:proofErr w:type="spellStart"/>
      <w:r w:rsidRPr="00275F80">
        <w:rPr>
          <w:rFonts w:ascii="Arial" w:hAnsi="Arial" w:cs="Arial"/>
          <w:i/>
          <w:iCs/>
          <w:sz w:val="20"/>
          <w:highlight w:val="white"/>
        </w:rPr>
        <w:t>mmonioxydans</w:t>
      </w:r>
      <w:proofErr w:type="spellEnd"/>
      <w:r w:rsidRPr="00275F80">
        <w:rPr>
          <w:rFonts w:ascii="Arial" w:hAnsi="Arial" w:cs="Arial"/>
          <w:i/>
          <w:iCs/>
          <w:sz w:val="20"/>
          <w:highlight w:val="white"/>
        </w:rPr>
        <w:t xml:space="preserve"> </w:t>
      </w:r>
      <w:proofErr w:type="spellStart"/>
      <w:r w:rsidRPr="00275F80">
        <w:rPr>
          <w:rFonts w:ascii="Arial" w:hAnsi="Arial" w:cs="Arial"/>
          <w:sz w:val="20"/>
          <w:highlight w:val="white"/>
        </w:rPr>
        <w:t>sp</w:t>
      </w:r>
      <w:proofErr w:type="spellEnd"/>
      <w:r w:rsidRPr="00275F80">
        <w:rPr>
          <w:rFonts w:ascii="Arial" w:hAnsi="Arial" w:cs="Arial"/>
          <w:sz w:val="20"/>
        </w:rPr>
        <w:t xml:space="preserve"> </w:t>
      </w:r>
      <w:r w:rsidRPr="00275F80">
        <w:rPr>
          <w:rFonts w:ascii="Arial" w:hAnsi="Arial" w:cs="Arial"/>
          <w:sz w:val="20"/>
        </w:rPr>
        <w:fldChar w:fldCharType="begin"/>
      </w:r>
      <w:r w:rsidR="002A6978">
        <w:rPr>
          <w:rFonts w:ascii="Arial" w:hAnsi="Arial" w:cs="Arial"/>
          <w:sz w:val="20"/>
        </w:rPr>
        <w:instrText xml:space="preserve"> ADDIN ZOTERO_ITEM CSL_CITATION {"citationID":"w0FXiFdu","properties":{"formattedCitation":"(3)","plainCitation":"(3)","noteIndex":0},"citationItems":[{"id":391,"uris":["http://zotero.org/users/12257494/items/HMX2CZJ7"],"itemData":{"id":391,"type":"article-journal","abstract":"Heterotrophic nitrifiers are able to oxidize and remove ammonia from nitrogen-rich wastewaters but the genetic elements of heterotrophic ammonia oxidation are poorly understood. Here, we isolated and identified a novel heterotrophic nitrifier, Alcaligenes ammonioxydans sp. nov. strain HO-1, oxidizing ammonia to hydroxylamine and ending in the production of N2 gas. Genome analysis revealed that strain HO-1 encoded a complete denitrification pathway but lacks any genes coding for homologous to known ammonia monooxygenases or hydroxylamine oxidoreductases. Our results demonstrated strain HO-1 denitrified nitrite (not nitrate) to N2 and N2 O at anaerobic and aerobic conditions respectively. Further experiments demonstrated that inhibition of aerobic denitrification did not stop ammonia oxidation and N2 production. A gene cluster (dnfT1RT2ABCD) was cloned from strain HO-1 and enabled E. coli accumulated hydroxylamine. Sub-cloning showed that genetic cluster dnfAB or dnfABC already enabled E. coli cells to produce hydroxylamine and further to 15 N2 from (15 NH4 )2 SO4 . Transcriptome analysis revealed these three genes dnfA, dnfB and dnfC were significantly upregulated in response to ammonia stimulation. Taken together, we concluded that strain HO-1 has a novel dnf genetic cluster for ammonia oxidation and this dnf genetic cluster encoded a previously unknown pathway of direct ammonia oxidation (Dirammox) to N2 .","container-title":"Environmental Microbiology","DOI":"10.1111/1462-2920.15751","ISSN":"1462-2920","issue":"11","journalAbbreviation":"Environ Microbiol","language":"eng","note":"PMID: 34581470","page":"6965-6980","source":"PubMed","title":"Novel Alcaligenes ammonioxydans sp. nov. from wastewater treatment sludge oxidizes ammonia to N2 with a previously unknown pathway","volume":"23","author":[{"family":"Wu","given":"Meng-Ru"},{"family":"Hou","given":"Ting-Ting"},{"family":"Liu","given":"Ying"},{"family":"Miao","given":"Li-Li"},{"family":"Ai","given":"Guo-Min"},{"family":"Ma","given":"Lan"},{"family":"Zhu","given":"Hai-Zhen"},{"family":"Zhu","given":"Ya-Xin"},{"family":"Gao","given":"Xi-Yan"},{"family":"Herbold","given":"Craig W."},{"family":"Wagner","given":"Michael"},{"family":"Li","given":"De-Feng"},{"family":"Liu","given":"Zhi-Pei"},{"family":"Liu","given":"Shuang-Jiang"}],"issued":{"date-parts":[["2021",11]]}}}],"schema":"https://github.com/citation-style-language/schema/raw/master/csl-citation.json"} </w:instrText>
      </w:r>
      <w:r w:rsidRPr="00275F80">
        <w:rPr>
          <w:rFonts w:ascii="Arial" w:hAnsi="Arial" w:cs="Arial"/>
          <w:sz w:val="20"/>
        </w:rPr>
        <w:fldChar w:fldCharType="separate"/>
      </w:r>
      <w:r w:rsidR="002A6978" w:rsidRPr="002A6978">
        <w:rPr>
          <w:rFonts w:ascii="Arial" w:hAnsi="Arial" w:cs="Arial"/>
          <w:sz w:val="20"/>
        </w:rPr>
        <w:t>(3)</w:t>
      </w:r>
      <w:r w:rsidRPr="00275F80">
        <w:rPr>
          <w:rFonts w:ascii="Arial" w:hAnsi="Arial" w:cs="Arial"/>
          <w:sz w:val="20"/>
        </w:rPr>
        <w:fldChar w:fldCharType="end"/>
      </w:r>
      <w:r w:rsidRPr="00275F80">
        <w:rPr>
          <w:rFonts w:ascii="Arial" w:hAnsi="Arial" w:cs="Arial"/>
          <w:sz w:val="20"/>
          <w:highlight w:val="white"/>
        </w:rPr>
        <w:t xml:space="preserve">. The genera </w:t>
      </w:r>
      <w:r w:rsidRPr="00CB464C">
        <w:rPr>
          <w:rFonts w:ascii="Arial" w:hAnsi="Arial" w:cs="Arial"/>
          <w:i/>
          <w:iCs/>
          <w:sz w:val="20"/>
          <w:highlight w:val="white"/>
        </w:rPr>
        <w:t>Alcaligenes</w:t>
      </w:r>
      <w:r w:rsidRPr="00275F80">
        <w:rPr>
          <w:rFonts w:ascii="Arial" w:hAnsi="Arial" w:cs="Arial"/>
          <w:sz w:val="20"/>
          <w:highlight w:val="white"/>
        </w:rPr>
        <w:t xml:space="preserve"> and </w:t>
      </w:r>
      <w:r w:rsidRPr="00CB464C">
        <w:rPr>
          <w:rFonts w:ascii="Arial" w:hAnsi="Arial" w:cs="Arial"/>
          <w:i/>
          <w:iCs/>
          <w:sz w:val="20"/>
          <w:highlight w:val="white"/>
        </w:rPr>
        <w:t>Achromobacter</w:t>
      </w:r>
      <w:r w:rsidRPr="00275F80">
        <w:rPr>
          <w:rFonts w:ascii="Arial" w:hAnsi="Arial" w:cs="Arial"/>
          <w:sz w:val="20"/>
          <w:highlight w:val="white"/>
        </w:rPr>
        <w:t xml:space="preserve"> are closely related, with multiple species historically reassigned between the two</w:t>
      </w:r>
      <w:r w:rsidRPr="00275F80">
        <w:rPr>
          <w:rFonts w:ascii="Arial" w:hAnsi="Arial" w:cs="Arial"/>
          <w:sz w:val="20"/>
        </w:rPr>
        <w:t xml:space="preserve"> </w:t>
      </w:r>
      <w:r w:rsidRPr="00275F80">
        <w:rPr>
          <w:rFonts w:ascii="Arial" w:hAnsi="Arial" w:cs="Arial"/>
          <w:sz w:val="20"/>
        </w:rPr>
        <w:fldChar w:fldCharType="begin"/>
      </w:r>
      <w:r w:rsidR="002A6978">
        <w:rPr>
          <w:rFonts w:ascii="Arial" w:hAnsi="Arial" w:cs="Arial"/>
          <w:sz w:val="20"/>
        </w:rPr>
        <w:instrText xml:space="preserve"> ADDIN ZOTERO_ITEM CSL_CITATION {"citationID":"aZre7lix","properties":{"formattedCitation":"(4,5)","plainCitation":"(4,5)","noteIndex":0},"citationItems":[{"id":436,"uris":["http://zotero.org/users/12257494/items/32SW8UTF"],"itemData":{"id":436,"type":"article-journal","abstract":"Based on the results of GC content determination and 16S rRNA sequence analysis among the type strains of Achromobacter xylosoxidans, 4 Alcaligenes species, 5 Bordetella species, and 12 species of 4 other genera, the separation of genus Achromobacter Yabuuchi and Yano 1981, with the type species Achromobacter xylosoxidans, is confirmed. Alcaligenes ruhlandii (Packer and Vishniac) Aragno and Schlegel 1992 is a distinct species and not a senior synonym of Achromobacter xylosoxidans. Alcaligenes ruhlandii and Alcaligenes piechaudii Kiredjian et al 1986 are transferred to genus Achromobacter. Thus 2 new combinations, Achromobacter ruhlandii (Packer and Vishniac) and Achromobacter piechaudii (Kiredjian et al) are proposed; their type strains are ATCC 15749 and ATCC 43552, respectively. Alcaligenes denitrificans Rüger and Tan 1983 is also transferred to genus Achromobacter and ranked down to the subspecies of Achromobacter xylosoxidans. Thus a new subspecies name, Achromobacter xylosoxidans subsp. denitrificans (Rüger and Tan) is proposed. The type strain of the subspecies is ATCC 15173. This proposal automatically creates type subspecies, Achromobacter xylosoxidans subsp. xylosoxidans, with type strain ATCC 27061. An emended description of genus Achromobacter and of type species Achromobacter xylosoxidans are given.","container-title":"Microbiology and Immunology","DOI":"10.1111/j.1348-0421.1998.tb02306.x","ISSN":"1348-0421","issue":"6","language":"en","license":"© owned by Center for Academic Publications Japan (Publisher)","note":"_eprint: https://onlinelibrary.wiley.com/doi/pdf/10.1111/j.1348-0421.1998.tb02306.x","page":"429-438","source":"Wiley Online Library","title":"Emendation of Genus Achromobacter and Achromobacter xylosoxidans (Yabuuchi and Yano) and Proposal of Achromobacter ruhlandii (Packer and Vishniac) Comb. Nov., Achromobacter piechaudii (Kiredjian et al.) Comb. Nov., and Achromobacter xylosoxidans Subsp. denitrificans (Rüger and Tan) Comb. Nov.","volume":"42","author":[{"family":"Yabuuchi","given":"Eiko"},{"family":"Kawamura","given":"Yoshiaki"},{"family":"Kosako","given":"Yoshimasa"},{"family":"Ezaki","given":"Takayuki"}],"issued":{"date-parts":[["1998"]]}}},{"id":434,"uris":["http://zotero.org/users/12257494/items/8LNYGC6Z"],"itemData":{"id":434,"type":"article-journal","abstract":"The Achromobacter is a genus in the family Alcaligenaceae, comprising fifteen species isolated from different sources, including clinical samples. The ability to detect and correctly identify Achromobacter species, particularly A. xylosoxidans, and differentiate them from other phenotypically similar and genotypically related Gram-negative, aerobic, non-fermenting species is important for patients with cystic fibrosis (CF), as well as for nosocomial and other opportunistic infections. Traditional phenotypic profile-based analyses have been demonstrated to be inadequate for reliable identifications of isolates of Achromobacter species and genotypic-based assays, relying upon comparative 16S rRNA gene sequence analyses are not able to insure definitive identifications of Achromobacter species, due to the inherently conserved nature of the gene. The uses of alternative methodologies to enable high-resolution differentiation between the species in the genus are needed. A comparative multi-locus sequence analysis (MLSA) of four selected ‘house-keeping’ genes (atpD, gyrB, recA, and rpoB) assessed the individual gene sequences for their potential in developing a reliable, rapid and cost-effective diagnostic protocol for Achromobacter species identifications. The analysis of the type strains of the species of the genus and 46 strains of Achromobacter species showed congruence between the cluster analyses derived from the individual genes. The MLSA gene sequences exhibited different levels of resolution in delineating the validly published Achromobacter species and elucidated strains that represent new genotypes and probable new species of the genus. Our results also suggested that the recently described A. spritinus is a later heterotypic synonym of A. marplatensis. Strains were analyzed, using whole-cell Matrix-Assisted Laser Desorption/Ionization Time-Of-Flight mass spectrometry (MALDI-TOF MS), as an alternative phenotypic profile-based method with the potential to support the identifications determined by the genotypic DNA sequence-based MLSA. The MALDI-TOF MS data showed good accordance in strain groupings and identifications by the MLSA data.","container-title":"PLOS ONE","DOI":"10.1371/journal.pone.0114356","ISSN":"1932-6203","issue":"12","journalAbbreviation":"PLOS ONE","language":"en","note":"publisher: Public Library of Science","page":"e114356","source":"PLoS Journals","title":"Genotypic and Phenotypic Applications for the Differentiation and Species-Level Identification of Achromobacter for Clinical Diagnoses","volume":"9","author":[{"family":"Gomila","given":"Margarita"},{"family":"Prince-Manzano","given":"Claudia"},{"family":"Svensson-Stadler","given":"Liselott"},{"family":"Busquets","given":"Antonio"},{"family":"Erhard","given":"Marcel"},{"family":"Martínez","given":"Deny L."},{"family":"Lalucat","given":"Jorge"},{"family":"Moore","given":"Edward R. B."}],"issued":{"date-parts":[["2014",12,4]]}}}],"schema":"https://github.com/citation-style-language/schema/raw/master/csl-citation.json"} </w:instrText>
      </w:r>
      <w:r w:rsidRPr="00275F80">
        <w:rPr>
          <w:rFonts w:ascii="Arial" w:hAnsi="Arial" w:cs="Arial"/>
          <w:sz w:val="20"/>
        </w:rPr>
        <w:fldChar w:fldCharType="separate"/>
      </w:r>
      <w:r w:rsidR="002A6978" w:rsidRPr="002A6978">
        <w:rPr>
          <w:rFonts w:ascii="Arial" w:hAnsi="Arial" w:cs="Arial"/>
          <w:sz w:val="20"/>
        </w:rPr>
        <w:t>(4,5)</w:t>
      </w:r>
      <w:r w:rsidRPr="00275F80">
        <w:rPr>
          <w:rFonts w:ascii="Arial" w:hAnsi="Arial" w:cs="Arial"/>
          <w:sz w:val="20"/>
        </w:rPr>
        <w:fldChar w:fldCharType="end"/>
      </w:r>
      <w:r w:rsidRPr="00275F80">
        <w:rPr>
          <w:rFonts w:ascii="Arial" w:hAnsi="Arial" w:cs="Arial"/>
          <w:sz w:val="20"/>
          <w:highlight w:val="white"/>
        </w:rPr>
        <w:t xml:space="preserve">. Therefore, </w:t>
      </w:r>
      <w:r w:rsidRPr="00275F80">
        <w:rPr>
          <w:rFonts w:ascii="Arial" w:hAnsi="Arial" w:cs="Arial"/>
          <w:i/>
          <w:iCs/>
          <w:sz w:val="20"/>
          <w:highlight w:val="white"/>
        </w:rPr>
        <w:t xml:space="preserve">Alcaligenes </w:t>
      </w:r>
      <w:proofErr w:type="spellStart"/>
      <w:r w:rsidRPr="00275F80">
        <w:rPr>
          <w:rFonts w:ascii="Arial" w:hAnsi="Arial" w:cs="Arial"/>
          <w:i/>
          <w:iCs/>
          <w:sz w:val="20"/>
          <w:highlight w:val="white"/>
        </w:rPr>
        <w:t>ammonioxydans</w:t>
      </w:r>
      <w:proofErr w:type="spellEnd"/>
      <w:r w:rsidRPr="00275F80">
        <w:rPr>
          <w:rFonts w:ascii="Arial" w:hAnsi="Arial" w:cs="Arial"/>
          <w:i/>
          <w:iCs/>
          <w:sz w:val="20"/>
          <w:highlight w:val="white"/>
        </w:rPr>
        <w:t xml:space="preserve"> </w:t>
      </w:r>
      <w:r w:rsidRPr="00275F80">
        <w:rPr>
          <w:rFonts w:ascii="Arial" w:hAnsi="Arial" w:cs="Arial"/>
          <w:sz w:val="20"/>
          <w:highlight w:val="white"/>
        </w:rPr>
        <w:t xml:space="preserve">sp. can potentially share metabolic capabilities with </w:t>
      </w:r>
      <w:r w:rsidRPr="00275F80">
        <w:rPr>
          <w:rFonts w:ascii="Arial" w:hAnsi="Arial" w:cs="Arial"/>
          <w:i/>
          <w:iCs/>
          <w:sz w:val="20"/>
          <w:highlight w:val="white"/>
        </w:rPr>
        <w:t>A. xylosoxidans</w:t>
      </w:r>
      <w:r w:rsidRPr="00275F80">
        <w:rPr>
          <w:rFonts w:ascii="Arial" w:hAnsi="Arial" w:cs="Arial"/>
          <w:sz w:val="20"/>
          <w:highlight w:val="white"/>
        </w:rPr>
        <w:t xml:space="preserve">. Wu MR and colleagues </w:t>
      </w:r>
      <w:r w:rsidRPr="00275F80">
        <w:rPr>
          <w:rFonts w:ascii="Arial" w:hAnsi="Arial" w:cs="Arial"/>
          <w:sz w:val="20"/>
          <w:highlight w:val="white"/>
        </w:rPr>
        <w:fldChar w:fldCharType="begin"/>
      </w:r>
      <w:r w:rsidR="002A6978">
        <w:rPr>
          <w:rFonts w:ascii="Arial" w:hAnsi="Arial" w:cs="Arial"/>
          <w:sz w:val="20"/>
          <w:highlight w:val="white"/>
        </w:rPr>
        <w:instrText xml:space="preserve"> ADDIN ZOTERO_ITEM CSL_CITATION {"citationID":"mSkwGcwg","properties":{"formattedCitation":"(3)","plainCitation":"(3)","noteIndex":0},"citationItems":[{"id":391,"uris":["http://zotero.org/users/12257494/items/HMX2CZJ7"],"itemData":{"id":391,"type":"article-journal","abstract":"Heterotrophic nitrifiers are able to oxidize and remove ammonia from nitrogen-rich wastewaters but the genetic elements of heterotrophic ammonia oxidation are poorly understood. Here, we isolated and identified a novel heterotrophic nitrifier, Alcaligenes ammonioxydans sp. nov. strain HO-1, oxidizing ammonia to hydroxylamine and ending in the production of N2 gas. Genome analysis revealed that strain HO-1 encoded a complete denitrification pathway but lacks any genes coding for homologous to known ammonia monooxygenases or hydroxylamine oxidoreductases. Our results demonstrated strain HO-1 denitrified nitrite (not nitrate) to N2 and N2 O at anaerobic and aerobic conditions respectively. Further experiments demonstrated that inhibition of aerobic denitrification did not stop ammonia oxidation and N2 production. A gene cluster (dnfT1RT2ABCD) was cloned from strain HO-1 and enabled E. coli accumulated hydroxylamine. Sub-cloning showed that genetic cluster dnfAB or dnfABC already enabled E. coli cells to produce hydroxylamine and further to 15 N2 from (15 NH4 )2 SO4 . Transcriptome analysis revealed these three genes dnfA, dnfB and dnfC were significantly upregulated in response to ammonia stimulation. Taken together, we concluded that strain HO-1 has a novel dnf genetic cluster for ammonia oxidation and this dnf genetic cluster encoded a previously unknown pathway of direct ammonia oxidation (Dirammox) to N2 .","container-title":"Environmental Microbiology","DOI":"10.1111/1462-2920.15751","ISSN":"1462-2920","issue":"11","journalAbbreviation":"Environ Microbiol","language":"eng","note":"PMID: 34581470","page":"6965-6980","source":"PubMed","title":"Novel Alcaligenes ammonioxydans sp. nov. from wastewater treatment sludge oxidizes ammonia to N2 with a previously unknown pathway","volume":"23","author":[{"family":"Wu","given":"Meng-Ru"},{"family":"Hou","given":"Ting-Ting"},{"family":"Liu","given":"Ying"},{"family":"Miao","given":"Li-Li"},{"family":"Ai","given":"Guo-Min"},{"family":"Ma","given":"Lan"},{"family":"Zhu","given":"Hai-Zhen"},{"family":"Zhu","given":"Ya-Xin"},{"family":"Gao","given":"Xi-Yan"},{"family":"Herbold","given":"Craig W."},{"family":"Wagner","given":"Michael"},{"family":"Li","given":"De-Feng"},{"family":"Liu","given":"Zhi-Pei"},{"family":"Liu","given":"Shuang-Jiang"}],"issued":{"date-parts":[["2021",11]]}}}],"schema":"https://github.com/citation-style-language/schema/raw/master/csl-citation.json"} </w:instrText>
      </w:r>
      <w:r w:rsidRPr="00275F80">
        <w:rPr>
          <w:rFonts w:ascii="Arial" w:hAnsi="Arial" w:cs="Arial"/>
          <w:sz w:val="20"/>
          <w:highlight w:val="white"/>
        </w:rPr>
        <w:fldChar w:fldCharType="separate"/>
      </w:r>
      <w:r w:rsidR="002A6978" w:rsidRPr="002A6978">
        <w:rPr>
          <w:rFonts w:ascii="Arial" w:hAnsi="Arial" w:cs="Arial"/>
          <w:sz w:val="20"/>
        </w:rPr>
        <w:t>(3)</w:t>
      </w:r>
      <w:r w:rsidRPr="00275F80">
        <w:rPr>
          <w:rFonts w:ascii="Arial" w:hAnsi="Arial" w:cs="Arial"/>
          <w:sz w:val="20"/>
          <w:highlight w:val="white"/>
        </w:rPr>
        <w:fldChar w:fldCharType="end"/>
      </w:r>
      <w:r w:rsidRPr="00275F80">
        <w:rPr>
          <w:rFonts w:ascii="Arial" w:hAnsi="Arial" w:cs="Arial"/>
          <w:sz w:val="20"/>
          <w:highlight w:val="white"/>
        </w:rPr>
        <w:t xml:space="preserve"> suggested that </w:t>
      </w:r>
      <w:r w:rsidRPr="00275F80">
        <w:rPr>
          <w:rFonts w:ascii="Arial" w:hAnsi="Arial" w:cs="Arial"/>
          <w:i/>
          <w:iCs/>
          <w:sz w:val="20"/>
          <w:highlight w:val="white"/>
        </w:rPr>
        <w:t xml:space="preserve">A. </w:t>
      </w:r>
      <w:proofErr w:type="spellStart"/>
      <w:r w:rsidRPr="00275F80">
        <w:rPr>
          <w:rFonts w:ascii="Arial" w:hAnsi="Arial" w:cs="Arial"/>
          <w:i/>
          <w:iCs/>
          <w:sz w:val="20"/>
          <w:highlight w:val="white"/>
        </w:rPr>
        <w:t>ammonioxydans</w:t>
      </w:r>
      <w:proofErr w:type="spellEnd"/>
      <w:r w:rsidRPr="00275F80">
        <w:rPr>
          <w:rFonts w:ascii="Arial" w:hAnsi="Arial" w:cs="Arial"/>
          <w:i/>
          <w:iCs/>
          <w:sz w:val="20"/>
          <w:highlight w:val="white"/>
        </w:rPr>
        <w:t xml:space="preserve"> </w:t>
      </w:r>
      <w:r w:rsidRPr="00275F80">
        <w:rPr>
          <w:rFonts w:ascii="Arial" w:hAnsi="Arial" w:cs="Arial"/>
          <w:sz w:val="20"/>
          <w:highlight w:val="white"/>
        </w:rPr>
        <w:t xml:space="preserve">condensates hydroxylamine (ham) to </w:t>
      </w:r>
      <w:r w:rsidRPr="00275F80">
        <w:rPr>
          <w:rFonts w:ascii="Arial" w:hAnsi="Arial" w:cs="Arial"/>
          <w:sz w:val="20"/>
          <w:highlight w:val="white"/>
        </w:rPr>
        <w:lastRenderedPageBreak/>
        <w:t>pyruvic oxime spontaneously, followed by the oxidation of ham to nitrite via pyruvic oxime dioxygenase (Pod) (</w:t>
      </w:r>
      <w:r w:rsidRPr="00275F80">
        <w:rPr>
          <w:rFonts w:ascii="Arial" w:hAnsi="Arial" w:cs="Arial"/>
          <w:b/>
          <w:bCs/>
          <w:sz w:val="20"/>
          <w:highlight w:val="white"/>
        </w:rPr>
        <w:t>Fig. 4A</w:t>
      </w:r>
      <w:r w:rsidRPr="00275F80">
        <w:rPr>
          <w:rFonts w:ascii="Arial" w:hAnsi="Arial" w:cs="Arial"/>
          <w:sz w:val="20"/>
          <w:highlight w:val="white"/>
        </w:rPr>
        <w:t xml:space="preserve">). Therefore, through </w:t>
      </w:r>
      <w:proofErr w:type="spellStart"/>
      <w:r w:rsidRPr="00275F80">
        <w:rPr>
          <w:rFonts w:ascii="Arial" w:hAnsi="Arial" w:cs="Arial"/>
          <w:sz w:val="20"/>
          <w:highlight w:val="white"/>
        </w:rPr>
        <w:t>BLASTp</w:t>
      </w:r>
      <w:proofErr w:type="spellEnd"/>
      <w:r w:rsidRPr="00275F80">
        <w:rPr>
          <w:rFonts w:ascii="Arial" w:hAnsi="Arial" w:cs="Arial"/>
          <w:sz w:val="20"/>
          <w:highlight w:val="white"/>
        </w:rPr>
        <w:t xml:space="preserve">, we first identified in </w:t>
      </w:r>
      <w:r w:rsidRPr="00275F80">
        <w:rPr>
          <w:rFonts w:ascii="Arial" w:hAnsi="Arial" w:cs="Arial"/>
          <w:i/>
          <w:iCs/>
          <w:sz w:val="20"/>
          <w:highlight w:val="white"/>
        </w:rPr>
        <w:t>A. xylosoxidans</w:t>
      </w:r>
      <w:r w:rsidRPr="00275F80">
        <w:rPr>
          <w:rFonts w:ascii="Arial" w:hAnsi="Arial" w:cs="Arial"/>
          <w:sz w:val="20"/>
          <w:highlight w:val="white"/>
        </w:rPr>
        <w:t xml:space="preserve"> G1401 (strain used for iGC1310 reconstruction) a homolog of the Pod enzyme from </w:t>
      </w:r>
      <w:r w:rsidRPr="00275F80">
        <w:rPr>
          <w:rFonts w:ascii="Arial" w:hAnsi="Arial" w:cs="Arial"/>
          <w:i/>
          <w:iCs/>
          <w:sz w:val="20"/>
          <w:highlight w:val="white"/>
        </w:rPr>
        <w:t xml:space="preserve">A. </w:t>
      </w:r>
      <w:proofErr w:type="spellStart"/>
      <w:r w:rsidRPr="00275F80">
        <w:rPr>
          <w:rFonts w:ascii="Arial" w:hAnsi="Arial" w:cs="Arial"/>
          <w:i/>
          <w:iCs/>
          <w:sz w:val="20"/>
          <w:highlight w:val="white"/>
        </w:rPr>
        <w:t>ammonioxydans</w:t>
      </w:r>
      <w:proofErr w:type="spellEnd"/>
      <w:r w:rsidRPr="00275F80">
        <w:rPr>
          <w:rFonts w:ascii="Arial" w:hAnsi="Arial" w:cs="Arial"/>
          <w:b/>
          <w:bCs/>
          <w:i/>
          <w:iCs/>
          <w:sz w:val="20"/>
          <w:highlight w:val="white"/>
        </w:rPr>
        <w:t xml:space="preserve"> </w:t>
      </w:r>
      <w:r w:rsidRPr="00275F80">
        <w:rPr>
          <w:rFonts w:ascii="Arial" w:hAnsi="Arial" w:cs="Arial"/>
          <w:sz w:val="20"/>
          <w:highlight w:val="white"/>
        </w:rPr>
        <w:t>(</w:t>
      </w:r>
      <w:r w:rsidRPr="00275F80">
        <w:rPr>
          <w:rFonts w:ascii="Arial" w:hAnsi="Arial" w:cs="Arial"/>
          <w:b/>
          <w:bCs/>
          <w:sz w:val="20"/>
          <w:highlight w:val="white"/>
        </w:rPr>
        <w:t>Table S</w:t>
      </w:r>
      <w:r w:rsidR="00A6689A">
        <w:rPr>
          <w:rFonts w:ascii="Arial" w:hAnsi="Arial" w:cs="Arial"/>
          <w:b/>
          <w:bCs/>
          <w:sz w:val="20"/>
          <w:highlight w:val="white"/>
        </w:rPr>
        <w:t>8</w:t>
      </w:r>
      <w:r w:rsidRPr="00275F80">
        <w:rPr>
          <w:rFonts w:ascii="Arial" w:hAnsi="Arial" w:cs="Arial"/>
          <w:sz w:val="20"/>
          <w:highlight w:val="white"/>
        </w:rPr>
        <w:t xml:space="preserve">). This sequence was then used as a query to detect Pod across the </w:t>
      </w:r>
      <w:r w:rsidRPr="00275F80">
        <w:rPr>
          <w:rFonts w:ascii="Arial" w:hAnsi="Arial" w:cs="Arial"/>
          <w:i/>
          <w:iCs/>
          <w:sz w:val="20"/>
          <w:highlight w:val="white"/>
        </w:rPr>
        <w:t>Ax</w:t>
      </w:r>
      <w:r w:rsidRPr="00275F80">
        <w:rPr>
          <w:rFonts w:ascii="Arial" w:hAnsi="Arial" w:cs="Arial"/>
          <w:sz w:val="20"/>
          <w:highlight w:val="white"/>
        </w:rPr>
        <w:t xml:space="preserve"> pangenome. </w:t>
      </w:r>
      <w:r w:rsidRPr="00275F80">
        <w:rPr>
          <w:rFonts w:ascii="Arial" w:hAnsi="Arial" w:cs="Arial"/>
          <w:b/>
          <w:bCs/>
          <w:sz w:val="20"/>
          <w:highlight w:val="white"/>
        </w:rPr>
        <w:t>Fig. 2F</w:t>
      </w:r>
      <w:r w:rsidRPr="00275F80">
        <w:rPr>
          <w:rFonts w:ascii="Arial" w:hAnsi="Arial" w:cs="Arial"/>
          <w:sz w:val="20"/>
          <w:highlight w:val="white"/>
        </w:rPr>
        <w:t xml:space="preserve"> shows that 132 of 133 Ax strains encode Pod. The presence of all proteins involved in heterotrophic nitrification (Amo, Pod, and Nap) in nearly all strains suggests that this pathway has been evolutionarily conserved.</w:t>
      </w:r>
      <w:bookmarkEnd w:id="2"/>
    </w:p>
    <w:p w14:paraId="501F0AFE" w14:textId="7C1C2B05" w:rsidR="00F83A06" w:rsidRPr="00EA268C" w:rsidRDefault="00F83A06" w:rsidP="00EA268C">
      <w:pPr>
        <w:pStyle w:val="SMHeading"/>
        <w:spacing w:line="480" w:lineRule="auto"/>
        <w:rPr>
          <w:rFonts w:ascii="Arial" w:hAnsi="Arial" w:cs="Arial"/>
          <w:sz w:val="20"/>
          <w:szCs w:val="20"/>
        </w:rPr>
      </w:pPr>
      <w:r w:rsidRPr="00275F80">
        <w:rPr>
          <w:rFonts w:ascii="Arial" w:hAnsi="Arial" w:cs="Arial"/>
          <w:sz w:val="20"/>
          <w:szCs w:val="20"/>
        </w:rPr>
        <w:t>Enhancing the predictability capabilities of the GEM using experimentally determined data of the biomass objective function and high-throughput phenotyping</w:t>
      </w:r>
    </w:p>
    <w:p w14:paraId="5371CD31" w14:textId="27C85B48" w:rsidR="00F83A06" w:rsidRPr="00275F80" w:rsidRDefault="00F83A06" w:rsidP="006D6457">
      <w:pPr>
        <w:shd w:val="clear" w:color="auto" w:fill="FFFFFF"/>
        <w:spacing w:line="480" w:lineRule="auto"/>
        <w:ind w:firstLine="20"/>
        <w:rPr>
          <w:rFonts w:ascii="Arial" w:hAnsi="Arial" w:cs="Arial"/>
          <w:sz w:val="20"/>
          <w:highlight w:val="white"/>
        </w:rPr>
      </w:pPr>
      <w:r w:rsidRPr="00275F80">
        <w:rPr>
          <w:rFonts w:ascii="Arial" w:hAnsi="Arial" w:cs="Arial"/>
          <w:sz w:val="20"/>
          <w:highlight w:val="white"/>
        </w:rPr>
        <w:t xml:space="preserve">The Biomass Objective Function (BOF) is a stoichiometric reaction that represents </w:t>
      </w:r>
      <w:r w:rsidRPr="00275F80">
        <w:rPr>
          <w:rFonts w:ascii="Arial" w:hAnsi="Arial" w:cs="Arial"/>
          <w:i/>
          <w:iCs/>
          <w:sz w:val="20"/>
          <w:highlight w:val="white"/>
        </w:rPr>
        <w:t xml:space="preserve">Ax </w:t>
      </w:r>
      <w:r w:rsidRPr="00275F80">
        <w:rPr>
          <w:rFonts w:ascii="Arial" w:hAnsi="Arial" w:cs="Arial"/>
          <w:sz w:val="20"/>
          <w:highlight w:val="white"/>
        </w:rPr>
        <w:t xml:space="preserve"> biomass composition, including proteins, carbohydrates, lipids, nucleic acids, and other macromolecules</w:t>
      </w:r>
      <w:r w:rsidRPr="00275F80">
        <w:rPr>
          <w:rFonts w:ascii="Arial" w:hAnsi="Arial" w:cs="Arial"/>
          <w:sz w:val="20"/>
        </w:rPr>
        <w:t xml:space="preserve"> </w:t>
      </w:r>
      <w:r w:rsidRPr="00275F80">
        <w:rPr>
          <w:rFonts w:ascii="Arial" w:hAnsi="Arial" w:cs="Arial"/>
          <w:sz w:val="20"/>
        </w:rPr>
        <w:fldChar w:fldCharType="begin"/>
      </w:r>
      <w:r w:rsidR="002A6978">
        <w:rPr>
          <w:rFonts w:ascii="Arial" w:hAnsi="Arial" w:cs="Arial"/>
          <w:sz w:val="20"/>
        </w:rPr>
        <w:instrText xml:space="preserve"> ADDIN ZOTERO_ITEM CSL_CITATION {"citationID":"VHquc6AJ","properties":{"formattedCitation":"(6)","plainCitation":"(6)","noteIndex":0},"citationItems":[{"id":422,"uris":["http://zotero.org/users/12257494/items/VSMR7RQS"],"itemData":{"id":422,"type":"article-journal","abstract":"Flux balance analysis (FBA) is a mathematical approach for analyzing the flow of metabolites through a metabolic network. To computationally predict cell growth using FBA, one has to determine the biomass objective function that describes the rate at which all of the biomass precursors are made in the correct proportions. Here we review fundamental issues associated with its formulation and use to compute optimal growth states.","collection-title":"Ecology and industrial microbiology • Special section: Systems biology","container-title":"Current Opinion in Microbiology","DOI":"10.1016/j.mib.2010.03.003","ISSN":"1369-5274","issue":"3","journalAbbreviation":"Current Opinion in Microbiology","page":"344-349","source":"ScienceDirect","title":"The biomass objective function","volume":"13","author":[{"family":"Feist","given":"Adam M"},{"family":"Palsson","given":"Bernhard O"}],"issued":{"date-parts":[["2010",6,1]]}}}],"schema":"https://github.com/citation-style-language/schema/raw/master/csl-citation.json"} </w:instrText>
      </w:r>
      <w:r w:rsidRPr="00275F80">
        <w:rPr>
          <w:rFonts w:ascii="Arial" w:hAnsi="Arial" w:cs="Arial"/>
          <w:sz w:val="20"/>
        </w:rPr>
        <w:fldChar w:fldCharType="separate"/>
      </w:r>
      <w:r w:rsidR="002A6978" w:rsidRPr="002A6978">
        <w:rPr>
          <w:rFonts w:ascii="Arial" w:hAnsi="Arial" w:cs="Arial"/>
          <w:sz w:val="20"/>
        </w:rPr>
        <w:t>(6)</w:t>
      </w:r>
      <w:r w:rsidRPr="00275F80">
        <w:rPr>
          <w:rFonts w:ascii="Arial" w:hAnsi="Arial" w:cs="Arial"/>
          <w:sz w:val="20"/>
        </w:rPr>
        <w:fldChar w:fldCharType="end"/>
      </w:r>
      <w:r w:rsidRPr="00275F80">
        <w:rPr>
          <w:rFonts w:ascii="Arial" w:hAnsi="Arial" w:cs="Arial"/>
          <w:sz w:val="20"/>
          <w:highlight w:val="white"/>
        </w:rPr>
        <w:t>. The stoichiometric value of each metabolite is defined as millimoles per gram dry weight (mmol/</w:t>
      </w:r>
      <w:proofErr w:type="spellStart"/>
      <w:r w:rsidRPr="00275F80">
        <w:rPr>
          <w:rFonts w:ascii="Arial" w:hAnsi="Arial" w:cs="Arial"/>
          <w:sz w:val="20"/>
          <w:highlight w:val="white"/>
        </w:rPr>
        <w:t>gDW</w:t>
      </w:r>
      <w:proofErr w:type="spellEnd"/>
      <w:r w:rsidRPr="00275F80">
        <w:rPr>
          <w:rFonts w:ascii="Arial" w:hAnsi="Arial" w:cs="Arial"/>
          <w:sz w:val="20"/>
          <w:highlight w:val="white"/>
        </w:rPr>
        <w:t>) of biomass.</w:t>
      </w:r>
    </w:p>
    <w:p w14:paraId="6B3DB537" w14:textId="5092C6B1" w:rsidR="00F83A06" w:rsidRPr="00D43008" w:rsidRDefault="00F83A06" w:rsidP="006D6457">
      <w:pPr>
        <w:shd w:val="clear" w:color="auto" w:fill="FFFFFF"/>
        <w:spacing w:line="480" w:lineRule="auto"/>
        <w:ind w:firstLine="20"/>
        <w:rPr>
          <w:rFonts w:ascii="Arial" w:hAnsi="Arial" w:cs="Arial"/>
          <w:sz w:val="20"/>
          <w:highlight w:val="white"/>
          <w:vertAlign w:val="superscript"/>
        </w:rPr>
      </w:pPr>
      <w:r w:rsidRPr="00275F80">
        <w:rPr>
          <w:rFonts w:ascii="Arial" w:hAnsi="Arial" w:cs="Arial"/>
          <w:sz w:val="20"/>
          <w:highlight w:val="white"/>
        </w:rPr>
        <w:t xml:space="preserve">Initially, the BOF was imported from the </w:t>
      </w:r>
      <w:r w:rsidRPr="00275F80">
        <w:rPr>
          <w:rFonts w:ascii="Arial" w:hAnsi="Arial" w:cs="Arial"/>
          <w:i/>
          <w:iCs/>
          <w:sz w:val="20"/>
          <w:highlight w:val="white"/>
        </w:rPr>
        <w:t>i</w:t>
      </w:r>
      <w:r w:rsidRPr="00275F80">
        <w:rPr>
          <w:rFonts w:ascii="Arial" w:hAnsi="Arial" w:cs="Arial"/>
          <w:sz w:val="20"/>
          <w:highlight w:val="white"/>
        </w:rPr>
        <w:t xml:space="preserve">ML1515 template model and was further adapted to </w:t>
      </w:r>
      <w:r w:rsidRPr="00275F80">
        <w:rPr>
          <w:rFonts w:ascii="Arial" w:hAnsi="Arial" w:cs="Arial"/>
          <w:i/>
          <w:iCs/>
          <w:sz w:val="20"/>
          <w:highlight w:val="white"/>
        </w:rPr>
        <w:t xml:space="preserve">Ax </w:t>
      </w:r>
      <w:r w:rsidRPr="00275F80">
        <w:rPr>
          <w:rFonts w:ascii="Arial" w:hAnsi="Arial" w:cs="Arial"/>
          <w:sz w:val="20"/>
          <w:highlight w:val="white"/>
        </w:rPr>
        <w:t xml:space="preserve">traits. The total mass fractions of DNA, carbohydrates, lipids, and proteins in </w:t>
      </w:r>
      <w:r w:rsidRPr="00275F80">
        <w:rPr>
          <w:rFonts w:ascii="Arial" w:hAnsi="Arial" w:cs="Arial"/>
          <w:i/>
          <w:iCs/>
          <w:sz w:val="20"/>
          <w:highlight w:val="white"/>
        </w:rPr>
        <w:t>Ax</w:t>
      </w:r>
      <w:r w:rsidRPr="00275F80">
        <w:rPr>
          <w:rFonts w:ascii="Arial" w:hAnsi="Arial" w:cs="Arial"/>
          <w:sz w:val="20"/>
          <w:highlight w:val="white"/>
        </w:rPr>
        <w:t xml:space="preserve"> biomass were calculated experimentally, accounting for 75.31% of the total dry cell weight (3.8%, 4.9%, 13.27%, and 53.34%, respectively) (</w:t>
      </w:r>
      <w:r w:rsidRPr="00275F80">
        <w:rPr>
          <w:rFonts w:ascii="Arial" w:hAnsi="Arial" w:cs="Arial"/>
          <w:b/>
          <w:bCs/>
          <w:sz w:val="20"/>
          <w:highlight w:val="white"/>
        </w:rPr>
        <w:t>Fig. 3A</w:t>
      </w:r>
      <w:r w:rsidRPr="00275F80">
        <w:rPr>
          <w:rFonts w:ascii="Arial" w:hAnsi="Arial" w:cs="Arial"/>
          <w:sz w:val="20"/>
          <w:highlight w:val="white"/>
        </w:rPr>
        <w:t xml:space="preserve">). These values are consistent with previous reports for </w:t>
      </w:r>
      <w:r w:rsidRPr="00275F80">
        <w:rPr>
          <w:rFonts w:ascii="Arial" w:hAnsi="Arial" w:cs="Arial"/>
          <w:i/>
          <w:iCs/>
          <w:sz w:val="20"/>
          <w:highlight w:val="white"/>
        </w:rPr>
        <w:t>E. coli</w:t>
      </w:r>
      <w:r w:rsidRPr="00275F80">
        <w:rPr>
          <w:rFonts w:ascii="Arial" w:hAnsi="Arial" w:cs="Arial"/>
          <w:sz w:val="20"/>
          <w:highlight w:val="white"/>
        </w:rPr>
        <w:t>, supporting</w:t>
      </w:r>
      <w:r w:rsidRPr="00275F80">
        <w:rPr>
          <w:rFonts w:ascii="Arial" w:hAnsi="Arial" w:cs="Arial"/>
          <w:i/>
          <w:iCs/>
          <w:sz w:val="20"/>
          <w:highlight w:val="white"/>
        </w:rPr>
        <w:t xml:space="preserve"> i</w:t>
      </w:r>
      <w:r w:rsidRPr="00275F80">
        <w:rPr>
          <w:rFonts w:ascii="Arial" w:hAnsi="Arial" w:cs="Arial"/>
          <w:sz w:val="20"/>
          <w:highlight w:val="white"/>
        </w:rPr>
        <w:t>ML1515 as a suitable template</w:t>
      </w:r>
      <w:r w:rsidRPr="00275F80">
        <w:rPr>
          <w:rFonts w:ascii="Arial" w:hAnsi="Arial" w:cs="Arial"/>
          <w:sz w:val="20"/>
        </w:rPr>
        <w:t xml:space="preserve"> </w:t>
      </w:r>
      <w:r w:rsidRPr="00275F80">
        <w:rPr>
          <w:rFonts w:ascii="Arial" w:hAnsi="Arial" w:cs="Arial"/>
          <w:sz w:val="20"/>
        </w:rPr>
        <w:fldChar w:fldCharType="begin"/>
      </w:r>
      <w:r w:rsidR="002A6978">
        <w:rPr>
          <w:rFonts w:ascii="Arial" w:hAnsi="Arial" w:cs="Arial"/>
          <w:sz w:val="20"/>
        </w:rPr>
        <w:instrText xml:space="preserve"> ADDIN ZOTERO_ITEM CSL_CITATION {"citationID":"GGyRw4fL","properties":{"formattedCitation":"(7)","plainCitation":"(7)","noteIndex":0},"citationItems":[{"id":534,"uris":["http://zotero.org/users/12257494/items/EB2HQKAA"],"itemData":{"id":534,"type":"article-journal","abstract":"Genome-scale metabolic models (GEMs) are mathematical representations of metabolism that allow for in silico simulation of metabolic phenotypes and capabilities. A prerequisite for these predictions is an accurate representation of the biomolecular composition of the cell necessary for replication and growth, implemented in GEMs as the so-called biomass objective function (BOF). The BOF contains the metabolic precursors required for synthesis of the cellular macro- and micromolecular constituents (e.g. protein, RNA, DNA), and its composition is highly dependent on the particular organism, strain, and growth condition. Despite its critical role, the BOF is rarely constructed using specific measurements of the modeled organism, drawing the validity of this approach into question. Thus, there is a need to establish robust and reliable protocols for experimental condition-specific biomass determination. Here, we address this challenge by presenting a general pipeline for biomass quantification, evaluating its performance on Escherichia coli K-12 MG1655 sampled during balanced exponential growth under controlled conditions in a batch-fermentor set-up. We significantly improve both the coverage and molecular resolution compared to previously published workflows, quantifying 91.6% of the biomass. Our measurements display great correspondence with previously reported measurements, and we were also able to detect subtle characteristics specific to the particular E. coli strain. Using the modified E. coli GEM iML1515a, we compare the feasible flux ranges of our experimentally determined BOF with the original BOF, finding that the changes in BOF coefficients considerably affect the attainable fluxes at the genome-scale.","container-title":"PLOS ONE","DOI":"10.1371/journal.pone.0262450","ISSN":"1932-6203","issue":"1","journalAbbreviation":"PLOS ONE","language":"en","note":"publisher: Public Library of Science","page":"e0262450","source":"PLoS Journals","title":"Experimental determination of Escherichia coli biomass composition for constraint-based metabolic modeling","volume":"17","author":[{"family":"Simensen","given":"Vetle"},{"family":"Schulz","given":"Christian"},{"family":"Karlsen","given":"Emil"},{"family":"Bråtelund","given":"Signe"},{"family":"Burgos","given":"Idun"},{"family":"Thorfinnsdottir","given":"Lilja Brekke"},{"family":"García-Calvo","given":"Laura"},{"family":"Bruheim","given":"Per"},{"family":"Almaas","given":"Eivind"}],"issued":{"date-parts":[["2022",1,27]]}}}],"schema":"https://github.com/citation-style-language/schema/raw/master/csl-citation.json"} </w:instrText>
      </w:r>
      <w:r w:rsidRPr="00275F80">
        <w:rPr>
          <w:rFonts w:ascii="Arial" w:hAnsi="Arial" w:cs="Arial"/>
          <w:sz w:val="20"/>
        </w:rPr>
        <w:fldChar w:fldCharType="separate"/>
      </w:r>
      <w:r w:rsidR="002A6978" w:rsidRPr="002A6978">
        <w:rPr>
          <w:rFonts w:ascii="Arial" w:hAnsi="Arial" w:cs="Arial"/>
          <w:sz w:val="20"/>
        </w:rPr>
        <w:t>(7)</w:t>
      </w:r>
      <w:r w:rsidRPr="00275F80">
        <w:rPr>
          <w:rFonts w:ascii="Arial" w:hAnsi="Arial" w:cs="Arial"/>
          <w:sz w:val="20"/>
        </w:rPr>
        <w:fldChar w:fldCharType="end"/>
      </w:r>
      <w:r w:rsidRPr="00275F80">
        <w:rPr>
          <w:rFonts w:ascii="Arial" w:hAnsi="Arial" w:cs="Arial"/>
          <w:sz w:val="20"/>
          <w:highlight w:val="white"/>
        </w:rPr>
        <w:t xml:space="preserve">. </w:t>
      </w:r>
    </w:p>
    <w:p w14:paraId="63B7DAFA" w14:textId="3BD27F49" w:rsidR="00F83A06" w:rsidRPr="00275F80" w:rsidRDefault="00F83A06" w:rsidP="006D6457">
      <w:pPr>
        <w:shd w:val="clear" w:color="auto" w:fill="FFFFFF"/>
        <w:spacing w:line="480" w:lineRule="auto"/>
        <w:rPr>
          <w:rFonts w:ascii="Arial" w:hAnsi="Arial" w:cs="Arial"/>
          <w:sz w:val="20"/>
          <w:highlight w:val="white"/>
        </w:rPr>
      </w:pPr>
      <w:r w:rsidRPr="00275F80">
        <w:rPr>
          <w:rFonts w:ascii="Arial" w:hAnsi="Arial" w:cs="Arial"/>
          <w:sz w:val="20"/>
          <w:highlight w:val="white"/>
        </w:rPr>
        <w:t xml:space="preserve">Remaining macromolecules, such as RNA, cofactors, murein, lipopolysaccharides (LPS), and inorganic ions, were normalized to the residual 24.69% of the biomass, while maintaining the relative proportions among them as defined in the </w:t>
      </w:r>
      <w:r w:rsidRPr="00275F80">
        <w:rPr>
          <w:rFonts w:ascii="Arial" w:hAnsi="Arial" w:cs="Arial"/>
          <w:i/>
          <w:iCs/>
          <w:sz w:val="20"/>
          <w:highlight w:val="white"/>
        </w:rPr>
        <w:t>E. coli</w:t>
      </w:r>
      <w:r w:rsidRPr="00275F80">
        <w:rPr>
          <w:rFonts w:ascii="Arial" w:hAnsi="Arial" w:cs="Arial"/>
          <w:sz w:val="20"/>
          <w:highlight w:val="white"/>
        </w:rPr>
        <w:t xml:space="preserve"> model (</w:t>
      </w:r>
      <w:r w:rsidRPr="00275F80">
        <w:rPr>
          <w:rFonts w:ascii="Arial" w:hAnsi="Arial" w:cs="Arial"/>
          <w:i/>
          <w:iCs/>
          <w:sz w:val="20"/>
          <w:highlight w:val="white"/>
        </w:rPr>
        <w:t>i</w:t>
      </w:r>
      <w:r w:rsidRPr="00275F80">
        <w:rPr>
          <w:rFonts w:ascii="Arial" w:hAnsi="Arial" w:cs="Arial"/>
          <w:sz w:val="20"/>
          <w:highlight w:val="white"/>
        </w:rPr>
        <w:t>ML1515) (</w:t>
      </w:r>
      <w:r w:rsidRPr="00275F80">
        <w:rPr>
          <w:rFonts w:ascii="Arial" w:hAnsi="Arial" w:cs="Arial"/>
          <w:b/>
          <w:bCs/>
          <w:sz w:val="20"/>
          <w:highlight w:val="white"/>
        </w:rPr>
        <w:t>Fig. 3A</w:t>
      </w:r>
      <w:r w:rsidRPr="00275F80">
        <w:rPr>
          <w:rFonts w:ascii="Arial" w:hAnsi="Arial" w:cs="Arial"/>
          <w:sz w:val="20"/>
          <w:highlight w:val="white"/>
        </w:rPr>
        <w:t xml:space="preserve">). Amino acid and fatty acid profiles were determined experimentally. In contrast, nucleic acid profiles were derived from the </w:t>
      </w:r>
      <w:r w:rsidRPr="00275F80">
        <w:rPr>
          <w:rFonts w:ascii="Arial" w:hAnsi="Arial" w:cs="Arial"/>
          <w:i/>
          <w:iCs/>
          <w:sz w:val="20"/>
          <w:highlight w:val="white"/>
        </w:rPr>
        <w:t>Ax</w:t>
      </w:r>
      <w:r w:rsidRPr="00275F80">
        <w:rPr>
          <w:rFonts w:ascii="Arial" w:hAnsi="Arial" w:cs="Arial"/>
          <w:sz w:val="20"/>
          <w:highlight w:val="white"/>
        </w:rPr>
        <w:t xml:space="preserve"> genome. Growth-Associated Maintenance energy (GAM, 75.38 mmol/</w:t>
      </w:r>
      <w:proofErr w:type="spellStart"/>
      <w:r w:rsidRPr="00275F80">
        <w:rPr>
          <w:rFonts w:ascii="Arial" w:hAnsi="Arial" w:cs="Arial"/>
          <w:sz w:val="20"/>
          <w:highlight w:val="white"/>
        </w:rPr>
        <w:t>gDW</w:t>
      </w:r>
      <w:proofErr w:type="spellEnd"/>
      <w:r w:rsidRPr="00275F80">
        <w:rPr>
          <w:rFonts w:ascii="Arial" w:hAnsi="Arial" w:cs="Arial"/>
          <w:sz w:val="20"/>
          <w:highlight w:val="white"/>
        </w:rPr>
        <w:t xml:space="preserve"> ATP) and Non-Growth-Associated Maintenance energy (NGAM, 6.86 mmol/</w:t>
      </w:r>
      <w:proofErr w:type="spellStart"/>
      <w:r w:rsidRPr="00275F80">
        <w:rPr>
          <w:rFonts w:ascii="Arial" w:hAnsi="Arial" w:cs="Arial"/>
          <w:sz w:val="20"/>
          <w:highlight w:val="white"/>
        </w:rPr>
        <w:t>gDW</w:t>
      </w:r>
      <w:proofErr w:type="spellEnd"/>
      <w:r w:rsidRPr="00275F80">
        <w:rPr>
          <w:rFonts w:ascii="Arial" w:hAnsi="Arial" w:cs="Arial"/>
          <w:sz w:val="20"/>
          <w:highlight w:val="white"/>
        </w:rPr>
        <w:t xml:space="preserve"> ATP) were imported from </w:t>
      </w:r>
      <w:r w:rsidRPr="00275F80">
        <w:rPr>
          <w:rFonts w:ascii="Arial" w:hAnsi="Arial" w:cs="Arial"/>
          <w:i/>
          <w:iCs/>
          <w:sz w:val="20"/>
          <w:highlight w:val="white"/>
        </w:rPr>
        <w:t>i</w:t>
      </w:r>
      <w:r w:rsidRPr="00275F80">
        <w:rPr>
          <w:rFonts w:ascii="Arial" w:hAnsi="Arial" w:cs="Arial"/>
          <w:sz w:val="20"/>
          <w:highlight w:val="white"/>
        </w:rPr>
        <w:t>ML1515. The updated BOF was set as the objective function for all the simulations mentioned in this study.</w:t>
      </w:r>
    </w:p>
    <w:p w14:paraId="25C98ED4" w14:textId="016D22C6" w:rsidR="00F83A06" w:rsidRPr="00D43008" w:rsidRDefault="00F83A06" w:rsidP="00EA268C">
      <w:pPr>
        <w:shd w:val="clear" w:color="auto" w:fill="FFFFFF"/>
        <w:spacing w:after="0" w:line="480" w:lineRule="auto"/>
        <w:ind w:firstLine="20"/>
        <w:rPr>
          <w:rFonts w:ascii="Arial" w:hAnsi="Arial" w:cs="Arial"/>
          <w:sz w:val="20"/>
          <w:highlight w:val="white"/>
        </w:rPr>
      </w:pPr>
      <w:r w:rsidRPr="00275F80">
        <w:rPr>
          <w:rFonts w:ascii="Arial" w:hAnsi="Arial" w:cs="Arial"/>
          <w:sz w:val="20"/>
          <w:highlight w:val="white"/>
        </w:rPr>
        <w:lastRenderedPageBreak/>
        <w:t xml:space="preserve">To our knowledge, this BOF remains the only characterization of </w:t>
      </w:r>
      <w:r w:rsidRPr="00275F80">
        <w:rPr>
          <w:rFonts w:ascii="Arial" w:hAnsi="Arial" w:cs="Arial"/>
          <w:i/>
          <w:iCs/>
          <w:sz w:val="20"/>
          <w:highlight w:val="white"/>
        </w:rPr>
        <w:t>Ax</w:t>
      </w:r>
      <w:r w:rsidRPr="00275F80">
        <w:rPr>
          <w:rFonts w:ascii="Arial" w:hAnsi="Arial" w:cs="Arial"/>
          <w:sz w:val="20"/>
          <w:highlight w:val="white"/>
        </w:rPr>
        <w:t xml:space="preserve"> biomass composition available.</w:t>
      </w:r>
    </w:p>
    <w:p w14:paraId="0477AC89" w14:textId="673D6152" w:rsidR="00F83A06" w:rsidRPr="00EA268C" w:rsidRDefault="00F83A06" w:rsidP="00EA268C">
      <w:pPr>
        <w:pStyle w:val="SMHeading"/>
        <w:spacing w:after="0" w:line="480" w:lineRule="auto"/>
        <w:rPr>
          <w:rFonts w:ascii="Arial" w:hAnsi="Arial" w:cs="Arial"/>
          <w:sz w:val="20"/>
          <w:szCs w:val="20"/>
        </w:rPr>
      </w:pPr>
      <w:r w:rsidRPr="00275F80">
        <w:rPr>
          <w:rFonts w:ascii="Arial" w:hAnsi="Arial" w:cs="Arial"/>
          <w:sz w:val="20"/>
          <w:szCs w:val="20"/>
        </w:rPr>
        <w:t xml:space="preserve">Genomic and metabolic modeling analyses reveal a persistent nitrification pathway in </w:t>
      </w:r>
      <w:r w:rsidRPr="00275F80">
        <w:rPr>
          <w:rFonts w:ascii="Arial" w:hAnsi="Arial" w:cs="Arial"/>
          <w:i/>
          <w:iCs/>
          <w:sz w:val="20"/>
          <w:szCs w:val="20"/>
        </w:rPr>
        <w:t>Achromobacter xylosoxidans</w:t>
      </w:r>
      <w:r w:rsidRPr="00275F80">
        <w:rPr>
          <w:rFonts w:ascii="Arial" w:hAnsi="Arial" w:cs="Arial"/>
          <w:sz w:val="20"/>
          <w:szCs w:val="20"/>
        </w:rPr>
        <w:t xml:space="preserve"> regulated by carbon availability</w:t>
      </w:r>
    </w:p>
    <w:p w14:paraId="171E8391" w14:textId="7BB18DC3" w:rsidR="00F83A06" w:rsidRPr="00275F80" w:rsidRDefault="00F83A06" w:rsidP="006D6457">
      <w:pPr>
        <w:shd w:val="clear" w:color="auto" w:fill="FFFFFF"/>
        <w:spacing w:line="480" w:lineRule="auto"/>
        <w:rPr>
          <w:rFonts w:ascii="Arial" w:hAnsi="Arial" w:cs="Arial"/>
          <w:sz w:val="20"/>
          <w:highlight w:val="white"/>
        </w:rPr>
      </w:pPr>
      <w:r w:rsidRPr="00275F80">
        <w:rPr>
          <w:rFonts w:ascii="Arial" w:hAnsi="Arial" w:cs="Arial"/>
          <w:sz w:val="20"/>
          <w:highlight w:val="white"/>
        </w:rPr>
        <w:t xml:space="preserve">In order to understand the conditions that involve the activation/deactivation of heterotrophic nitrification in </w:t>
      </w:r>
      <w:r w:rsidRPr="00275F80">
        <w:rPr>
          <w:rFonts w:ascii="Arial" w:hAnsi="Arial" w:cs="Arial"/>
          <w:i/>
          <w:iCs/>
          <w:sz w:val="20"/>
          <w:highlight w:val="white"/>
        </w:rPr>
        <w:t>Ax</w:t>
      </w:r>
      <w:r w:rsidRPr="00275F80">
        <w:rPr>
          <w:rFonts w:ascii="Arial" w:hAnsi="Arial" w:cs="Arial"/>
          <w:sz w:val="20"/>
          <w:highlight w:val="white"/>
        </w:rPr>
        <w:t xml:space="preserve">, we manually added to the </w:t>
      </w:r>
      <w:r w:rsidRPr="00275F80">
        <w:rPr>
          <w:rFonts w:ascii="Arial" w:hAnsi="Arial" w:cs="Arial"/>
          <w:i/>
          <w:iCs/>
          <w:sz w:val="20"/>
          <w:highlight w:val="white"/>
        </w:rPr>
        <w:t>i</w:t>
      </w:r>
      <w:r w:rsidRPr="00275F80">
        <w:rPr>
          <w:rFonts w:ascii="Arial" w:hAnsi="Arial" w:cs="Arial"/>
          <w:sz w:val="20"/>
          <w:highlight w:val="white"/>
        </w:rPr>
        <w:t xml:space="preserve">GC13101 model all the biochemical reactions associated with the nitrifying enzymes. The proposed pathway of heterotrophic nitrification in </w:t>
      </w:r>
      <w:r w:rsidRPr="00275F80">
        <w:rPr>
          <w:rFonts w:ascii="Arial" w:hAnsi="Arial" w:cs="Arial"/>
          <w:i/>
          <w:iCs/>
          <w:sz w:val="20"/>
          <w:highlight w:val="white"/>
        </w:rPr>
        <w:t xml:space="preserve">A. xylosoxidans </w:t>
      </w:r>
      <w:r w:rsidRPr="00275F80">
        <w:rPr>
          <w:rFonts w:ascii="Arial" w:hAnsi="Arial" w:cs="Arial"/>
          <w:sz w:val="20"/>
          <w:highlight w:val="white"/>
        </w:rPr>
        <w:t xml:space="preserve">is described in </w:t>
      </w:r>
      <w:r w:rsidRPr="00275F80">
        <w:rPr>
          <w:rFonts w:ascii="Arial" w:hAnsi="Arial" w:cs="Arial"/>
          <w:b/>
          <w:bCs/>
          <w:sz w:val="20"/>
          <w:highlight w:val="white"/>
        </w:rPr>
        <w:t>Fig. 4A</w:t>
      </w:r>
      <w:r w:rsidRPr="00275F80">
        <w:rPr>
          <w:rFonts w:ascii="Arial" w:hAnsi="Arial" w:cs="Arial"/>
          <w:sz w:val="20"/>
          <w:highlight w:val="white"/>
        </w:rPr>
        <w:t>.</w:t>
      </w:r>
    </w:p>
    <w:p w14:paraId="7FDEE074" w14:textId="363BF857" w:rsidR="00F83A06" w:rsidRPr="00275F80" w:rsidRDefault="00F83A06" w:rsidP="006D6457">
      <w:pPr>
        <w:shd w:val="clear" w:color="auto" w:fill="FFFFFF"/>
        <w:spacing w:line="480" w:lineRule="auto"/>
        <w:ind w:firstLine="20"/>
        <w:rPr>
          <w:rFonts w:ascii="Arial" w:hAnsi="Arial" w:cs="Arial"/>
          <w:sz w:val="20"/>
          <w:highlight w:val="white"/>
        </w:rPr>
      </w:pPr>
      <w:r w:rsidRPr="00275F80">
        <w:rPr>
          <w:rFonts w:ascii="Arial" w:hAnsi="Arial" w:cs="Arial"/>
          <w:sz w:val="20"/>
          <w:highlight w:val="white"/>
        </w:rPr>
        <w:t xml:space="preserve">To elucidate how </w:t>
      </w:r>
      <w:r w:rsidRPr="00275F80">
        <w:rPr>
          <w:rFonts w:ascii="Arial" w:hAnsi="Arial" w:cs="Arial"/>
          <w:i/>
          <w:iCs/>
          <w:sz w:val="20"/>
          <w:highlight w:val="white"/>
        </w:rPr>
        <w:t>Ax</w:t>
      </w:r>
      <w:r w:rsidRPr="00275F80">
        <w:rPr>
          <w:rFonts w:ascii="Arial" w:hAnsi="Arial" w:cs="Arial"/>
          <w:sz w:val="20"/>
          <w:highlight w:val="white"/>
        </w:rPr>
        <w:t xml:space="preserve"> activates the nitrification pathway, we performed robustness analysis simulations using low and high succinate uptake rates (0-4 mmol/g DW/h), which can be correlated with low and high concentrations (</w:t>
      </w:r>
      <w:r w:rsidRPr="00275F80">
        <w:rPr>
          <w:rFonts w:ascii="Arial" w:hAnsi="Arial" w:cs="Arial"/>
          <w:b/>
          <w:bCs/>
          <w:sz w:val="20"/>
          <w:highlight w:val="white"/>
        </w:rPr>
        <w:t>Fig. 4A</w:t>
      </w:r>
      <w:r w:rsidRPr="00275F80">
        <w:rPr>
          <w:rFonts w:ascii="Arial" w:hAnsi="Arial" w:cs="Arial"/>
          <w:sz w:val="20"/>
          <w:highlight w:val="white"/>
        </w:rPr>
        <w:t xml:space="preserve">). The </w:t>
      </w:r>
      <w:r w:rsidRPr="00275F80">
        <w:rPr>
          <w:rFonts w:ascii="Arial" w:hAnsi="Arial" w:cs="Arial"/>
          <w:i/>
          <w:iCs/>
          <w:sz w:val="20"/>
          <w:highlight w:val="white"/>
        </w:rPr>
        <w:t>i</w:t>
      </w:r>
      <w:r w:rsidRPr="00275F80">
        <w:rPr>
          <w:rFonts w:ascii="Arial" w:hAnsi="Arial" w:cs="Arial"/>
          <w:sz w:val="20"/>
          <w:highlight w:val="white"/>
        </w:rPr>
        <w:t>GC1310 model was constrained in minimal medium with NH</w:t>
      </w:r>
      <w:r w:rsidRPr="00275F80">
        <w:rPr>
          <w:rFonts w:ascii="Arial" w:hAnsi="Arial" w:cs="Arial"/>
          <w:sz w:val="20"/>
          <w:highlight w:val="white"/>
          <w:vertAlign w:val="subscript"/>
        </w:rPr>
        <w:t>4</w:t>
      </w:r>
      <w:r w:rsidRPr="00275F80">
        <w:rPr>
          <w:rFonts w:ascii="Arial" w:hAnsi="Arial" w:cs="Arial"/>
          <w:sz w:val="20"/>
          <w:highlight w:val="white"/>
          <w:vertAlign w:val="superscript"/>
        </w:rPr>
        <w:t>+</w:t>
      </w:r>
      <w:r w:rsidRPr="00275F80">
        <w:rPr>
          <w:rFonts w:ascii="Arial" w:hAnsi="Arial" w:cs="Arial"/>
          <w:sz w:val="20"/>
          <w:highlight w:val="white"/>
        </w:rPr>
        <w:t xml:space="preserve"> uptake rate fixed at 1 mmol/g DW/h. </w:t>
      </w:r>
      <w:r w:rsidRPr="00275F80">
        <w:rPr>
          <w:rFonts w:ascii="Arial" w:hAnsi="Arial" w:cs="Arial"/>
          <w:b/>
          <w:bCs/>
          <w:sz w:val="20"/>
          <w:highlight w:val="white"/>
        </w:rPr>
        <w:t xml:space="preserve">Fig. 4A </w:t>
      </w:r>
      <w:r w:rsidRPr="00275F80">
        <w:rPr>
          <w:rFonts w:ascii="Arial" w:hAnsi="Arial" w:cs="Arial"/>
          <w:sz w:val="20"/>
          <w:highlight w:val="white"/>
        </w:rPr>
        <w:t>shows that at low succinate uptake rates (~0.5 - ~2.5 mmol/</w:t>
      </w:r>
      <w:proofErr w:type="spellStart"/>
      <w:r w:rsidRPr="00275F80">
        <w:rPr>
          <w:rFonts w:ascii="Arial" w:hAnsi="Arial" w:cs="Arial"/>
          <w:sz w:val="20"/>
          <w:highlight w:val="white"/>
        </w:rPr>
        <w:t>gDW</w:t>
      </w:r>
      <w:proofErr w:type="spellEnd"/>
      <w:r w:rsidRPr="00275F80">
        <w:rPr>
          <w:rFonts w:ascii="Arial" w:hAnsi="Arial" w:cs="Arial"/>
          <w:sz w:val="20"/>
          <w:highlight w:val="white"/>
        </w:rPr>
        <w:t>/h), the nitrifying enzymes are active. Ammonium is consumed and oxidized to hydroxylamine (NH</w:t>
      </w:r>
      <w:r w:rsidRPr="00275F80">
        <w:rPr>
          <w:rFonts w:ascii="Arial" w:hAnsi="Arial" w:cs="Arial"/>
          <w:sz w:val="20"/>
          <w:highlight w:val="white"/>
          <w:vertAlign w:val="subscript"/>
        </w:rPr>
        <w:t>2</w:t>
      </w:r>
      <w:r w:rsidRPr="00275F80">
        <w:rPr>
          <w:rFonts w:ascii="Arial" w:hAnsi="Arial" w:cs="Arial"/>
          <w:sz w:val="20"/>
          <w:highlight w:val="white"/>
        </w:rPr>
        <w:t>OH) by the catalysis of Amo, followed by a spontaneous condensation reaction between hydroxylamine and pyruvate, which produces pyruvic oxime. Subsequently, pyruvic oxime is oxidized to nitrite through Pod, which is further oxidized to nitrate by Nap. The ubiquinol (QH</w:t>
      </w:r>
      <w:r w:rsidRPr="00275F80">
        <w:rPr>
          <w:rFonts w:ascii="Arial" w:hAnsi="Arial" w:cs="Arial"/>
          <w:sz w:val="20"/>
          <w:highlight w:val="white"/>
          <w:vertAlign w:val="subscript"/>
        </w:rPr>
        <w:t>2</w:t>
      </w:r>
      <w:r w:rsidRPr="00275F80">
        <w:rPr>
          <w:rFonts w:ascii="Arial" w:hAnsi="Arial" w:cs="Arial"/>
          <w:sz w:val="20"/>
          <w:highlight w:val="white"/>
        </w:rPr>
        <w:t xml:space="preserve">) generated during the nitrification is used by the cytochrome bc1 complex (complex III) to reduce a molecule of cytochrome c that is further utilized by the terminal oxidase (cytochrome c oxidase, COX) to reduce oxygen (final electron acceptor) to water. This process generates a proton gradient between the cytoplasm and the periplasm, which induces the production of </w:t>
      </w:r>
      <w:proofErr w:type="gramStart"/>
      <w:r w:rsidRPr="00275F80">
        <w:rPr>
          <w:rFonts w:ascii="Arial" w:hAnsi="Arial" w:cs="Arial"/>
          <w:sz w:val="20"/>
          <w:highlight w:val="white"/>
        </w:rPr>
        <w:t>ATP by ATP</w:t>
      </w:r>
      <w:proofErr w:type="gramEnd"/>
      <w:r w:rsidRPr="00275F80">
        <w:rPr>
          <w:rFonts w:ascii="Arial" w:hAnsi="Arial" w:cs="Arial"/>
          <w:sz w:val="20"/>
          <w:highlight w:val="white"/>
        </w:rPr>
        <w:t xml:space="preserve"> synthase. </w:t>
      </w:r>
    </w:p>
    <w:p w14:paraId="097AB6CE" w14:textId="793CC04E" w:rsidR="00F83A06" w:rsidRPr="00275F80" w:rsidRDefault="00F83A06" w:rsidP="006D6457">
      <w:pPr>
        <w:shd w:val="clear" w:color="auto" w:fill="FFFFFF"/>
        <w:spacing w:line="480" w:lineRule="auto"/>
        <w:ind w:firstLine="20"/>
        <w:rPr>
          <w:rFonts w:ascii="Arial" w:hAnsi="Arial" w:cs="Arial"/>
          <w:sz w:val="20"/>
          <w:highlight w:val="white"/>
        </w:rPr>
      </w:pPr>
      <w:r w:rsidRPr="00275F80">
        <w:rPr>
          <w:rFonts w:ascii="Arial" w:hAnsi="Arial" w:cs="Arial"/>
          <w:sz w:val="20"/>
          <w:highlight w:val="white"/>
        </w:rPr>
        <w:t xml:space="preserve">However, under higher succinate uptake rates (~2.5-4 mmol/g DW/h), the simulations predicted that the nitrification pathway is completely deactivated. The succinate dehydrogenase, which is coupled with the TCA cycle, produces all the ubiquinol required by complex III and COX. The activity of these last two reactions generates the proton motive force required for ATP synthesis. </w:t>
      </w:r>
    </w:p>
    <w:p w14:paraId="45D118EA" w14:textId="0BCBDC9C" w:rsidR="00F83A06" w:rsidRPr="00275F80" w:rsidRDefault="00F83A06" w:rsidP="006D6457">
      <w:pPr>
        <w:shd w:val="clear" w:color="auto" w:fill="FFFFFF"/>
        <w:spacing w:line="480" w:lineRule="auto"/>
        <w:rPr>
          <w:rFonts w:ascii="Arial" w:hAnsi="Arial" w:cs="Arial"/>
          <w:color w:val="222222"/>
          <w:sz w:val="20"/>
          <w:highlight w:val="white"/>
        </w:rPr>
      </w:pPr>
      <w:r w:rsidRPr="00275F80">
        <w:rPr>
          <w:rFonts w:ascii="Arial" w:hAnsi="Arial" w:cs="Arial"/>
          <w:sz w:val="20"/>
          <w:highlight w:val="white"/>
        </w:rPr>
        <w:lastRenderedPageBreak/>
        <w:t xml:space="preserve">Therefore, we experimentally measured nitrification activity in the </w:t>
      </w:r>
      <w:r w:rsidRPr="00275F80">
        <w:rPr>
          <w:rFonts w:ascii="Arial" w:hAnsi="Arial" w:cs="Arial"/>
          <w:i/>
          <w:iCs/>
          <w:sz w:val="20"/>
          <w:highlight w:val="white"/>
        </w:rPr>
        <w:t>Ax</w:t>
      </w:r>
      <w:r w:rsidRPr="00275F80">
        <w:rPr>
          <w:rFonts w:ascii="Arial" w:hAnsi="Arial" w:cs="Arial"/>
          <w:sz w:val="20"/>
          <w:highlight w:val="white"/>
        </w:rPr>
        <w:t xml:space="preserve"> strains isolated from CF patients, G1401 (the strain used for </w:t>
      </w:r>
      <w:r w:rsidRPr="00275F80">
        <w:rPr>
          <w:rFonts w:ascii="Arial" w:hAnsi="Arial" w:cs="Arial"/>
          <w:i/>
          <w:iCs/>
          <w:sz w:val="20"/>
          <w:highlight w:val="white"/>
        </w:rPr>
        <w:t>i</w:t>
      </w:r>
      <w:r w:rsidRPr="00275F80">
        <w:rPr>
          <w:rFonts w:ascii="Arial" w:hAnsi="Arial" w:cs="Arial"/>
          <w:sz w:val="20"/>
          <w:highlight w:val="white"/>
        </w:rPr>
        <w:t xml:space="preserve">GC1310 modeling), </w:t>
      </w:r>
      <w:r w:rsidRPr="00275F80">
        <w:rPr>
          <w:rFonts w:ascii="Arial" w:hAnsi="Arial" w:cs="Arial"/>
          <w:sz w:val="20"/>
        </w:rPr>
        <w:t>G1324, and G1394</w:t>
      </w:r>
      <w:r w:rsidRPr="00275F80">
        <w:rPr>
          <w:rFonts w:ascii="Arial" w:hAnsi="Arial" w:cs="Arial"/>
          <w:b/>
          <w:bCs/>
          <w:sz w:val="20"/>
        </w:rPr>
        <w:t>.</w:t>
      </w:r>
      <w:r w:rsidRPr="00275F80">
        <w:rPr>
          <w:rFonts w:ascii="Arial" w:hAnsi="Arial" w:cs="Arial"/>
          <w:sz w:val="20"/>
          <w:highlight w:val="white"/>
        </w:rPr>
        <w:t xml:space="preserve"> All these strains contained the enzymes involved in nitrification. We cultured the isolates in minimal media supplemented with ammonium chloride (1 g/L) and succinate (2.81 g/L). Triplicate cultures of </w:t>
      </w:r>
      <w:r w:rsidRPr="00275F80">
        <w:rPr>
          <w:rFonts w:ascii="Arial" w:hAnsi="Arial" w:cs="Arial"/>
          <w:i/>
          <w:iCs/>
          <w:sz w:val="20"/>
          <w:highlight w:val="white"/>
        </w:rPr>
        <w:t>Ax</w:t>
      </w:r>
      <w:r w:rsidRPr="00275F80">
        <w:rPr>
          <w:rFonts w:ascii="Arial" w:hAnsi="Arial" w:cs="Arial"/>
          <w:sz w:val="20"/>
          <w:highlight w:val="white"/>
        </w:rPr>
        <w:t xml:space="preserve"> (200 mL each, initial OD600 of 0.1) were incubated at 37°C and shaken at 80 rpm for 181 hrs. Samples were taken every 18 h</w:t>
      </w:r>
      <w:r w:rsidR="0030568F">
        <w:rPr>
          <w:rFonts w:ascii="Arial" w:hAnsi="Arial" w:cs="Arial"/>
          <w:sz w:val="20"/>
          <w:highlight w:val="white"/>
        </w:rPr>
        <w:t>,</w:t>
      </w:r>
      <w:r w:rsidRPr="00275F80">
        <w:rPr>
          <w:rFonts w:ascii="Arial" w:hAnsi="Arial" w:cs="Arial"/>
          <w:sz w:val="20"/>
          <w:highlight w:val="white"/>
        </w:rPr>
        <w:t xml:space="preserve"> and OD600, as well as ammonium nitrogen, nitrite, and protein concentrations, were determined</w:t>
      </w:r>
      <w:r w:rsidRPr="00275F80">
        <w:rPr>
          <w:rFonts w:ascii="Arial" w:hAnsi="Arial" w:cs="Arial"/>
          <w:color w:val="222222"/>
          <w:sz w:val="20"/>
          <w:highlight w:val="white"/>
        </w:rPr>
        <w:t xml:space="preserve">. </w:t>
      </w:r>
    </w:p>
    <w:p w14:paraId="0309A94A" w14:textId="42AE9794" w:rsidR="00D43008" w:rsidRDefault="00F83A06" w:rsidP="006D6457">
      <w:pPr>
        <w:shd w:val="clear" w:color="auto" w:fill="FFFFFF"/>
        <w:spacing w:line="480" w:lineRule="auto"/>
        <w:rPr>
          <w:rFonts w:ascii="Arial" w:hAnsi="Arial" w:cs="Arial"/>
          <w:sz w:val="20"/>
        </w:rPr>
      </w:pPr>
      <w:r w:rsidRPr="00275F80">
        <w:rPr>
          <w:rFonts w:ascii="Arial" w:hAnsi="Arial" w:cs="Arial"/>
          <w:color w:val="222222"/>
          <w:sz w:val="20"/>
          <w:highlight w:val="white"/>
        </w:rPr>
        <w:t xml:space="preserve">As shown in </w:t>
      </w:r>
      <w:r w:rsidRPr="00275F80">
        <w:rPr>
          <w:rFonts w:ascii="Arial" w:hAnsi="Arial" w:cs="Arial"/>
          <w:b/>
          <w:bCs/>
          <w:color w:val="222222"/>
          <w:sz w:val="20"/>
          <w:highlight w:val="white"/>
        </w:rPr>
        <w:t>Fig. 5A and Fig. S2</w:t>
      </w:r>
      <w:r w:rsidRPr="00275F80">
        <w:rPr>
          <w:rFonts w:ascii="Arial" w:hAnsi="Arial" w:cs="Arial"/>
          <w:color w:val="222222"/>
          <w:sz w:val="20"/>
          <w:highlight w:val="white"/>
        </w:rPr>
        <w:t xml:space="preserve">, all </w:t>
      </w:r>
      <w:r w:rsidRPr="00275F80">
        <w:rPr>
          <w:rFonts w:ascii="Arial" w:hAnsi="Arial" w:cs="Arial"/>
          <w:i/>
          <w:iCs/>
          <w:color w:val="222222"/>
          <w:sz w:val="20"/>
          <w:highlight w:val="white"/>
        </w:rPr>
        <w:t>Ax</w:t>
      </w:r>
      <w:r w:rsidRPr="00275F80">
        <w:rPr>
          <w:rFonts w:ascii="Arial" w:hAnsi="Arial" w:cs="Arial"/>
          <w:color w:val="222222"/>
          <w:sz w:val="20"/>
          <w:highlight w:val="white"/>
        </w:rPr>
        <w:t xml:space="preserve"> strains consumed NH</w:t>
      </w:r>
      <w:r w:rsidRPr="00275F80">
        <w:rPr>
          <w:rFonts w:ascii="Cambria Math" w:hAnsi="Cambria Math" w:cs="Cambria Math"/>
          <w:color w:val="222222"/>
          <w:sz w:val="20"/>
          <w:highlight w:val="white"/>
        </w:rPr>
        <w:t>₄⁺</w:t>
      </w:r>
      <w:r w:rsidRPr="00275F80">
        <w:rPr>
          <w:rFonts w:ascii="Arial" w:hAnsi="Arial" w:cs="Arial"/>
          <w:color w:val="222222"/>
          <w:sz w:val="20"/>
          <w:highlight w:val="white"/>
        </w:rPr>
        <w:t xml:space="preserve"> during the first 24 hours, which coincides with an increase in both cell density (OD</w:t>
      </w:r>
      <w:r w:rsidRPr="00275F80">
        <w:rPr>
          <w:rFonts w:ascii="Arial" w:hAnsi="Arial" w:cs="Arial"/>
          <w:color w:val="222222"/>
          <w:sz w:val="20"/>
          <w:highlight w:val="white"/>
          <w:vertAlign w:val="subscript"/>
        </w:rPr>
        <w:t>600</w:t>
      </w:r>
      <w:r w:rsidRPr="00275F80">
        <w:rPr>
          <w:rFonts w:ascii="Arial" w:hAnsi="Arial" w:cs="Arial"/>
          <w:color w:val="222222"/>
          <w:sz w:val="20"/>
          <w:highlight w:val="white"/>
        </w:rPr>
        <w:t xml:space="preserve">) and protein concentration. After 24 hours, cell density and protein production plateau, indicating the onset of the stationary phase. Notably, nitrite, a key metabolite in the nitrification process, begins accumulating after 24 hours. </w:t>
      </w:r>
      <w:r w:rsidRPr="00275F80">
        <w:rPr>
          <w:rFonts w:ascii="Arial" w:hAnsi="Arial" w:cs="Arial"/>
          <w:sz w:val="20"/>
          <w:highlight w:val="white"/>
        </w:rPr>
        <w:t xml:space="preserve">These organisms were able to initiate nitrite production (and therefore the nitrification process) just after the exponential phase. Since the stationary phase is usually related to the lack of a carbon source </w:t>
      </w:r>
      <w:r w:rsidRPr="00275F80">
        <w:rPr>
          <w:rFonts w:ascii="Arial" w:hAnsi="Arial" w:cs="Arial"/>
          <w:sz w:val="20"/>
          <w:highlight w:val="white"/>
        </w:rPr>
        <w:fldChar w:fldCharType="begin"/>
      </w:r>
      <w:r w:rsidR="002A6978">
        <w:rPr>
          <w:rFonts w:ascii="Arial" w:hAnsi="Arial" w:cs="Arial"/>
          <w:sz w:val="20"/>
          <w:highlight w:val="white"/>
        </w:rPr>
        <w:instrText xml:space="preserve"> ADDIN ZOTERO_ITEM CSL_CITATION {"citationID":"gxhFYmdg","properties":{"formattedCitation":"(8)","plainCitation":"(8)","noteIndex":0},"citationItems":[{"id":396,"uris":["http://zotero.org/users/12257494/items/9I77FNR7"],"itemData":{"id":396,"type":"article-journal","abstract":"When microbes lack the nutrients necessary for growth, they enter stationary phase. In cases when energy sources are still present in the environment, they must decide whether to continue to use their metabolic program to harvest the available energy. Here we characterized the metabolic response to a variety of types of nutrient starvation in Escherichia coli and Bacillus subtilis. We found that E. coli exhibits a range of phenotypes, with the lowest metabolic rates under nitrogen starvation and highest rates under magnesium starvation. In contrast, the phenotype of B. subtilis was dominated by its decision to form metabolically inactive endospores. While its metabolic rates under most conditions were thus lower than those of E. coli, when sporulation was suppressed by a genetic perturbation or an unnatural starvation condition, the situation was reversed. To further probe stationary-phase metabolism, we used quantitative metabolomics to investigate possible small-molecule signals that may regulate the metabolic rate of E. coli and initiate sporulation in B. subtilis. We hypothesize a role for phosphoenolpyruvate (PEP) in regulating E. coli glucose uptake and for the redox cofactors NAD(H) and NADP(H) in initiation of sporulation. Our work is directly relevant to synthetic biology and metabolic engineering, where active metabolism during stationary phase, which uncouples production from growth, remains an elusive goal.","container-title":"Applied and Environmental Microbiology","DOI":"10.1128/AEM.00061-14","issue":"9","note":"publisher: American Society for Microbiology","page":"2901-2909","source":"journals.asm.org (Atypon)","title":"Environmental Dependence of Stationary-Phase Metabolism in Bacillus subtilis and Escherichia coli","volume":"80","author":[{"family":"Chubukov","given":"Victor"},{"family":"Sauer","given":"Uwe"}],"issued":{"date-parts":[["2014",5]]}}}],"schema":"https://github.com/citation-style-language/schema/raw/master/csl-citation.json"} </w:instrText>
      </w:r>
      <w:r w:rsidRPr="00275F80">
        <w:rPr>
          <w:rFonts w:ascii="Arial" w:hAnsi="Arial" w:cs="Arial"/>
          <w:sz w:val="20"/>
          <w:highlight w:val="white"/>
        </w:rPr>
        <w:fldChar w:fldCharType="separate"/>
      </w:r>
      <w:r w:rsidR="002A6978" w:rsidRPr="002A6978">
        <w:rPr>
          <w:rFonts w:ascii="Arial" w:hAnsi="Arial" w:cs="Arial"/>
          <w:sz w:val="20"/>
        </w:rPr>
        <w:t>(8)</w:t>
      </w:r>
      <w:r w:rsidRPr="00275F80">
        <w:rPr>
          <w:rFonts w:ascii="Arial" w:hAnsi="Arial" w:cs="Arial"/>
          <w:sz w:val="20"/>
          <w:highlight w:val="white"/>
        </w:rPr>
        <w:fldChar w:fldCharType="end"/>
      </w:r>
      <w:r w:rsidRPr="00275F80">
        <w:rPr>
          <w:rFonts w:ascii="Arial" w:hAnsi="Arial" w:cs="Arial"/>
          <w:sz w:val="20"/>
          <w:highlight w:val="white"/>
        </w:rPr>
        <w:t>, we suggest that nitrification is active when the concentration of succinate is limited, which agrees with the simulation results (</w:t>
      </w:r>
      <w:r w:rsidRPr="00275F80">
        <w:rPr>
          <w:rFonts w:ascii="Arial" w:hAnsi="Arial" w:cs="Arial"/>
          <w:b/>
          <w:bCs/>
          <w:sz w:val="20"/>
          <w:highlight w:val="white"/>
        </w:rPr>
        <w:t>Fig. 4A</w:t>
      </w:r>
      <w:r w:rsidRPr="00275F80">
        <w:rPr>
          <w:rFonts w:ascii="Arial" w:hAnsi="Arial" w:cs="Arial"/>
          <w:sz w:val="20"/>
          <w:highlight w:val="white"/>
        </w:rPr>
        <w:t>). Hence, we were able to link the nitrification with the availability of carbon in the culture medium. The simulation results may indicate a shift to an alternative energy production method via nitrification. This process allows the cell to maintain redox balance and generate ATP under carbon-limited conditions.</w:t>
      </w:r>
    </w:p>
    <w:p w14:paraId="2F5AC8DC" w14:textId="627943AE" w:rsidR="00F83A06" w:rsidRPr="00D43008" w:rsidRDefault="00F83A06" w:rsidP="003073E1">
      <w:pPr>
        <w:shd w:val="clear" w:color="auto" w:fill="FFFFFF"/>
        <w:spacing w:after="0" w:line="480" w:lineRule="auto"/>
        <w:rPr>
          <w:rFonts w:ascii="Arial" w:hAnsi="Arial" w:cs="Arial"/>
          <w:sz w:val="20"/>
          <w:highlight w:val="white"/>
        </w:rPr>
      </w:pPr>
      <w:r w:rsidRPr="009A2F31">
        <w:rPr>
          <w:rFonts w:ascii="Arial" w:hAnsi="Arial" w:cs="Arial"/>
          <w:b/>
          <w:bCs/>
          <w:color w:val="000000"/>
          <w:sz w:val="20"/>
        </w:rPr>
        <w:t>Metabolic phenotype</w:t>
      </w:r>
      <w:r>
        <w:rPr>
          <w:rFonts w:ascii="Arial" w:hAnsi="Arial" w:cs="Arial"/>
          <w:b/>
          <w:bCs/>
          <w:color w:val="000000"/>
          <w:sz w:val="20"/>
        </w:rPr>
        <w:t xml:space="preserve"> predicted by </w:t>
      </w:r>
      <w:r>
        <w:rPr>
          <w:rFonts w:ascii="Arial" w:hAnsi="Arial" w:cs="Arial"/>
          <w:b/>
          <w:bCs/>
          <w:i/>
          <w:iCs/>
          <w:color w:val="000000"/>
          <w:sz w:val="20"/>
        </w:rPr>
        <w:t>i</w:t>
      </w:r>
      <w:r>
        <w:rPr>
          <w:rFonts w:ascii="Arial" w:hAnsi="Arial" w:cs="Arial"/>
          <w:b/>
          <w:bCs/>
          <w:color w:val="000000"/>
          <w:sz w:val="20"/>
        </w:rPr>
        <w:t>GC1310</w:t>
      </w:r>
      <w:r w:rsidRPr="009A2F31">
        <w:rPr>
          <w:rFonts w:ascii="Arial" w:hAnsi="Arial" w:cs="Arial"/>
          <w:b/>
          <w:bCs/>
          <w:color w:val="000000"/>
          <w:sz w:val="20"/>
        </w:rPr>
        <w:t xml:space="preserve"> using acetoacetate as </w:t>
      </w:r>
      <w:r w:rsidR="0030568F">
        <w:rPr>
          <w:rFonts w:ascii="Arial" w:hAnsi="Arial" w:cs="Arial"/>
          <w:b/>
          <w:bCs/>
          <w:color w:val="000000"/>
          <w:sz w:val="20"/>
        </w:rPr>
        <w:t xml:space="preserve">the </w:t>
      </w:r>
      <w:r w:rsidRPr="009A2F31">
        <w:rPr>
          <w:rFonts w:ascii="Arial" w:hAnsi="Arial" w:cs="Arial"/>
          <w:b/>
          <w:bCs/>
          <w:color w:val="000000"/>
          <w:sz w:val="20"/>
        </w:rPr>
        <w:t>sole carbon source</w:t>
      </w:r>
    </w:p>
    <w:p w14:paraId="48D87F4E" w14:textId="77777777" w:rsidR="00F83A06" w:rsidRPr="00DA728B" w:rsidRDefault="00F83A06" w:rsidP="003073E1">
      <w:pPr>
        <w:keepNext/>
        <w:pBdr>
          <w:top w:val="nil"/>
          <w:left w:val="nil"/>
          <w:bottom w:val="nil"/>
          <w:right w:val="nil"/>
          <w:between w:val="nil"/>
        </w:pBdr>
        <w:spacing w:before="240" w:after="0" w:line="480" w:lineRule="auto"/>
        <w:contextualSpacing/>
        <w:jc w:val="both"/>
        <w:rPr>
          <w:rFonts w:ascii="Arial" w:hAnsi="Arial" w:cs="Arial"/>
          <w:color w:val="000000"/>
          <w:sz w:val="20"/>
        </w:rPr>
      </w:pPr>
      <w:r w:rsidRPr="00DA728B">
        <w:rPr>
          <w:rFonts w:ascii="Arial" w:hAnsi="Arial" w:cs="Arial"/>
          <w:color w:val="000000"/>
          <w:sz w:val="20"/>
        </w:rPr>
        <w:t xml:space="preserve">We simulated growth using the </w:t>
      </w:r>
      <w:r w:rsidRPr="00DA728B">
        <w:rPr>
          <w:rFonts w:ascii="Arial" w:hAnsi="Arial" w:cs="Arial"/>
          <w:i/>
          <w:iCs/>
          <w:color w:val="000000"/>
          <w:sz w:val="20"/>
        </w:rPr>
        <w:t>i</w:t>
      </w:r>
      <w:r w:rsidRPr="00DA728B">
        <w:rPr>
          <w:rFonts w:ascii="Arial" w:hAnsi="Arial" w:cs="Arial"/>
          <w:color w:val="000000"/>
          <w:sz w:val="20"/>
        </w:rPr>
        <w:t>GC1310 model in minimal medium with ammonium as the nitrogen source and a fixed carbon (succinate or acetoacetate) uptake (5 mmol/</w:t>
      </w:r>
      <w:proofErr w:type="spellStart"/>
      <w:r w:rsidRPr="00DA728B">
        <w:rPr>
          <w:rFonts w:ascii="Arial" w:hAnsi="Arial" w:cs="Arial"/>
          <w:color w:val="000000"/>
          <w:sz w:val="20"/>
        </w:rPr>
        <w:t>gDW</w:t>
      </w:r>
      <w:proofErr w:type="spellEnd"/>
      <w:r w:rsidRPr="00DA728B">
        <w:rPr>
          <w:rFonts w:ascii="Arial" w:hAnsi="Arial" w:cs="Arial"/>
          <w:color w:val="000000"/>
          <w:sz w:val="20"/>
        </w:rPr>
        <w:t>/h). When the model consumed acetoacetate instead of succinate, fluxes through ketone-body utilization reactions (</w:t>
      </w:r>
      <w:proofErr w:type="spellStart"/>
      <w:r w:rsidRPr="00DA728B">
        <w:rPr>
          <w:rFonts w:ascii="Arial" w:hAnsi="Arial" w:cs="Arial"/>
          <w:color w:val="000000"/>
          <w:sz w:val="20"/>
        </w:rPr>
        <w:t>acetoacetyl</w:t>
      </w:r>
      <w:proofErr w:type="spellEnd"/>
      <w:r w:rsidRPr="00DA728B">
        <w:rPr>
          <w:rFonts w:ascii="Arial" w:hAnsi="Arial" w:cs="Arial"/>
          <w:color w:val="000000"/>
          <w:sz w:val="20"/>
        </w:rPr>
        <w:t>-CoA transferase and Acetyl-CoA C-acetyltransferase) and the glyoxylate shunt (isocitrate lyase and malate synthase) increased (</w:t>
      </w:r>
      <w:r w:rsidRPr="00DA728B">
        <w:rPr>
          <w:rFonts w:ascii="Arial" w:hAnsi="Arial" w:cs="Arial"/>
          <w:b/>
          <w:bCs/>
          <w:color w:val="000000"/>
          <w:sz w:val="20"/>
        </w:rPr>
        <w:t>Fig. S3</w:t>
      </w:r>
      <w:r w:rsidRPr="00DA728B">
        <w:rPr>
          <w:rFonts w:ascii="Arial" w:hAnsi="Arial" w:cs="Arial"/>
          <w:color w:val="000000"/>
          <w:sz w:val="20"/>
        </w:rPr>
        <w:t xml:space="preserve">). In this pathway, acetoacetate (a C4 ketone body) is first converted to </w:t>
      </w:r>
      <w:proofErr w:type="spellStart"/>
      <w:r w:rsidRPr="00DA728B">
        <w:rPr>
          <w:rFonts w:ascii="Arial" w:hAnsi="Arial" w:cs="Arial"/>
          <w:color w:val="000000"/>
          <w:sz w:val="20"/>
        </w:rPr>
        <w:t>acetoacetyl</w:t>
      </w:r>
      <w:proofErr w:type="spellEnd"/>
      <w:r w:rsidRPr="00DA728B">
        <w:rPr>
          <w:rFonts w:ascii="Arial" w:hAnsi="Arial" w:cs="Arial"/>
          <w:color w:val="000000"/>
          <w:sz w:val="20"/>
        </w:rPr>
        <w:t xml:space="preserve">-CoA, which is then split into two acetyl-CoA molecules (C2 unit). Since acetyl-CoA is now utilized as the carbon source, the glyoxylate shunt must be </w:t>
      </w:r>
      <w:r w:rsidRPr="00DA728B">
        <w:rPr>
          <w:rFonts w:ascii="Arial" w:hAnsi="Arial" w:cs="Arial"/>
          <w:color w:val="000000"/>
          <w:sz w:val="20"/>
        </w:rPr>
        <w:lastRenderedPageBreak/>
        <w:t>activated to prevent the complete oxidation of acetyl-CoA to CO</w:t>
      </w:r>
      <w:r w:rsidRPr="00DA728B">
        <w:rPr>
          <w:rFonts w:ascii="Arial" w:hAnsi="Arial" w:cs="Arial"/>
          <w:color w:val="000000"/>
          <w:sz w:val="20"/>
          <w:vertAlign w:val="subscript"/>
        </w:rPr>
        <w:t xml:space="preserve">2 </w:t>
      </w:r>
      <w:r w:rsidRPr="00DA728B">
        <w:rPr>
          <w:rFonts w:ascii="Arial" w:hAnsi="Arial" w:cs="Arial"/>
          <w:color w:val="000000"/>
          <w:sz w:val="20"/>
        </w:rPr>
        <w:t xml:space="preserve">in the TCA cycle. In this way, </w:t>
      </w:r>
      <w:r w:rsidRPr="00DA728B">
        <w:rPr>
          <w:rFonts w:ascii="Arial" w:hAnsi="Arial" w:cs="Arial"/>
          <w:i/>
          <w:iCs/>
          <w:color w:val="000000"/>
          <w:sz w:val="20"/>
        </w:rPr>
        <w:t>Ax</w:t>
      </w:r>
      <w:r w:rsidRPr="00DA728B">
        <w:rPr>
          <w:rFonts w:ascii="Arial" w:hAnsi="Arial" w:cs="Arial"/>
          <w:color w:val="000000"/>
          <w:sz w:val="20"/>
        </w:rPr>
        <w:t xml:space="preserve"> can conserve carbon skeletons for biosynthetic needs and effectively exploit the acetoacetate generated by microbiome biofilms.</w:t>
      </w:r>
    </w:p>
    <w:p w14:paraId="3498B5F1" w14:textId="77777777" w:rsidR="00F83A06" w:rsidRPr="00275F80" w:rsidRDefault="00F83A06" w:rsidP="006D6457">
      <w:pPr>
        <w:shd w:val="clear" w:color="auto" w:fill="FFFFFF"/>
        <w:spacing w:line="480" w:lineRule="auto"/>
        <w:rPr>
          <w:rFonts w:ascii="Arial" w:hAnsi="Arial" w:cs="Arial"/>
          <w:sz w:val="20"/>
          <w:highlight w:val="white"/>
        </w:rPr>
      </w:pPr>
      <w:r w:rsidRPr="00275F80">
        <w:rPr>
          <w:rFonts w:ascii="Arial" w:hAnsi="Arial" w:cs="Arial"/>
          <w:sz w:val="20"/>
          <w:highlight w:val="white"/>
        </w:rPr>
        <w:br w:type="page"/>
      </w:r>
    </w:p>
    <w:p w14:paraId="6188B9E3" w14:textId="77777777" w:rsidR="00F83A06" w:rsidRPr="00275F80" w:rsidRDefault="00F83A06" w:rsidP="006D6457">
      <w:pPr>
        <w:pStyle w:val="SMHeading"/>
        <w:spacing w:line="480" w:lineRule="auto"/>
        <w:rPr>
          <w:rFonts w:ascii="Arial" w:hAnsi="Arial" w:cs="Arial"/>
          <w:sz w:val="20"/>
          <w:szCs w:val="20"/>
        </w:rPr>
      </w:pPr>
      <w:r w:rsidRPr="00275F80">
        <w:rPr>
          <w:rFonts w:ascii="Arial" w:hAnsi="Arial" w:cs="Arial"/>
          <w:sz w:val="20"/>
          <w:szCs w:val="20"/>
        </w:rPr>
        <w:lastRenderedPageBreak/>
        <w:t>Figures</w:t>
      </w:r>
    </w:p>
    <w:p w14:paraId="5550236A" w14:textId="77777777" w:rsidR="00F83A06" w:rsidRPr="00275F80" w:rsidRDefault="00F83A06" w:rsidP="006D6457">
      <w:pPr>
        <w:spacing w:line="480" w:lineRule="auto"/>
        <w:rPr>
          <w:rFonts w:ascii="Arial" w:hAnsi="Arial" w:cs="Arial"/>
          <w:sz w:val="20"/>
        </w:rPr>
      </w:pPr>
      <w:r w:rsidRPr="00275F80">
        <w:rPr>
          <w:rFonts w:ascii="Arial" w:hAnsi="Arial" w:cs="Arial"/>
          <w:noProof/>
          <w:sz w:val="20"/>
        </w:rPr>
        <w:drawing>
          <wp:inline distT="0" distB="0" distL="0" distR="0" wp14:anchorId="3A4CCADF" wp14:editId="00B8D00E">
            <wp:extent cx="5486400" cy="42572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4257235"/>
                    </a:xfrm>
                    <a:prstGeom prst="rect">
                      <a:avLst/>
                    </a:prstGeom>
                  </pic:spPr>
                </pic:pic>
              </a:graphicData>
            </a:graphic>
          </wp:inline>
        </w:drawing>
      </w:r>
    </w:p>
    <w:p w14:paraId="7E6B6D33" w14:textId="77777777" w:rsidR="00F83A06" w:rsidRPr="00275F80" w:rsidRDefault="00F83A06" w:rsidP="006D6457">
      <w:pPr>
        <w:pStyle w:val="SMHeading"/>
        <w:spacing w:line="480" w:lineRule="auto"/>
        <w:rPr>
          <w:rFonts w:ascii="Arial" w:hAnsi="Arial" w:cs="Arial"/>
          <w:sz w:val="20"/>
          <w:szCs w:val="20"/>
        </w:rPr>
      </w:pPr>
      <w:r w:rsidRPr="00275F80">
        <w:rPr>
          <w:rFonts w:ascii="Arial" w:hAnsi="Arial" w:cs="Arial"/>
          <w:sz w:val="20"/>
          <w:szCs w:val="20"/>
        </w:rPr>
        <w:t>Fig. S1. Comparative analysis of properties for the Ax models.</w:t>
      </w:r>
    </w:p>
    <w:p w14:paraId="6633E7B7" w14:textId="1E65F8C0" w:rsidR="00F83A06" w:rsidRPr="00275F80" w:rsidRDefault="00F83A06" w:rsidP="006D6457">
      <w:pPr>
        <w:spacing w:line="480" w:lineRule="auto"/>
        <w:rPr>
          <w:rFonts w:ascii="Arial" w:hAnsi="Arial" w:cs="Arial"/>
          <w:sz w:val="20"/>
        </w:rPr>
      </w:pPr>
      <w:proofErr w:type="spellStart"/>
      <w:r w:rsidRPr="00275F80">
        <w:rPr>
          <w:rFonts w:ascii="Arial" w:hAnsi="Arial" w:cs="Arial"/>
          <w:sz w:val="20"/>
        </w:rPr>
        <w:t>CarveME</w:t>
      </w:r>
      <w:proofErr w:type="spellEnd"/>
      <w:r w:rsidRPr="00275F80">
        <w:rPr>
          <w:rFonts w:ascii="Arial" w:hAnsi="Arial" w:cs="Arial"/>
          <w:sz w:val="20"/>
        </w:rPr>
        <w:t xml:space="preserve"> and </w:t>
      </w:r>
      <w:proofErr w:type="spellStart"/>
      <w:r w:rsidRPr="00275F80">
        <w:rPr>
          <w:rFonts w:ascii="Arial" w:hAnsi="Arial" w:cs="Arial"/>
          <w:sz w:val="20"/>
        </w:rPr>
        <w:t>ModelSEED</w:t>
      </w:r>
      <w:proofErr w:type="spellEnd"/>
      <w:r w:rsidRPr="00275F80">
        <w:rPr>
          <w:rFonts w:ascii="Arial" w:hAnsi="Arial" w:cs="Arial"/>
          <w:sz w:val="20"/>
        </w:rPr>
        <w:t xml:space="preserve"> models were reconstructed using the gap-filling and M9 medium options to ensure growth on minimal medium. A) Benchmarking of phenotypic growth simulations by all </w:t>
      </w:r>
      <w:r w:rsidRPr="00275F80">
        <w:rPr>
          <w:rFonts w:ascii="Arial" w:hAnsi="Arial" w:cs="Arial"/>
          <w:i/>
          <w:iCs/>
          <w:sz w:val="20"/>
        </w:rPr>
        <w:t xml:space="preserve">Ax </w:t>
      </w:r>
      <w:r w:rsidRPr="00275F80">
        <w:rPr>
          <w:rFonts w:ascii="Arial" w:hAnsi="Arial" w:cs="Arial"/>
          <w:sz w:val="20"/>
        </w:rPr>
        <w:t xml:space="preserve">models, showing exceptional performance of </w:t>
      </w:r>
      <w:r w:rsidRPr="00275F80">
        <w:rPr>
          <w:rFonts w:ascii="Arial" w:hAnsi="Arial" w:cs="Arial"/>
          <w:i/>
          <w:iCs/>
          <w:sz w:val="20"/>
        </w:rPr>
        <w:t>i</w:t>
      </w:r>
      <w:r w:rsidRPr="00275F80">
        <w:rPr>
          <w:rFonts w:ascii="Arial" w:hAnsi="Arial" w:cs="Arial"/>
          <w:sz w:val="20"/>
        </w:rPr>
        <w:t>GC1310 over automatically reconstructed models. B) Identification of energy-generating cycles (EGCs) for key energy metabolites (ATP, CTP, GTP, UTP, ITP, NADH, NADPH, flavin adenine dinucleotide (FADH</w:t>
      </w:r>
      <w:r w:rsidRPr="00275F80">
        <w:rPr>
          <w:rFonts w:ascii="Cambria Math" w:hAnsi="Cambria Math" w:cs="Cambria Math"/>
          <w:sz w:val="20"/>
        </w:rPr>
        <w:t>₂</w:t>
      </w:r>
      <w:r w:rsidRPr="00275F80">
        <w:rPr>
          <w:rFonts w:ascii="Arial" w:hAnsi="Arial" w:cs="Arial"/>
          <w:sz w:val="20"/>
        </w:rPr>
        <w:t>), flavin mononucleotide (ACCOA), L-glutamate (GLU), and proton exchange between periplasm and cytosol (H</w:t>
      </w:r>
      <w:r w:rsidRPr="00275F80">
        <w:rPr>
          <w:rFonts w:ascii="Cambria Math" w:hAnsi="Cambria Math" w:cs="Cambria Math"/>
          <w:sz w:val="20"/>
        </w:rPr>
        <w:t>⁺</w:t>
      </w:r>
      <w:r w:rsidRPr="00275F80">
        <w:rPr>
          <w:rFonts w:ascii="Arial" w:hAnsi="Arial" w:cs="Arial"/>
          <w:sz w:val="20"/>
        </w:rPr>
        <w:t xml:space="preserve">)) in </w:t>
      </w:r>
      <w:r w:rsidRPr="00275F80">
        <w:rPr>
          <w:rFonts w:ascii="Arial" w:hAnsi="Arial" w:cs="Arial"/>
          <w:i/>
          <w:iCs/>
          <w:sz w:val="20"/>
        </w:rPr>
        <w:t>Ax</w:t>
      </w:r>
      <w:r w:rsidRPr="00275F80">
        <w:rPr>
          <w:rFonts w:ascii="Arial" w:hAnsi="Arial" w:cs="Arial"/>
          <w:sz w:val="20"/>
        </w:rPr>
        <w:t xml:space="preserve"> models. Dissipation reactions for each metabolite were added to all models, and EGC formation was assessed following the protocol of </w:t>
      </w:r>
      <w:proofErr w:type="spellStart"/>
      <w:r w:rsidRPr="00275F80">
        <w:rPr>
          <w:rFonts w:ascii="Arial" w:hAnsi="Arial" w:cs="Arial"/>
          <w:sz w:val="20"/>
        </w:rPr>
        <w:t>Fritzemeier</w:t>
      </w:r>
      <w:proofErr w:type="spellEnd"/>
      <w:r w:rsidRPr="00275F80">
        <w:rPr>
          <w:rFonts w:ascii="Arial" w:hAnsi="Arial" w:cs="Arial"/>
          <w:sz w:val="20"/>
        </w:rPr>
        <w:t xml:space="preserve"> and colle</w:t>
      </w:r>
      <w:r w:rsidR="0030568F">
        <w:rPr>
          <w:rFonts w:ascii="Arial" w:hAnsi="Arial" w:cs="Arial"/>
          <w:sz w:val="20"/>
        </w:rPr>
        <w:t>a</w:t>
      </w:r>
      <w:r w:rsidRPr="00275F80">
        <w:rPr>
          <w:rFonts w:ascii="Arial" w:hAnsi="Arial" w:cs="Arial"/>
          <w:sz w:val="20"/>
        </w:rPr>
        <w:t xml:space="preserve">gues (2017) </w:t>
      </w:r>
      <w:hyperlink r:id="rId10">
        <w:r w:rsidRPr="00275F80">
          <w:rPr>
            <w:rStyle w:val="Hyperlink"/>
            <w:rFonts w:ascii="Arial" w:hAnsi="Arial" w:cs="Arial"/>
            <w:sz w:val="20"/>
          </w:rPr>
          <w:t>(30)</w:t>
        </w:r>
      </w:hyperlink>
      <w:r w:rsidRPr="00275F80">
        <w:rPr>
          <w:rFonts w:ascii="Arial" w:hAnsi="Arial" w:cs="Arial"/>
          <w:sz w:val="20"/>
        </w:rPr>
        <w:t xml:space="preserve">. Purple indicates the absence of EGCs for a specific metabolite, while pink indicates the presence of EGC generation. </w:t>
      </w:r>
      <w:r w:rsidRPr="00275F80">
        <w:rPr>
          <w:rFonts w:ascii="Arial" w:hAnsi="Arial" w:cs="Arial"/>
          <w:sz w:val="20"/>
        </w:rPr>
        <w:br w:type="page"/>
      </w:r>
    </w:p>
    <w:p w14:paraId="704D53C9" w14:textId="77777777" w:rsidR="00F83A06" w:rsidRPr="00275F80" w:rsidRDefault="00F83A06" w:rsidP="006D6457">
      <w:pPr>
        <w:spacing w:line="480" w:lineRule="auto"/>
        <w:rPr>
          <w:rFonts w:ascii="Arial" w:hAnsi="Arial" w:cs="Arial"/>
          <w:sz w:val="20"/>
        </w:rPr>
      </w:pPr>
      <w:r w:rsidRPr="00275F80">
        <w:rPr>
          <w:rFonts w:ascii="Arial" w:hAnsi="Arial" w:cs="Arial"/>
          <w:b/>
          <w:bCs/>
          <w:noProof/>
          <w:sz w:val="20"/>
        </w:rPr>
        <w:lastRenderedPageBreak/>
        <w:drawing>
          <wp:inline distT="0" distB="0" distL="0" distR="0" wp14:anchorId="0539199D" wp14:editId="702424AE">
            <wp:extent cx="4780429" cy="5860111"/>
            <wp:effectExtent l="0" t="0" r="127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84301" cy="5864857"/>
                    </a:xfrm>
                    <a:prstGeom prst="rect">
                      <a:avLst/>
                    </a:prstGeom>
                  </pic:spPr>
                </pic:pic>
              </a:graphicData>
            </a:graphic>
          </wp:inline>
        </w:drawing>
      </w:r>
    </w:p>
    <w:p w14:paraId="61942CF8" w14:textId="77777777" w:rsidR="00F83A06" w:rsidRPr="00275F80" w:rsidRDefault="00F83A06" w:rsidP="006D6457">
      <w:pPr>
        <w:pStyle w:val="SMHeading"/>
        <w:spacing w:line="480" w:lineRule="auto"/>
        <w:rPr>
          <w:rFonts w:ascii="Arial" w:hAnsi="Arial" w:cs="Arial"/>
          <w:b w:val="0"/>
          <w:bCs w:val="0"/>
          <w:sz w:val="20"/>
          <w:szCs w:val="20"/>
        </w:rPr>
      </w:pPr>
      <w:r w:rsidRPr="00275F80">
        <w:rPr>
          <w:rFonts w:ascii="Arial" w:hAnsi="Arial" w:cs="Arial"/>
          <w:sz w:val="20"/>
          <w:szCs w:val="20"/>
        </w:rPr>
        <w:t xml:space="preserve">Fig. S2. </w:t>
      </w:r>
      <w:r w:rsidRPr="00275F80">
        <w:rPr>
          <w:rFonts w:ascii="Arial" w:hAnsi="Arial" w:cs="Arial"/>
          <w:b w:val="0"/>
          <w:bCs w:val="0"/>
          <w:sz w:val="20"/>
          <w:szCs w:val="20"/>
        </w:rPr>
        <w:t xml:space="preserve">Kinetic curves of </w:t>
      </w:r>
      <w:r w:rsidRPr="00275F80">
        <w:rPr>
          <w:rFonts w:ascii="Arial" w:hAnsi="Arial" w:cs="Arial"/>
          <w:b w:val="0"/>
          <w:bCs w:val="0"/>
          <w:i/>
          <w:iCs/>
          <w:sz w:val="20"/>
          <w:szCs w:val="20"/>
        </w:rPr>
        <w:t>A. xylosoxidans</w:t>
      </w:r>
      <w:r w:rsidRPr="00275F80">
        <w:rPr>
          <w:rFonts w:ascii="Arial" w:hAnsi="Arial" w:cs="Arial"/>
          <w:b w:val="0"/>
          <w:bCs w:val="0"/>
          <w:sz w:val="20"/>
          <w:szCs w:val="20"/>
        </w:rPr>
        <w:t xml:space="preserve"> strains.</w:t>
      </w:r>
      <w:r w:rsidRPr="00275F80">
        <w:rPr>
          <w:rFonts w:ascii="Arial" w:hAnsi="Arial" w:cs="Arial"/>
          <w:b w:val="0"/>
          <w:bCs w:val="0"/>
          <w:i/>
          <w:iCs/>
          <w:sz w:val="20"/>
          <w:szCs w:val="20"/>
        </w:rPr>
        <w:t xml:space="preserve"> </w:t>
      </w:r>
      <w:r w:rsidRPr="00275F80">
        <w:rPr>
          <w:rFonts w:ascii="Arial" w:hAnsi="Arial" w:cs="Arial"/>
          <w:b w:val="0"/>
          <w:bCs w:val="0"/>
          <w:sz w:val="20"/>
          <w:szCs w:val="20"/>
        </w:rPr>
        <w:t xml:space="preserve">A) Kinetic curves of G1324 strain. (B) Kinetic curves </w:t>
      </w:r>
      <w:proofErr w:type="gramStart"/>
      <w:r w:rsidRPr="00275F80">
        <w:rPr>
          <w:rFonts w:ascii="Arial" w:hAnsi="Arial" w:cs="Arial"/>
          <w:b w:val="0"/>
          <w:bCs w:val="0"/>
          <w:sz w:val="20"/>
          <w:szCs w:val="20"/>
        </w:rPr>
        <w:t>of  G</w:t>
      </w:r>
      <w:proofErr w:type="gramEnd"/>
      <w:r w:rsidRPr="00275F80">
        <w:rPr>
          <w:rFonts w:ascii="Arial" w:hAnsi="Arial" w:cs="Arial"/>
          <w:b w:val="0"/>
          <w:bCs w:val="0"/>
          <w:sz w:val="20"/>
          <w:szCs w:val="20"/>
        </w:rPr>
        <w:t>1394 strains. Both strains were cultured in minimal media supplemented with ammonium chloride (NH4Cl) and succinate.</w:t>
      </w:r>
      <w:r w:rsidRPr="00275F80">
        <w:rPr>
          <w:rFonts w:ascii="Arial" w:hAnsi="Arial" w:cs="Arial"/>
          <w:b w:val="0"/>
          <w:bCs w:val="0"/>
          <w:sz w:val="20"/>
          <w:szCs w:val="20"/>
        </w:rPr>
        <w:br w:type="page"/>
      </w:r>
    </w:p>
    <w:p w14:paraId="0C8E161D" w14:textId="77777777" w:rsidR="00F83A06" w:rsidRPr="00275F80" w:rsidRDefault="00F83A06" w:rsidP="006D6457">
      <w:pPr>
        <w:pStyle w:val="Caption"/>
        <w:spacing w:line="480" w:lineRule="auto"/>
        <w:rPr>
          <w:rFonts w:ascii="Arial" w:hAnsi="Arial" w:cs="Arial"/>
        </w:rPr>
      </w:pPr>
      <w:r w:rsidRPr="00275F80">
        <w:rPr>
          <w:rFonts w:ascii="Arial" w:hAnsi="Arial" w:cs="Arial"/>
          <w:b w:val="0"/>
          <w:bCs w:val="0"/>
          <w:noProof/>
        </w:rPr>
        <w:lastRenderedPageBreak/>
        <w:drawing>
          <wp:inline distT="0" distB="0" distL="0" distR="0" wp14:anchorId="418816BE" wp14:editId="3FA5835D">
            <wp:extent cx="5486400" cy="44078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4407877"/>
                    </a:xfrm>
                    <a:prstGeom prst="rect">
                      <a:avLst/>
                    </a:prstGeom>
                  </pic:spPr>
                </pic:pic>
              </a:graphicData>
            </a:graphic>
          </wp:inline>
        </w:drawing>
      </w:r>
    </w:p>
    <w:p w14:paraId="41F31F37" w14:textId="77777777" w:rsidR="00F83A06" w:rsidRPr="00275F80" w:rsidRDefault="00F83A06" w:rsidP="006D6457">
      <w:pPr>
        <w:pStyle w:val="Caption"/>
        <w:spacing w:line="480" w:lineRule="auto"/>
        <w:rPr>
          <w:rFonts w:ascii="Arial" w:hAnsi="Arial" w:cs="Arial"/>
          <w:b w:val="0"/>
          <w:bCs w:val="0"/>
          <w:lang w:val="en"/>
        </w:rPr>
      </w:pPr>
      <w:r w:rsidRPr="00275F80">
        <w:rPr>
          <w:rFonts w:ascii="Arial" w:hAnsi="Arial" w:cs="Arial"/>
        </w:rPr>
        <w:t xml:space="preserve">Fig. S3. Distribution of metabolic fluxes using acetoacetate or succinate as carbon sources. </w:t>
      </w:r>
      <w:r w:rsidRPr="00275F80">
        <w:rPr>
          <w:rFonts w:ascii="Arial" w:hAnsi="Arial" w:cs="Arial"/>
          <w:b w:val="0"/>
          <w:bCs w:val="0"/>
          <w:lang w:val="en"/>
        </w:rPr>
        <w:t>Ammonium was used as a nitrogen source for both simulations. Uptake fluxes for both the carbon and nitrogen sources were set at 5 mmol/</w:t>
      </w:r>
      <w:proofErr w:type="spellStart"/>
      <w:r w:rsidRPr="00275F80">
        <w:rPr>
          <w:rFonts w:ascii="Arial" w:hAnsi="Arial" w:cs="Arial"/>
          <w:b w:val="0"/>
          <w:bCs w:val="0"/>
          <w:lang w:val="en"/>
        </w:rPr>
        <w:t>gDW</w:t>
      </w:r>
      <w:proofErr w:type="spellEnd"/>
      <w:r w:rsidRPr="00275F80">
        <w:rPr>
          <w:rFonts w:ascii="Arial" w:hAnsi="Arial" w:cs="Arial"/>
          <w:b w:val="0"/>
          <w:bCs w:val="0"/>
          <w:lang w:val="en"/>
        </w:rPr>
        <w:t xml:space="preserve">/h. Abbreviations: ACAC2pp, acetoacetate transport via proton symport  (periplasm); </w:t>
      </w:r>
      <w:proofErr w:type="spellStart"/>
      <w:r w:rsidRPr="00275F80">
        <w:rPr>
          <w:rFonts w:ascii="Arial" w:hAnsi="Arial" w:cs="Arial"/>
          <w:b w:val="0"/>
          <w:bCs w:val="0"/>
          <w:lang w:val="en"/>
        </w:rPr>
        <w:t>ACACtex</w:t>
      </w:r>
      <w:proofErr w:type="spellEnd"/>
      <w:r w:rsidRPr="00275F80">
        <w:rPr>
          <w:rFonts w:ascii="Arial" w:hAnsi="Arial" w:cs="Arial"/>
          <w:b w:val="0"/>
          <w:bCs w:val="0"/>
          <w:lang w:val="en"/>
        </w:rPr>
        <w:t xml:space="preserve">, Acetoacetate transport via diffusion (extracellular to periplasm), ACACCT, </w:t>
      </w:r>
      <w:proofErr w:type="spellStart"/>
      <w:r w:rsidRPr="00275F80">
        <w:rPr>
          <w:rFonts w:ascii="Arial" w:hAnsi="Arial" w:cs="Arial"/>
          <w:b w:val="0"/>
          <w:bCs w:val="0"/>
          <w:lang w:val="en"/>
        </w:rPr>
        <w:t>Acetyl-CoA:acetoacetyl-CoA</w:t>
      </w:r>
      <w:proofErr w:type="spellEnd"/>
      <w:r w:rsidRPr="00275F80">
        <w:rPr>
          <w:rFonts w:ascii="Arial" w:hAnsi="Arial" w:cs="Arial"/>
          <w:b w:val="0"/>
          <w:bCs w:val="0"/>
          <w:lang w:val="en"/>
        </w:rPr>
        <w:t xml:space="preserve"> transferase; </w:t>
      </w:r>
      <w:proofErr w:type="spellStart"/>
      <w:r w:rsidRPr="00275F80">
        <w:rPr>
          <w:rFonts w:ascii="Arial" w:hAnsi="Arial" w:cs="Arial"/>
          <w:b w:val="0"/>
          <w:bCs w:val="0"/>
          <w:lang w:val="en"/>
        </w:rPr>
        <w:t>EX_acac_e</w:t>
      </w:r>
      <w:proofErr w:type="spellEnd"/>
      <w:r w:rsidRPr="00275F80">
        <w:rPr>
          <w:rFonts w:ascii="Arial" w:hAnsi="Arial" w:cs="Arial"/>
          <w:b w:val="0"/>
          <w:bCs w:val="0"/>
          <w:lang w:val="en"/>
        </w:rPr>
        <w:t xml:space="preserve">, Acetoacetate exchange; PPS, Phosphoenolpyruvate synthase; ICL, Isocitrate lyase; MALS, Malate synthase; PFL, Pyruvate </w:t>
      </w:r>
      <w:proofErr w:type="spellStart"/>
      <w:r w:rsidRPr="00275F80">
        <w:rPr>
          <w:rFonts w:ascii="Arial" w:hAnsi="Arial" w:cs="Arial"/>
          <w:b w:val="0"/>
          <w:bCs w:val="0"/>
          <w:lang w:val="en"/>
        </w:rPr>
        <w:t>formate</w:t>
      </w:r>
      <w:proofErr w:type="spellEnd"/>
      <w:r w:rsidRPr="00275F80">
        <w:rPr>
          <w:rFonts w:ascii="Arial" w:hAnsi="Arial" w:cs="Arial"/>
          <w:b w:val="0"/>
          <w:bCs w:val="0"/>
          <w:lang w:val="en"/>
        </w:rPr>
        <w:t xml:space="preserve"> lyase; GART, N1-(5-phospho-beta-D-ribosyl)glycinamide ligase (ADP-forming); ACACT1r, Acetyl-CoA C-acetyltransferase;  </w:t>
      </w:r>
      <w:proofErr w:type="spellStart"/>
      <w:r w:rsidRPr="00275F80">
        <w:rPr>
          <w:rFonts w:ascii="Arial" w:hAnsi="Arial" w:cs="Arial"/>
          <w:b w:val="0"/>
          <w:bCs w:val="0"/>
          <w:lang w:val="en"/>
        </w:rPr>
        <w:t>PTAr</w:t>
      </w:r>
      <w:proofErr w:type="spellEnd"/>
      <w:r w:rsidRPr="00275F80">
        <w:rPr>
          <w:rFonts w:ascii="Arial" w:hAnsi="Arial" w:cs="Arial"/>
          <w:b w:val="0"/>
          <w:bCs w:val="0"/>
          <w:lang w:val="en"/>
        </w:rPr>
        <w:t xml:space="preserve">,  Phosphotransacetylase; </w:t>
      </w:r>
      <w:proofErr w:type="spellStart"/>
      <w:r w:rsidRPr="00275F80">
        <w:rPr>
          <w:rFonts w:ascii="Arial" w:hAnsi="Arial" w:cs="Arial"/>
          <w:b w:val="0"/>
          <w:bCs w:val="0"/>
          <w:lang w:val="en"/>
        </w:rPr>
        <w:t>ACKr</w:t>
      </w:r>
      <w:proofErr w:type="spellEnd"/>
      <w:r w:rsidRPr="00275F80">
        <w:rPr>
          <w:rFonts w:ascii="Arial" w:hAnsi="Arial" w:cs="Arial"/>
          <w:b w:val="0"/>
          <w:bCs w:val="0"/>
          <w:lang w:val="en"/>
        </w:rPr>
        <w:t xml:space="preserve">; Acetate kinase; MTHFD, Methylenetetrahydrofolate dehydrogenase (NADP); GLYCL, Glycine Cleavage System; ME2, Malic enzyme (NADP); PPCK, Phosphoenolpyruvate </w:t>
      </w:r>
      <w:proofErr w:type="spellStart"/>
      <w:r w:rsidRPr="00275F80">
        <w:rPr>
          <w:rFonts w:ascii="Arial" w:hAnsi="Arial" w:cs="Arial"/>
          <w:b w:val="0"/>
          <w:bCs w:val="0"/>
          <w:lang w:val="en"/>
        </w:rPr>
        <w:t>carboxykinase</w:t>
      </w:r>
      <w:proofErr w:type="spellEnd"/>
      <w:r w:rsidRPr="00275F80">
        <w:rPr>
          <w:rFonts w:ascii="Arial" w:hAnsi="Arial" w:cs="Arial"/>
          <w:b w:val="0"/>
          <w:bCs w:val="0"/>
          <w:lang w:val="en"/>
        </w:rPr>
        <w:t xml:space="preserve">; </w:t>
      </w:r>
      <w:proofErr w:type="spellStart"/>
      <w:r w:rsidRPr="00275F80">
        <w:rPr>
          <w:rFonts w:ascii="Arial" w:hAnsi="Arial" w:cs="Arial"/>
          <w:b w:val="0"/>
          <w:bCs w:val="0"/>
          <w:lang w:val="en"/>
        </w:rPr>
        <w:t>EX_succ_e</w:t>
      </w:r>
      <w:proofErr w:type="spellEnd"/>
      <w:r w:rsidRPr="00275F80">
        <w:rPr>
          <w:rFonts w:ascii="Arial" w:hAnsi="Arial" w:cs="Arial"/>
          <w:b w:val="0"/>
          <w:bCs w:val="0"/>
          <w:lang w:val="en"/>
        </w:rPr>
        <w:t xml:space="preserve">, Succinate exchange; </w:t>
      </w:r>
      <w:proofErr w:type="spellStart"/>
      <w:r w:rsidRPr="00275F80">
        <w:rPr>
          <w:rFonts w:ascii="Arial" w:hAnsi="Arial" w:cs="Arial"/>
          <w:b w:val="0"/>
          <w:bCs w:val="0"/>
          <w:lang w:val="en"/>
        </w:rPr>
        <w:t>SUCCtex</w:t>
      </w:r>
      <w:proofErr w:type="spellEnd"/>
      <w:r w:rsidRPr="00275F80">
        <w:rPr>
          <w:rFonts w:ascii="Arial" w:hAnsi="Arial" w:cs="Arial"/>
          <w:b w:val="0"/>
          <w:bCs w:val="0"/>
          <w:lang w:val="en"/>
        </w:rPr>
        <w:t>, Succinate transport via diffusion (extracellular to periplasm)</w:t>
      </w:r>
      <w:r w:rsidRPr="00275F80">
        <w:rPr>
          <w:rFonts w:ascii="Arial" w:hAnsi="Arial" w:cs="Arial"/>
          <w:b w:val="0"/>
          <w:bCs w:val="0"/>
          <w:lang w:val="en"/>
        </w:rPr>
        <w:br w:type="page"/>
      </w:r>
    </w:p>
    <w:p w14:paraId="2701622A" w14:textId="77777777" w:rsidR="00F83A06" w:rsidRPr="00275F80" w:rsidRDefault="00F83A06" w:rsidP="006D6457">
      <w:pPr>
        <w:pStyle w:val="SMHeading"/>
        <w:spacing w:line="480" w:lineRule="auto"/>
        <w:rPr>
          <w:rFonts w:ascii="Arial" w:hAnsi="Arial" w:cs="Arial"/>
          <w:b w:val="0"/>
          <w:bCs w:val="0"/>
          <w:sz w:val="20"/>
          <w:szCs w:val="20"/>
        </w:rPr>
      </w:pPr>
      <w:r w:rsidRPr="00275F80">
        <w:rPr>
          <w:rFonts w:ascii="Arial" w:hAnsi="Arial" w:cs="Arial"/>
          <w:sz w:val="20"/>
          <w:szCs w:val="20"/>
        </w:rPr>
        <w:lastRenderedPageBreak/>
        <w:t>Tables</w:t>
      </w:r>
    </w:p>
    <w:p w14:paraId="7B1FAF49" w14:textId="77777777" w:rsidR="00F83A06" w:rsidRPr="00275F80" w:rsidRDefault="00F83A06" w:rsidP="006D6457">
      <w:pPr>
        <w:pStyle w:val="SMHeading"/>
        <w:spacing w:line="480" w:lineRule="auto"/>
        <w:rPr>
          <w:rFonts w:ascii="Arial" w:hAnsi="Arial" w:cs="Arial"/>
          <w:sz w:val="20"/>
          <w:szCs w:val="20"/>
        </w:rPr>
      </w:pPr>
      <w:r w:rsidRPr="00275F80">
        <w:rPr>
          <w:rFonts w:ascii="Arial" w:hAnsi="Arial" w:cs="Arial"/>
          <w:sz w:val="20"/>
          <w:szCs w:val="20"/>
        </w:rPr>
        <w:t xml:space="preserve">Table S1. </w:t>
      </w:r>
      <w:r w:rsidRPr="00275F80">
        <w:rPr>
          <w:rFonts w:ascii="Arial" w:hAnsi="Arial" w:cs="Arial"/>
          <w:b w:val="0"/>
          <w:bCs w:val="0"/>
          <w:sz w:val="20"/>
          <w:szCs w:val="20"/>
          <w:highlight w:val="white"/>
        </w:rPr>
        <w:t xml:space="preserve">Diseases associated with </w:t>
      </w:r>
      <w:r w:rsidRPr="00275F80">
        <w:rPr>
          <w:rFonts w:ascii="Arial" w:hAnsi="Arial" w:cs="Arial"/>
          <w:b w:val="0"/>
          <w:bCs w:val="0"/>
          <w:i/>
          <w:iCs/>
          <w:sz w:val="20"/>
          <w:szCs w:val="20"/>
          <w:highlight w:val="white"/>
        </w:rPr>
        <w:t>Achromobacter xylosoxidans</w:t>
      </w:r>
      <w:r w:rsidRPr="00275F80">
        <w:rPr>
          <w:rFonts w:ascii="Arial" w:hAnsi="Arial" w:cs="Arial"/>
          <w:b w:val="0"/>
          <w:bCs w:val="0"/>
          <w:sz w:val="20"/>
          <w:szCs w:val="20"/>
          <w:highlight w:val="white"/>
        </w:rPr>
        <w:t xml:space="preserve"> in humans</w:t>
      </w:r>
    </w:p>
    <w:tbl>
      <w:tblPr>
        <w:tblW w:w="9350" w:type="dxa"/>
        <w:tblLook w:val="04A0" w:firstRow="1" w:lastRow="0" w:firstColumn="1" w:lastColumn="0" w:noHBand="0" w:noVBand="1"/>
      </w:tblPr>
      <w:tblGrid>
        <w:gridCol w:w="1525"/>
        <w:gridCol w:w="5859"/>
        <w:gridCol w:w="1966"/>
      </w:tblGrid>
      <w:tr w:rsidR="00F83A06" w:rsidRPr="00275F80" w14:paraId="2A774824" w14:textId="77777777" w:rsidTr="00EC0BD3">
        <w:trPr>
          <w:trHeight w:val="285"/>
        </w:trPr>
        <w:tc>
          <w:tcPr>
            <w:tcW w:w="152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9946F0C"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Disease</w:t>
            </w:r>
          </w:p>
        </w:tc>
        <w:tc>
          <w:tcPr>
            <w:tcW w:w="5859" w:type="dxa"/>
            <w:tcBorders>
              <w:top w:val="single" w:sz="4" w:space="0" w:color="000000"/>
              <w:left w:val="nil"/>
              <w:bottom w:val="single" w:sz="4" w:space="0" w:color="000000"/>
              <w:right w:val="single" w:sz="4" w:space="0" w:color="000000"/>
            </w:tcBorders>
            <w:shd w:val="clear" w:color="auto" w:fill="auto"/>
            <w:noWrap/>
            <w:vAlign w:val="center"/>
            <w:hideMark/>
          </w:tcPr>
          <w:p w14:paraId="1E74C5A6"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Context</w:t>
            </w:r>
          </w:p>
        </w:tc>
        <w:tc>
          <w:tcPr>
            <w:tcW w:w="1966" w:type="dxa"/>
            <w:tcBorders>
              <w:top w:val="single" w:sz="4" w:space="0" w:color="000000"/>
              <w:left w:val="nil"/>
              <w:bottom w:val="nil"/>
              <w:right w:val="single" w:sz="4" w:space="0" w:color="000000"/>
            </w:tcBorders>
            <w:shd w:val="clear" w:color="auto" w:fill="auto"/>
            <w:noWrap/>
            <w:vAlign w:val="center"/>
            <w:hideMark/>
          </w:tcPr>
          <w:p w14:paraId="00CF442E"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Reference</w:t>
            </w:r>
          </w:p>
        </w:tc>
      </w:tr>
      <w:tr w:rsidR="00F83A06" w:rsidRPr="00275F80" w14:paraId="22AD521D" w14:textId="77777777" w:rsidTr="00EC0BD3">
        <w:trPr>
          <w:trHeight w:val="285"/>
        </w:trPr>
        <w:tc>
          <w:tcPr>
            <w:tcW w:w="1525" w:type="dxa"/>
            <w:tcBorders>
              <w:top w:val="nil"/>
              <w:left w:val="single" w:sz="4" w:space="0" w:color="000000"/>
              <w:bottom w:val="single" w:sz="4" w:space="0" w:color="000000"/>
              <w:right w:val="single" w:sz="4" w:space="0" w:color="000000"/>
            </w:tcBorders>
            <w:shd w:val="clear" w:color="auto" w:fill="auto"/>
            <w:noWrap/>
            <w:vAlign w:val="center"/>
            <w:hideMark/>
          </w:tcPr>
          <w:p w14:paraId="3D17661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Cystic Fibrosis respiratory infections</w:t>
            </w:r>
          </w:p>
        </w:tc>
        <w:tc>
          <w:tcPr>
            <w:tcW w:w="5859" w:type="dxa"/>
            <w:tcBorders>
              <w:top w:val="nil"/>
              <w:left w:val="nil"/>
              <w:bottom w:val="single" w:sz="4" w:space="0" w:color="000000"/>
              <w:right w:val="nil"/>
            </w:tcBorders>
            <w:shd w:val="clear" w:color="auto" w:fill="auto"/>
            <w:noWrap/>
            <w:vAlign w:val="center"/>
            <w:hideMark/>
          </w:tcPr>
          <w:p w14:paraId="45B483F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Chronic colonization and persistent infection in the lungs of CF patients. Associated with lung function decline.</w:t>
            </w:r>
          </w:p>
        </w:tc>
        <w:tc>
          <w:tcPr>
            <w:tcW w:w="1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789C6" w14:textId="6FEB0029"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{"citationID":"HwcT9wXs","properties":{"formattedCitation":"(9\\uc0\\u8211{}11)","plainCitation":"(9–11)","noteIndex":0},"citationItems":[{"id":388,"uris":["http://zotero.org/users/12257494/items/7EYG5H98"],"itemData":{"id":388,"type":"article-journal","container-title":"PLOS Pathogens","DOI":"10.1371/journal.ppat.1013067","ISSN":"1553-7374","issue":"4","journalAbbreviation":"PLOS Pathogens","language":"en","note":"publisher: Public Library of Science","page":"e1013067","source":"PLoS Journals","title":"Achromobacter spp.: Emerging pathogens in the cystic fibrosis lung","title-short":"Achromobacter spp.","volume":"21","author":[{"family":"Bhowmik","given":"Niladri"},{"family":"Stubbendieck","given":"Reed M."}],"issued":{"date-parts":[["2025",4,22]]}}},{"id":613,"uris":["http://zotero.org/users/12257494/items/YXJSW6KG"],"itemData":{"id":613,"type":"article-journal","abstract":"Achromobacter species are increasingly being detected in patients with cystic fibrosis (CF), and this emerging pathogen is associated with antibiotic resistance and more-severe disease outcomes. Nonetheless, little is known about the extent of transmission and antibiotic resistance development in Achromobacter infections. We sequenced the genomes of 101 Achromobacter clinical isolates (identified as Achromobacter xylosoxidans based on matrix-assister laser desorption ionization–time of flight [MALDI-TOF] or API N20 typing) collected from 51 patients with CF—the largest longitudinal data set to date. We performed phylogenetic analysis on the genomes and combined this with epidemiological and antibiotic resistance data to identify patient-to-patient transmission and the development of antibiotic resistance. We confirmed that the MALDI-TOF or API N20 method was not sufficient for Achromobacter species-level typing and that the population of Achromobacter isolates was composed of five different species, among which A. xylosoxidans accounted for 52% of infections. Most patients were infected by unique Achromobacter clone types; nonetheless, suspected patient-to-patient transmission cases identified by shared clone types were observed in 35% (n = 18) of patients. In 15 of 16 cases, the suspected transmissions were further supported by genome- or clinic visit-based epidemiological analysis. Finally, we found that resistance developed over time. We show that whole-genome sequencing (WGS) is essential for Achromobacter species typing and identification of patient-to-patient transmission, which was revealed for Achromobacter ruhlandii, A. xylosoxidans, and, for the first time, Achromobacter insuavis. Furthermore, we show that the development of antibiotic resistance is associated with chronic Achromobacter infections. Our findings emphasize that transmission and antibiotic resistance should be considered in future treatment strategies.","container-title":"Journal of Clinical Microbiology","DOI":"10.1128/jcm.02911-20","issue":"4","note":"publisher: American Society for Microbiology","page":"10.1128/jcm.02911-20","source":"journals.asm.org (Atypon)","title":"Transmission and Antibiotic Resistance of Achromobacter in Cystic Fibrosis","volume":"59","author":[{"family":"Gabrielaite","given":"Migle"},{"family":"Bartell","given":"Jennifer A."},{"family":"Nørskov-Lauritsen","given":"Niels"},{"family":"Pressler","given":"Tacjana"},{"family":"Nielsen","given":"Finn C."},{"family":"Johansen","given":"Helle K."},{"family":"Marvig","given":"Rasmus L."}],"issued":{"date-parts":[["2021",3,19]]}}},{"id":615,"uris":["http://zotero.org/users/12257494/items/CLD7GWHK"],"itemData":{"id":615,"type":"article-journal","abstract":"Rationale: Achromobacter species are increasingly identified in individuals with cystic fibrosis (CF), but the clinical outcomes in these patients remain poorly understood. Objectives: We aimed to determine the association of Achromobacter infection on clinical outcomes in pediatric and adult patients with CF. Methods: A cohort study of pediatric and adult patients with CF was conducted from 1997 to 2014 in Toronto, Ontario, Canada. Achromobacter spp. infection was categorized as no history of infection, intermittent infection, and chronic infection (two or more positive cultures in the preceding 12 months). Cox models were used to estimate risk of death or transplantation. Mixed-effects models were used to assess odds of pulmonary exacerbations and effect on lung function (FEV1%) by Achromobacter spp. Results: A total of 1,103 patients were followed-up over the course of 18 years; 88 patients (7.3%) had one or more culture for Achromobacter species. Chronic Achromobacter infection was associated with a greater risk of death or transplantation compared with in patients with no history of infection (adjusted hazard ratio, 2.03; 95% confidence interval, 1.05–3.95; P = 0.036). Pulmonary exacerbations were more common in patients with chronic infection, but after adjusting for confounding factors, the effect was no longer significant. The chronic group had lower FEV1%, but it did not worsen after developing chronic infection. Conclusions: Patients with CF and chronic Achromobacter infection are at increased risk of death or transplantation.","container-title":"Annals of the American Thoracic Society","DOI":"10.1513/AnnalsATS.201701-071OC","ISSN":"2329-6933","issue":"9","journalAbbreviation":"Annals ATS","note":"publisher: American Thoracic Society - AJRCCM","page":"1412-1418","source":"atsjournals.org (Atypon)","title":"Clinical Outcomes Associated with Achromobacter Species Infection in Patients with Cystic Fibrosis","volume":"14","author":[{"family":"Somayaji","given":"Ranjani"},{"family":"Stanojevic","given":"Sanja"},{"family":"Tullis","given":"D. Elizabeth"},{"family":"Stephenson","given":"Anne L."},{"family":"Ratjen","given":"Felix"},{"family":"Waters","given":"Valerie"}],"issued":{"date-parts":[["2017",9]]}}}],"schema":"https://github.com/citation-style-language/schema/raw/master/csl-citation.json"}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(9–11)</w:t>
            </w:r>
            <w:r w:rsidRPr="00275F80">
              <w:rPr>
                <w:rFonts w:ascii="Arial" w:hAnsi="Arial" w:cs="Arial"/>
                <w:color w:val="000000"/>
                <w:sz w:val="20"/>
              </w:rPr>
              <w:fldChar w:fldCharType="end"/>
            </w:r>
          </w:p>
        </w:tc>
      </w:tr>
      <w:tr w:rsidR="00F83A06" w:rsidRPr="00275F80" w14:paraId="6598EE8F" w14:textId="77777777" w:rsidTr="00EC0BD3">
        <w:trPr>
          <w:trHeight w:val="285"/>
        </w:trPr>
        <w:tc>
          <w:tcPr>
            <w:tcW w:w="1525" w:type="dxa"/>
            <w:tcBorders>
              <w:top w:val="nil"/>
              <w:left w:val="single" w:sz="4" w:space="0" w:color="000000"/>
              <w:bottom w:val="single" w:sz="4" w:space="0" w:color="000000"/>
              <w:right w:val="single" w:sz="4" w:space="0" w:color="000000"/>
            </w:tcBorders>
            <w:shd w:val="clear" w:color="auto" w:fill="auto"/>
            <w:noWrap/>
            <w:vAlign w:val="center"/>
            <w:hideMark/>
          </w:tcPr>
          <w:p w14:paraId="6E33EC9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Pneumonia</w:t>
            </w:r>
          </w:p>
        </w:tc>
        <w:tc>
          <w:tcPr>
            <w:tcW w:w="5859" w:type="dxa"/>
            <w:tcBorders>
              <w:top w:val="nil"/>
              <w:left w:val="nil"/>
              <w:bottom w:val="single" w:sz="4" w:space="0" w:color="000000"/>
              <w:right w:val="nil"/>
            </w:tcBorders>
            <w:shd w:val="clear" w:color="auto" w:fill="auto"/>
            <w:noWrap/>
            <w:vAlign w:val="center"/>
            <w:hideMark/>
          </w:tcPr>
          <w:p w14:paraId="59073BD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Coarse bilateral crackles. Chronic infection.</w:t>
            </w:r>
          </w:p>
        </w:tc>
        <w:tc>
          <w:tcPr>
            <w:tcW w:w="1966" w:type="dxa"/>
            <w:tcBorders>
              <w:top w:val="nil"/>
              <w:left w:val="single" w:sz="4" w:space="0" w:color="auto"/>
              <w:bottom w:val="single" w:sz="4" w:space="0" w:color="auto"/>
              <w:right w:val="single" w:sz="4" w:space="0" w:color="auto"/>
            </w:tcBorders>
            <w:shd w:val="clear" w:color="auto" w:fill="auto"/>
            <w:noWrap/>
            <w:vAlign w:val="center"/>
            <w:hideMark/>
          </w:tcPr>
          <w:p w14:paraId="058F4D66" w14:textId="2A1B01E6"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{"citationID":"jA8t1WTT","properties":{"formattedCitation":"(12,13)","plainCitation":"(12,13)","noteIndex":0},"citationItems":[{"id":620,"uris":["http://zotero.org/users/12257494/items/36VBDZF4"],"itemData":{"id":620,"type":"article-journal","abstract":"Achromobacter xylosoxidans, subspecies denitrificans, is a gram-negative rod recently implicated as an emerging cause of infection in both immunosuppressed and immunocompetent populations. Few cases are reported in literature involving multiple body systems. Diagnosis depends on cultures of appropriate specimens, and management usually is by administration of appropriate antibiotics (usually agents with antipseudomonal activity). We report a rare case of pneumonia due to infection with this organism, in a patient with preexisting bronchiectasis secondary to chronic aspiration.","container-title":"Case Reports in Infectious Diseases","DOI":"10.1155/2017/3969682","ISSN":"2090-6633","issue":"1","language":"en","license":"Copyright © 2017 Hesham Awadh et al.","note":"_eprint: https://onlinelibrary.wiley.com/doi/pdf/10.1155/2017/3969682","page":"3969682","source":"Wiley Online Library","title":"Pneumonia due to a Rare Pathogen: Achromobacter xylosoxidans, Subspecies denitrificans","title-short":"Pneumonia due to a Rare Pathogen","volume":"2017","author":[{"family":"Awadh","given":"Hesham"},{"family":"Mansour","given":"Munthir"},{"family":"Aqtash","given":"Obadah"},{"family":"Shweihat","given":"Yousef"}],"issued":{"date-parts":[["2017"]]}}},{"id":617,"uris":["http://zotero.org/users/12257494/items/7GCTPLHT"],"itemData":{"id":617,"type":"article-journal","abstract":"Achromobacter xylosoxidans is a common bacterium that rarely causes pneumonia. Determining whether A. xylosoxidans is the cause of lung infection in patients suspected of having chronic infectious lung disease is challenging because it can present with colonization. We report a case of a 56-year-old immunocompetent woman suspected of having non-tuberculous mycobacteria (NTM) infection on imaging examination and monitored for 3 years. Sputum examinations revealed A. xylosoxidans several times, and it was determined to be a colonization. A. xylosoxidans was isolated from bronchial lavage fluid and aspirated sputum, but no evidence of NTM was observed. She was diagnosed with A. xylosoxidans infection and given ceftazidime for 2 weeks. Her symptoms and imaging findings improved rapidly after treatment, without recurrences. A. xylosoxidans rarely causes chronic lower respiratory tract infections similar to NTM in immunocompetent patients. A. xylosoxidans may be a target for treatment when detected in lower respiratory tract specimens.","container-title":"Respirology Case Reports","DOI":"10.1002/rcr2.1287","ISSN":"2051-3380","issue":"2","language":"en","license":"© 2024 The Authors. Respirology Case Reports published by John Wiley &amp; Sons Australia, Ltd on behalf of The Asian Pacific Society of Respirology.","note":"_eprint: https://onlinelibrary.wiley.com/doi/pdf/10.1002/rcr2.1287","page":"e01287","source":"Wiley Online Library","title":"Pneumonia due to Achromobacter xylosoxidans with a chronic course resembling non-tuberculous mycobacterial infection","volume":"12","author":[{"family":"Kotani","given":"Tomoko"},{"family":"Inazaki","given":"Toshiaki"},{"family":"Kasai","given":"Hajime"},{"family":"Rakuman","given":"Shintaro"},{"family":"Suzuki","given":"Kenichi"},{"family":"Urushibara","given":"Takashi"}],"issued":{"date-parts":[["2024"]]}}}],"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(12,13)</w:t>
            </w:r>
            <w:r w:rsidRPr="00275F80">
              <w:rPr>
                <w:rFonts w:ascii="Arial" w:hAnsi="Arial" w:cs="Arial"/>
                <w:color w:val="000000"/>
                <w:sz w:val="20"/>
              </w:rPr>
              <w:fldChar w:fldCharType="end"/>
            </w:r>
          </w:p>
        </w:tc>
      </w:tr>
      <w:tr w:rsidR="00F83A06" w:rsidRPr="00275F80" w14:paraId="69903D69" w14:textId="77777777" w:rsidTr="00EC0BD3">
        <w:trPr>
          <w:trHeight w:val="285"/>
        </w:trPr>
        <w:tc>
          <w:tcPr>
            <w:tcW w:w="1525" w:type="dxa"/>
            <w:tcBorders>
              <w:top w:val="nil"/>
              <w:left w:val="single" w:sz="4" w:space="0" w:color="000000"/>
              <w:bottom w:val="single" w:sz="4" w:space="0" w:color="000000"/>
              <w:right w:val="single" w:sz="4" w:space="0" w:color="000000"/>
            </w:tcBorders>
            <w:shd w:val="clear" w:color="auto" w:fill="auto"/>
            <w:noWrap/>
            <w:vAlign w:val="center"/>
            <w:hideMark/>
          </w:tcPr>
          <w:p w14:paraId="3704E01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Meningitis</w:t>
            </w:r>
          </w:p>
        </w:tc>
        <w:tc>
          <w:tcPr>
            <w:tcW w:w="5859" w:type="dxa"/>
            <w:tcBorders>
              <w:top w:val="nil"/>
              <w:left w:val="nil"/>
              <w:bottom w:val="single" w:sz="4" w:space="0" w:color="000000"/>
              <w:right w:val="nil"/>
            </w:tcBorders>
            <w:shd w:val="clear" w:color="auto" w:fill="auto"/>
            <w:noWrap/>
            <w:vAlign w:val="center"/>
            <w:hideMark/>
          </w:tcPr>
          <w:p w14:paraId="511644D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Rare CNS infection, often post-trauma or catheter-related; high morbidity and mortality</w:t>
            </w:r>
          </w:p>
        </w:tc>
        <w:tc>
          <w:tcPr>
            <w:tcW w:w="1966" w:type="dxa"/>
            <w:tcBorders>
              <w:top w:val="nil"/>
              <w:left w:val="single" w:sz="4" w:space="0" w:color="auto"/>
              <w:bottom w:val="single" w:sz="4" w:space="0" w:color="auto"/>
              <w:right w:val="single" w:sz="4" w:space="0" w:color="auto"/>
            </w:tcBorders>
            <w:shd w:val="clear" w:color="auto" w:fill="auto"/>
            <w:noWrap/>
            <w:vAlign w:val="center"/>
            <w:hideMark/>
          </w:tcPr>
          <w:p w14:paraId="5E5B2466" w14:textId="6D6251E2"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qINUkJ14","properties":{"formattedCitation":"(14\\uc0\\u8211{}16)","plainCitation":"(14–16)","noteIndex":0},"citationItems":[{"id":635,"uris":["http://zotero.org/users/12257494/items/6VVRFSXG"],"itemData":{"id":635,"type":"article-journal","abstract":"Background: \nAchromobacter xylosoxidans (AX) is an aerobic Gram-negative opportunistic bacteria known to inhabit various environments and is most commonly associated with nosocomial infections in immune-compromised patients. Although rare, AX can cause a variety of neurological infections, such as meningitis, ventriculitis, and osteomyelitis. Intravascular catheters, intrathecal pumps, and contaminated surgical instruments are potential vectors for such patients.\n\nCase Description: \nHere, we present a unique case of multidrug-resistant AX-positive meningitis secondary to infection of a nonfunctional intrathecal narcotic pump. The patient has a complex past medical history leading up to infection, and care was significantly compromised by homelessness and inflammatory bowel disease (IBD). Treatment included catheter removal and antibiotics.\n\nConclusion: \nPatients who suffer from homelessness or IBD show a possible increased risk of this infection. This case emphasizes the need for increased care regarding these patients, along with describing the complications and timeline when treating this rare type of meningitis.","container-title":"Surgical Neurology International","DOI":"10.25259/SNI_764_2024","ISSN":"2229-5097","journalAbbreviation":"Surg Neurol Int","note":"PMID: 39640325\nPMCID: PMC11618729","page":"424","source":"PubMed Central","title":"Rare case of resistant Achromobacter xylosoxidans-associated meningitis due to intrathecal catheter","volume":"15","author":[{"family":"Nair","given":"Ajay"},{"family":"Lucarelli","given":"Vito"},{"family":"Hoyt","given":"Alastair"}],"issued":{"date-parts":[["2024",11,15]]}}},{"id":630,"uris":["http://zotero.org/users/12257494/items/LRZL32R8"],"itemData":{"id":630,"type":"article-journal","abstract":"Background\nAchromobacter xylosoxidans (AX) is a non-fermentative aerobic Gram-negative bacillus. It is an opportunistic pathogen and the causative agent of various infections. We report an original case of late posttraumatic meningitis due to AX denitrificans.\n\nCase Report\nAn 83-year-old man was hospitalized for acute headache, nausea and vomiting. The emergency brain computer tomography (CT) scan did not reveal any anomaly. In his medical history, there was an auditory injury due to a cranial trauma incurred in a skiing accident 60 years earlier. Cytobiochemical analysis of the cerebrospinal fluid (CSF) revealed increased levels of neutrophils and proteins. The CSF bacterial culture was positive: the Gram stain showed a Gram-negative bacillus, oxidase + and catalase +, and the biochemical pattern using the API 20 NE strip revealed AX dentrificans. Late posttraumatic meningitis on a possible osteomeningeal breach was diagnosed even though the breach was not confirmed because the patient declined a second brain CT scan. The patient was successfully treated with meropenem.\n\nConclusions\nThis report demonstrates the importance of searching for unusual or atypical organisms when the clinician encounters meningitis in a particular context, as well as the importance of adequate follow-up of craniofacial traumas.","container-title":"Medical Science Monitor : International Medical Journal of Experimental and Clinical Research","DOI":"10.12659/MSM.881796","ISSN":"1234-1010","issue":"6","journalAbbreviation":"Med Sci Monit","note":"PMID: 21629191\nPMCID: PMC3539539","page":"CS63-CS65","source":"PubMed Central","title":"A case of meningitis due to Achromobacter xylosoxidans denitrificans 60 years after a cranial trauma","volume":"17","author":[{"family":"Manckoundia","given":"Patrick"},{"family":"Mazen","given":"Emmanuel"},{"family":"Coste","given":"Alexis Saloff"},{"family":"Somana","given":"Sophie"},{"family":"Marilier","given":"Sophie"},{"family":"Duez","given":"Jean-Marie"},{"family":"Camus","given":"Agnès"},{"family":"Popitean","given":"Laura"},{"family":"Bador","given":"Julien"},{"family":"Pfitzenmeyer","given":"Pierre"}],"issued":{"date-parts":[["2011",6,1]]}}},{"id":626,"uris":["http://zotero.org/users/12257494/items/8RGNL2KX"],"itemData":{"id":626,"type":"article-journal","abstract":"The microbiological and clinical features of a case of Achromobacter xylosoxidans (Alcaligenes xylosoxidans subsp. xylosoxidans) meningitis associated with a gunshot wound are described. To our knowledge, this is the third confirmed case report of meningitis caused by this organism.","container-title":"Journal of Clinical Microbiology","DOI":"10.1128/jcm.26.11.2425-2426.1988","ISSN":"0095-1137","issue":"11","journalAbbreviation":"J Clin Microbiol","note":"PMID: 3235669\nPMCID: PMC266906","page":"2425-2426","source":"PubMed Central","title":"Achromobacter xylosoxidans (Alcaligenes xylosoxidans subsp. xylosoxidans) meningitis associated with a gunshot wound.","volume":"26","author":[{"family":"D'Amato","given":"R F"},{"family":"Salemi","given":"M"},{"family":"Mathews","given":"A"},{"family":"Cleri","given":"D J"},{"family":"Reddy","given":"G"}],"issued":{"date-parts":[["1988",11]]}}}],"schema":"https://github.com/citation-style-language/schema/raw/master/csl-citation.json"}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(14–16)</w:t>
            </w:r>
            <w:r w:rsidRPr="00275F80">
              <w:rPr>
                <w:rFonts w:ascii="Arial" w:hAnsi="Arial" w:cs="Arial"/>
                <w:color w:val="000000"/>
                <w:sz w:val="20"/>
              </w:rPr>
              <w:fldChar w:fldCharType="end"/>
            </w:r>
          </w:p>
        </w:tc>
      </w:tr>
      <w:tr w:rsidR="00F83A06" w:rsidRPr="00275F80" w14:paraId="5CF073C2" w14:textId="77777777" w:rsidTr="00EC0BD3">
        <w:trPr>
          <w:trHeight w:val="285"/>
        </w:trPr>
        <w:tc>
          <w:tcPr>
            <w:tcW w:w="1525" w:type="dxa"/>
            <w:tcBorders>
              <w:top w:val="nil"/>
              <w:left w:val="single" w:sz="4" w:space="0" w:color="000000"/>
              <w:bottom w:val="single" w:sz="4" w:space="0" w:color="000000"/>
              <w:right w:val="single" w:sz="4" w:space="0" w:color="000000"/>
            </w:tcBorders>
            <w:shd w:val="clear" w:color="auto" w:fill="auto"/>
            <w:noWrap/>
            <w:vAlign w:val="center"/>
            <w:hideMark/>
          </w:tcPr>
          <w:p w14:paraId="5D90D59C"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Endocarditis</w:t>
            </w:r>
          </w:p>
        </w:tc>
        <w:tc>
          <w:tcPr>
            <w:tcW w:w="5859" w:type="dxa"/>
            <w:tcBorders>
              <w:top w:val="nil"/>
              <w:left w:val="nil"/>
              <w:bottom w:val="single" w:sz="4" w:space="0" w:color="000000"/>
              <w:right w:val="nil"/>
            </w:tcBorders>
            <w:shd w:val="clear" w:color="auto" w:fill="auto"/>
            <w:noWrap/>
            <w:vAlign w:val="center"/>
            <w:hideMark/>
          </w:tcPr>
          <w:p w14:paraId="185FB42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Associated with heart native and prosthetic valves or devices. High crude mortality (&gt;50%)</w:t>
            </w:r>
          </w:p>
        </w:tc>
        <w:tc>
          <w:tcPr>
            <w:tcW w:w="1966" w:type="dxa"/>
            <w:tcBorders>
              <w:top w:val="nil"/>
              <w:left w:val="single" w:sz="4" w:space="0" w:color="auto"/>
              <w:bottom w:val="single" w:sz="4" w:space="0" w:color="auto"/>
              <w:right w:val="single" w:sz="4" w:space="0" w:color="auto"/>
            </w:tcBorders>
            <w:shd w:val="clear" w:color="auto" w:fill="auto"/>
            <w:noWrap/>
            <w:vAlign w:val="center"/>
            <w:hideMark/>
          </w:tcPr>
          <w:p w14:paraId="2A8F77B7" w14:textId="32D7A1B2"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{"citationID":"BtInYMrD","properties":{"formattedCitation":"(17,18)","plainCitation":"(17,18)","noteIndex":0},"citationItems":[{"id":638,"uris":["http://zotero.org/users/12257494/items/L35VG3W2"],"itemData":{"id":638,"type":"article-journal","abstract":"Endocarditis due to Achromobacter species is a rare, yet serious, endovascular infection. Achromobacter species infective endocarditis is associated with underlying immunodeficiencies or prosthetic heart valves and devices. A case of prosthetic pulmonary valve endocarditis secondary to Achromobacter xylosoxidans subspecies denitrificans is described in the present report. This life-threatening infection was successfully treated with combined valve replacement and prolonged antibiotic therapy. A Medline/PubMed literature review of Achromobacter endocarditis was also performed. Achromobacter species are an uncommon, yet important, cause of nosocomial endocarditis. Given the significant associated morbidity and mortality, along with a high degree of intrinsic antibiotic resistance, Achromobacter species infective endocarditis remains a clinical treatment challenge.","container-title":"The Canadian Journal of Infectious Diseases &amp; Medical Microbiology","DOI":"10.1155/2011/527412","ISSN":"1712-9532","issue":"3","journalAbbreviation":"Can J Infect Dis Med Microbiol","note":"PMID: 22942890\nPMCID: PMC3200376","page":"e17-e20","source":"PubMed Central","title":"Achromobacter species endocarditis: A case report and literature review","title-short":"Achromobacter species endocarditis","volume":"22","author":[{"family":"Derber","given":"Catherine"},{"family":"Elam","given":"Kara"},{"family":"Forbes","given":"Betty A"},{"family":"Bearman","given":"Gonzalo"}],"issued":{"date-parts":[["2011"]]}}},{"id":641,"uris":["http://zotero.org/users/12257494/items/7J5UGV87"],"itemData":{"id":641,"type":"article-journal","abstract":"Achromobacter xylosoxidans is a Gram-negative aerobic bacterium first described by Yabuuchi and Ohyama in 1971. A. xylosoxidans is frequently found in aquatic environments. Abdominal, urinary tract, ocular, pneumonia, meningitis, and osteomyelitis are the most common infections. Infective endocarditis is rare. As far as we know, until now, only 19 cases have been described, including this current report. We report the case of community-acquired native valve endocarditis caused by A. xylosoxidans in an elderly patient without a concomitant diagnosis of a malignancy or any known immunodeficiency. The patient presented with a 2-month history of fever, weight loss, and progressive dyspnea. On physical examination, mitral and aortic murmurs were present, along with Janeway’s lesions, and a positive blood culture for A. xylosoxidans. The transesophageal echocardiogram showed vegetation in the aortic valve, which was consistent with the diagnosis of infective endocarditis.","container-title":"Autopsy &amp; Case Reports","DOI":"10.4322/acr.2017.029","ISSN":"2236-1960","issue":"3","journalAbbreviation":"Autops Case Rep","note":"PMID: 29043211\nPMCID: PMC5634435","page":"50-55","source":"PubMed Central","title":"Native-valve endocarditis caused by Achromobacter xylosoxidans: a case report and review of literature","title-short":"Native-valve endocarditis caused by Achromobacter xylosoxidans","volume":"7","author":[{"family":"Rodrigues","given":"Caio Godoy"},{"family":"Rays","given":"Jairo"},{"family":"Kanegae","given":"Marcia Yoshie"}],"issued":{"date-parts":[["2017",9,30]]}}}],"schema":"https://github.com/citation-style-language/schema/raw/master/csl-citation.json"}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(17,18)</w:t>
            </w:r>
            <w:r w:rsidRPr="00275F80">
              <w:rPr>
                <w:rFonts w:ascii="Arial" w:hAnsi="Arial" w:cs="Arial"/>
                <w:color w:val="000000"/>
                <w:sz w:val="20"/>
              </w:rPr>
              <w:fldChar w:fldCharType="end"/>
            </w:r>
          </w:p>
        </w:tc>
      </w:tr>
      <w:tr w:rsidR="00F83A06" w:rsidRPr="00275F80" w14:paraId="183D9AEF" w14:textId="77777777" w:rsidTr="00EC0BD3">
        <w:trPr>
          <w:trHeight w:val="285"/>
        </w:trPr>
        <w:tc>
          <w:tcPr>
            <w:tcW w:w="1525" w:type="dxa"/>
            <w:tcBorders>
              <w:top w:val="nil"/>
              <w:left w:val="single" w:sz="4" w:space="0" w:color="000000"/>
              <w:bottom w:val="single" w:sz="4" w:space="0" w:color="000000"/>
              <w:right w:val="single" w:sz="4" w:space="0" w:color="000000"/>
            </w:tcBorders>
            <w:shd w:val="clear" w:color="auto" w:fill="auto"/>
            <w:noWrap/>
            <w:vAlign w:val="center"/>
            <w:hideMark/>
          </w:tcPr>
          <w:p w14:paraId="0F95AFD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Urinary Tract Infections</w:t>
            </w:r>
          </w:p>
        </w:tc>
        <w:tc>
          <w:tcPr>
            <w:tcW w:w="5859" w:type="dxa"/>
            <w:tcBorders>
              <w:top w:val="nil"/>
              <w:left w:val="nil"/>
              <w:bottom w:val="single" w:sz="4" w:space="0" w:color="000000"/>
              <w:right w:val="nil"/>
            </w:tcBorders>
            <w:shd w:val="clear" w:color="auto" w:fill="auto"/>
            <w:noWrap/>
            <w:vAlign w:val="center"/>
            <w:hideMark/>
          </w:tcPr>
          <w:p w14:paraId="7C88C20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Very rare infection, usually in patients with urological abnormalities, malignancy, diabetes, renal failure, or transplant</w:t>
            </w:r>
          </w:p>
        </w:tc>
        <w:tc>
          <w:tcPr>
            <w:tcW w:w="1966" w:type="dxa"/>
            <w:tcBorders>
              <w:top w:val="nil"/>
              <w:left w:val="single" w:sz="4" w:space="0" w:color="auto"/>
              <w:bottom w:val="single" w:sz="4" w:space="0" w:color="auto"/>
              <w:right w:val="single" w:sz="4" w:space="0" w:color="auto"/>
            </w:tcBorders>
            <w:shd w:val="clear" w:color="auto" w:fill="auto"/>
            <w:noWrap/>
            <w:vAlign w:val="center"/>
            <w:hideMark/>
          </w:tcPr>
          <w:p w14:paraId="25891D81" w14:textId="47495963"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gtgrTpz1","properties":{"formattedCitation":"(19\\uc0\\u8211{}21)","plainCitation":"(19–21)","noteIndex":0},"citationItems":[{"id":648,"uris":["http://zotero.org/users/12257494/items/PWDZBWTN"],"itemData":{"id":648,"type":"article-journal","abstract":"Achromobacter xylosoxidans can cause various types of infections, but its infection in humans is rare. A. xylosoxidans has been reported as a rare etiological agent of infections including primary bacteremia, catheter-related bloodstream infection, endocarditis, otitis, and pneumonia, particularly in immunocompromised hosts. We encountered a case of septic shock caused by A. xylosoxidans in a 52-year-old, immunocompetent woman with no underlying disease, who received extracorporeal shock wave lithotripsy to remove a left upper ureteral stone. She was treated with antibiotics to which the organism was susceptible but died as a result of septic shock.","container-title":"Infection &amp; Chemotherapy","DOI":"10.3947/ic.2016.48.1.47","ISSN":"2093-2340","issue":"1","journalAbbreviation":"Infect Chemother","note":"PMID: 27104016\nPMCID: PMC4835435","page":"47-50","source":"PubMed Central","title":"A Case of Septic Shock caused by Achromobacter xylosoxidans in an Immunocompetent Female Patient after Extracorporeal Shock Wave Lithotripsy for a Ureteral Stone","volume":"48","author":[{"family":"Lee","given":"Jae Hyuk"},{"family":"Lee","given":"So Yon"},{"family":"Park","given":"In Young"},{"family":"Park","given":"So Yeon"},{"family":"Lee","given":"Jin Seo"},{"family":"Kang","given":"Goeun"},{"family":"Kim","given":"Jae Seok"},{"family":"Eom","given":"Joong Sik"}],"issued":{"date-parts":[["2016",3]]}}},{"id":646,"uris":["http://zotero.org/users/12257494/items/VA8FQZEX"],"itemData":{"id":646,"type":"article-journal","abstract":"Urinary tract infection (UTI) due to Achromobacter xylosoxidans is rare. The aims were to know the frequency and clinical characteristics of this infection in our area. We performed a retrospective analysis of 9 patients with UTI caused by this organism diagnosed over a period of 13 y. The mean age was 63.1 y. All patients had underlying diseases or urological abnormalities. The most frequent underlying diseases were solid or hematological malignancies (3 cases). Seven patients (77.7%) had urological abnormalities. Eight patients had symptoms of cystitis and 1 remained asymptomatic. Seven patients had community acquired UTIs. Clinical outcome was favourable in 5 patients after antibiotic treatment and recurrence occurred in 3 patients who had urological abnormalities. All isolates were susceptible to imipenem and piperacillin-tazobactam, 88.8% were susceptible to ceftazidime and 77.7% were susceptible to trimethoprim-sulfamethoxazole. High frequencies of resistance to ampicillin (100%), amoxicillin/clavulanic acid (78%), cefuroxime (100%), cefotaxime (67%), norfloxacin (89%), ciprofloxacin (78%), nitrofurantoin (89%) and gentamicin (67%) were observed. UTI due to A. xylosoxidans was predominantly observed in elderly patients with predisposing factors, especially urological abnormalities, malignancies and immunosuppression. Treatment can be difficult due to the high level of antibiotic resistance. Trimethoprim-sulfamethoxazole may be useful for treatment, particularly in outpatients with community acquired infections.","container-title":"Scandinavian Journal of Infectious Diseases","DOI":"10.1080/00365540701558714","ISSN":"0036-5548","issue":"2","journalAbbreviation":"Scand J Infect Dis","language":"eng","note":"PMID: 17852927","page":"84-87","source":"PubMed","title":"Urinary tract infection due to Achromobacter xylosoxidans: report of 9 cases","title-short":"Urinary tract infection due to Achromobacter xylosoxidans","volume":"40","author":[{"family":"Tena","given":"Daniel"},{"family":"González-Praetorius","given":"Alejandro"},{"family":"Pérez-Balsalobre","given":"Mercedes"},{"family":"Sancho","given":"Oliva"},{"family":"Bisquert","given":"Julia"}],"issued":{"date-parts":[["2008"]]}}},{"id":644,"uris":["http://zotero.org/users/12257494/items/76TZMH6M"],"itemData":{"id":644,"type":"article-journal","abstract":"Achromobacter xylosoxidans formerly named as Alcaligenes xylosoxidans is an aerobic, non-fermenting, oxidase positive, catalase positive gram negative bacillus. It is seen especially in immunosuppressed patients, patients with tumors, hypogamaglobulinemia or transplant patients. A. xylosoxidans infection in urinary system is very rare. 56 year old male patient was presented to our clinic with bilateral flank pain. He had not immunodeficiency and tumor history. He had diabetes mellitus. He had shock wave lithotripsy history for bilateral kidney stone. He had previous open surgery for right kidney stone and retrograde intrarenal surgery for left kidney stone. In the urine culture, Achromobacter xylosoxidans infection was detected. Ciprofloxacin, ceftriaxone and methenamine hippurate treatment were firstly applied to the patient. Patient was followed and 15 days later he admitted our clinic. 38 white blood cells and 8 red blood cells were present in urinalysis and the control urine culture was sterile. In conclusion, A. xylosoxidans infection is rarely seen and it has high resistance to antibiotics. Clinicians must be careful about the infection and treatment of A. xylosoxidans infection.","container-title":"Journal of Surgery and Medicine","DOI":"10.28982/josam.437945","ISSN":"2602-2079","issue":"3","language":"en","license":"Copyright (c) 2018","page":"406-407","source":"jsurgmed.com","title":"Achromobacter xylosoxidans infection in urinary tract in a secondary kidney stone patient: Case Report","title-short":"Achromobacter xylosoxidans infection in urinary tract in a secondary kidney stone patient","volume":"2","author":[{"family":"Sarı","given":"Sercan"},{"family":"Yeşilyurt","given":"Emine"},{"family":"Yılmaz","given":"Neziha"},{"family":"Gürel","given":"Abdullah"},{"family":"Gürtan","given":"Emin"},{"family":"Şanal","given":"Laser"}],"issued":{"date-parts":[["2018",9,1]]}}}],"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(19–21)</w:t>
            </w:r>
            <w:r w:rsidRPr="00275F80">
              <w:rPr>
                <w:rFonts w:ascii="Arial" w:hAnsi="Arial" w:cs="Arial"/>
                <w:color w:val="000000"/>
                <w:sz w:val="20"/>
              </w:rPr>
              <w:fldChar w:fldCharType="end"/>
            </w:r>
          </w:p>
        </w:tc>
      </w:tr>
      <w:tr w:rsidR="00F83A06" w:rsidRPr="00275F80" w14:paraId="7EDDA6F4" w14:textId="77777777" w:rsidTr="00EC0BD3">
        <w:trPr>
          <w:trHeight w:val="285"/>
        </w:trPr>
        <w:tc>
          <w:tcPr>
            <w:tcW w:w="1525" w:type="dxa"/>
            <w:tcBorders>
              <w:top w:val="nil"/>
              <w:left w:val="single" w:sz="4" w:space="0" w:color="000000"/>
              <w:bottom w:val="single" w:sz="4" w:space="0" w:color="000000"/>
              <w:right w:val="single" w:sz="4" w:space="0" w:color="000000"/>
            </w:tcBorders>
            <w:shd w:val="clear" w:color="auto" w:fill="auto"/>
            <w:noWrap/>
            <w:vAlign w:val="center"/>
            <w:hideMark/>
          </w:tcPr>
          <w:p w14:paraId="0E6D77B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Peritonitis</w:t>
            </w:r>
          </w:p>
        </w:tc>
        <w:tc>
          <w:tcPr>
            <w:tcW w:w="5859" w:type="dxa"/>
            <w:tcBorders>
              <w:top w:val="nil"/>
              <w:left w:val="nil"/>
              <w:bottom w:val="single" w:sz="4" w:space="0" w:color="000000"/>
              <w:right w:val="nil"/>
            </w:tcBorders>
            <w:shd w:val="clear" w:color="auto" w:fill="auto"/>
            <w:noWrap/>
            <w:vAlign w:val="center"/>
            <w:hideMark/>
          </w:tcPr>
          <w:p w14:paraId="1896D731" w14:textId="713E0CE3"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Notably</w:t>
            </w:r>
            <w:r w:rsidR="0030568F">
              <w:rPr>
                <w:rFonts w:ascii="Arial" w:hAnsi="Arial" w:cs="Arial"/>
                <w:color w:val="000000"/>
                <w:sz w:val="20"/>
              </w:rPr>
              <w:t>,</w:t>
            </w:r>
            <w:r w:rsidRPr="00275F80">
              <w:rPr>
                <w:rFonts w:ascii="Arial" w:hAnsi="Arial" w:cs="Arial"/>
                <w:color w:val="000000"/>
                <w:sz w:val="20"/>
              </w:rPr>
              <w:t xml:space="preserve"> in patients on peritoneal dialysis. Often presents with abdominal pain, cloudy dialysate, or septic shock. High risk of relapse and treatment failure due to multidrug resistance and biofilm formation on catheters</w:t>
            </w:r>
          </w:p>
        </w:tc>
        <w:tc>
          <w:tcPr>
            <w:tcW w:w="1966" w:type="dxa"/>
            <w:tcBorders>
              <w:top w:val="nil"/>
              <w:left w:val="single" w:sz="4" w:space="0" w:color="auto"/>
              <w:bottom w:val="single" w:sz="4" w:space="0" w:color="auto"/>
              <w:right w:val="single" w:sz="4" w:space="0" w:color="auto"/>
            </w:tcBorders>
            <w:shd w:val="clear" w:color="auto" w:fill="auto"/>
            <w:noWrap/>
            <w:vAlign w:val="center"/>
            <w:hideMark/>
          </w:tcPr>
          <w:p w14:paraId="6DCA2440" w14:textId="7A6EEC20"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PWbIVrAF","properties":{"formattedCitation":"(22\\uc0\\u8211{}24)","plainCitation":"(22–24)","noteIndex":0},"citationItems":[{"id":651,"uris":["http://zotero.org/users/12257494/items/ALKMVKV9"],"itemData":{"id":651,"type":"article-journal","abstract":"Peritonitis is considered to be the most common complication of peritoneal dialysis (PD). It is usually caused by Gram positive Staphylococcus epidermidis. Achromobacter xylosoxidans (A. xylosoxidans) and Streptococcus suis (S. suis) are rare pathogens, but there is emerging evidence that they may be also responsible for PD related peritonitis. We described 2 cases of rare peritonitis treated in our center. In our opinion this is the first described case of PD related peritonitis caused by Streptococcus suis.","container-title":"Case Reports in Nephrology","DOI":"10.1155/2018/9454520","ISSN":"2090-6641","journalAbbreviation":"Case Rep Nephrol","note":"PMID: 30155325\nPMCID: PMC6091324","page":"9454520","source":"PubMed Central","title":"Achromobacter xylosoxidans Relapsing Peritonitis and Streptococcus suis Peritonitis in Peritoneal Dialysis Patients: A Report of Two Cases","title-short":"Achromobacter xylosoxidans Relapsing Peritonitis and Streptococcus suis Peritonitis in Peritoneal Dialysis Patients","volume":"2018","author":[{"family":"Donderski","given":"Rafał"},{"family":"Grajewska","given":"Magdalena"},{"family":"Mikucka","given":"Agnieszka"},{"family":"Sulikowska","given":"Beata"},{"family":"Gospodarek-Komkowska","given":"Eugenia"},{"family":"Manitius","given":"Jacek"}],"issued":{"date-parts":[["2018",7,30]]}}},{"id":654,"uris":["http://zotero.org/users/12257494/items/2DE8THYH"],"itemData":{"id":654,"type":"article-journal","abstract":"Achromobacter xylosoxidans is an uncommon cause of peritonitis in patients on maintenance continuous ambulatory peritoneal dialysis (CAPD). CAPD peritonitis caused by Achromobacter xylosoxidans carries high mortality and recurrence rates because of its virulence and resistance to most antimicrobial agents. We experienced a case of CAPD peritonitis caused by Achromobacter xylosoxidans in a patient with hypertension, diabetes mellitus, and end stage renal disease. The patient was treated with intravenous imipenem/cilastatin, and the CAPD catheter was removed. However, the patient died by aspiration pneumonia on the 34th day of hospitalization.","container-title":"Infection and Chemotherapy","DOI":"10.3947/ic.2011.43.3.275","ISSN":"2093-2340","issue":"3","page":"275-278","source":"Yonsei University","title":"Continuous ambulatory peritoneal dialysis-associated peritonitis caused by achromobacter xylosoxidans: A case report and comprehensive literature review","title-short":"Continuous ambulatory peritoneal dialysis-associated peritonitis caused by achromobacter xylosoxidans","volume":"43","author":[{"family":"Oh","given":"Tak Geun"},{"family":"Baek","given":"Ji Hyeon"},{"family":"Jeong","given":"Su Jin"},{"family":"Chae","given":"Yoon Tae"},{"family":"Ku","given":"Nam Su"},{"family":"Chin","given":"Bum Sik"},{"family":"Han","given":"Sang Hoon"},{"family":"Kim","given":"Chang Oh"},{"family":"Song","given":"Young Goo"},{"family":"Lee","given":"Ho Yong"},{"family":"Kim","given":"June Myung"},{"family":"Choi","given":"Jun Yong"}],"issued":{"date-parts":[["2011",6]]}}},{"id":655,"uris":["http://zotero.org/users/12257494/items/Z6U2J3HG"],"itemData":{"id":655,"type":"article-journal","abstract":"Achromobacter xylosoxidans is a gram-negative bacterium that is responsible for rare peritonitis associated with peritoneal dialysis (PD). We present a case of a 64-year-old woman with a medical history of end-stage renal disease undergoing PD who was admitted to the emergency department with abdominal pain and nausea. Physical examination and laboratory studies revealed peritoneal signs and laboratory abnormalities consistent with peritonitis. Intraperitoneal catheter dysfunction was identified and subsequently resolved via laparoscopy. Following a peritoneal fluid culture, A xylosoxidans was identified, leading to the initiation of intraperitoneal meropenem treatment. After an initial improvement, the patient developed an ileus and recurrent abdominal symptoms, and further peritoneal cultures remained positive for A xylosoxidans. Subsequent treatment included intravenous meropenem and vancomycin for Clostridium difficile colitis. Owing to the high likelihood of biofilm formation on the PD catheter by A xylosoxidans, the catheter was removed, and the patient transitioned to hemodialysis. Intravenous meropenem was continued for 2 weeks post-catheter removal. This case highlights the challenges in managing recurrent peritonitis in PD patients caused by multidrug-resistant A xylosoxidans. A high index of suspicion, appropriate microbiological identification, and targeted intraperitoneal and systemic antibiotic treatment, along with catheter management, are crucial in achieving a favorable outcome in such cases.","container-title":"Journal of Investigative Medicine High Impact Case Reports","DOI":"10.1177/23247096231220467","ISSN":"2324-7096","journalAbbreviation":"J Investig Med High Impact Case Rep","note":"PMID: 38164897\nPMCID: PMC10762871","page":"23247096231220467","source":"PubMed Central","title":"Peritoneal Dialysis-Associated Peritonitis Caused by Achromobacter xylosoxidans: A Case Report and Literature Review","title-short":"Peritoneal Dialysis-Associated Peritonitis Caused by Achromobacter xylosoxidans","volume":"12","author":[{"family":"Tawhari","given":"Ibrahim"},{"family":"Saggese","given":"Samantha"},{"family":"Alshahrani","given":"Shatha S."},{"family":"Asiri","given":"Ghufran"},{"family":"Alshahrani","given":"Shatha A."},{"family":"Summan","given":"Sarah"},{"family":"Al Qasim","given":"Yousef Y."},{"family":"Al Majbar","given":"Yahya A."}],"issued":{"date-parts":[["2024",1,2]]}}}],"schema":"https://github.com/citation-style-language/schema/raw/master/csl-citation.json"}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(22–24)</w:t>
            </w:r>
            <w:r w:rsidRPr="00275F80">
              <w:rPr>
                <w:rFonts w:ascii="Arial" w:hAnsi="Arial" w:cs="Arial"/>
                <w:color w:val="000000"/>
                <w:sz w:val="20"/>
              </w:rPr>
              <w:fldChar w:fldCharType="end"/>
            </w:r>
          </w:p>
        </w:tc>
      </w:tr>
      <w:tr w:rsidR="00F83A06" w:rsidRPr="00275F80" w14:paraId="4FA93481" w14:textId="77777777" w:rsidTr="00EC0BD3">
        <w:trPr>
          <w:trHeight w:val="285"/>
        </w:trPr>
        <w:tc>
          <w:tcPr>
            <w:tcW w:w="1525" w:type="dxa"/>
            <w:tcBorders>
              <w:top w:val="nil"/>
              <w:left w:val="single" w:sz="4" w:space="0" w:color="000000"/>
              <w:bottom w:val="single" w:sz="4" w:space="0" w:color="000000"/>
              <w:right w:val="single" w:sz="4" w:space="0" w:color="000000"/>
            </w:tcBorders>
            <w:shd w:val="clear" w:color="auto" w:fill="auto"/>
            <w:noWrap/>
            <w:vAlign w:val="center"/>
            <w:hideMark/>
          </w:tcPr>
          <w:p w14:paraId="185ADAA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Osteomyelitis</w:t>
            </w:r>
          </w:p>
        </w:tc>
        <w:tc>
          <w:tcPr>
            <w:tcW w:w="5859" w:type="dxa"/>
            <w:tcBorders>
              <w:top w:val="nil"/>
              <w:left w:val="nil"/>
              <w:bottom w:val="single" w:sz="4" w:space="0" w:color="000000"/>
              <w:right w:val="nil"/>
            </w:tcBorders>
            <w:shd w:val="clear" w:color="auto" w:fill="auto"/>
            <w:noWrap/>
            <w:vAlign w:val="center"/>
            <w:hideMark/>
          </w:tcPr>
          <w:p w14:paraId="7082DD7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Post-traumatic or post-surgical cases are described. Cases reported in diabetic and immunocompetent patients. Often chronic. Treatment usually involves surgical debridement or amputation plus prolonged antibiotics</w:t>
            </w:r>
          </w:p>
        </w:tc>
        <w:tc>
          <w:tcPr>
            <w:tcW w:w="1966" w:type="dxa"/>
            <w:tcBorders>
              <w:top w:val="nil"/>
              <w:left w:val="single" w:sz="4" w:space="0" w:color="auto"/>
              <w:bottom w:val="single" w:sz="4" w:space="0" w:color="auto"/>
              <w:right w:val="single" w:sz="4" w:space="0" w:color="auto"/>
            </w:tcBorders>
            <w:shd w:val="clear" w:color="auto" w:fill="auto"/>
            <w:noWrap/>
            <w:vAlign w:val="center"/>
            <w:hideMark/>
          </w:tcPr>
          <w:p w14:paraId="6776B276" w14:textId="39BF36B2"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{"citationID":"IoAQzRsU","properties":{"formattedCitation":"(25,26)","plainCitation":"(25,26)","noteIndex":0},"citationItems":[{"id":658,"uris":["http://zotero.org/users/12257494/items/XRI4SSUX"],"itemData":{"id":658,"type":"article-journal","abstract":"Background\nAchromobacter xylosoxidans is an opportunistic environmental aerobe. In cases where A. xylosoxidans infects humans, it most commonly manifests as bacteraemia in the immunosuppressed. A. xylosoxidans causing chronic osteomyelitis is rare, particularly in the immunocompetent and young.\n\nCase\nWe present the case of a 23-year-old man with chronic osteomyelitis of the right femur caused by co-infection of A. xylosoxidans and Staphylococcus aureus. Five years earlier, he had sustained a right femur fracture and was treated with intramedullary fixation at a peripheral hospital in a developing nation. Past medical history was otherwise unremarkable. Management comprised of surgical debridement and culture-directed antibiotic therapy, resulting in clinical cure.\n\nConclusion\nIn the context of local trauma and previous surgery, osteomyelitis caused by atypical pathogens must be considered. A multidisciplinary approach commensurate with duration and severity of infection and tailored to the causative organism is paramount.","container-title":"IDCases","DOI":"10.1016/j.idcr.2021.e01211","ISSN":"2214-2509","journalAbbreviation":"IDCases","note":"PMID: 34277350\nPMCID: PMC8267561","page":"e01211","source":"PubMed Central","title":"Chronic osteomyelitis caused by Achromobacter xylosoxidans following orthopaedic trauma: A case report and review of the literature","title-short":"Chronic osteomyelitis caused by Achromobacter xylosoxidans following orthopaedic trauma","volume":"25","author":[{"family":"Imani","given":"Sahand"},{"family":"Wijetunga","given":"Asanka"},{"family":"Shumborski","given":"Sarah"},{"family":"O’Leary","given":"Edmund"}],"issued":{"date-parts":[["2021",6,29]]}}},{"id":661,"uris":["http://zotero.org/users/12257494/items/QM9I5CZP"],"itemData":{"id":661,"type":"article-journal","abstract":"Achromobacter xylosoxidans is an aerobic, nonfermenting gram-negative rod and described as a waterborne bacterium since it habits aquatic environments ubiquitously. It has frequently been isolated from aquatic surroundings in the hospital and from various human body sites. Although occasionally considered a non-pathogen, A. xylosoxidans has been associated with outbreaks of nosocomial infection due to contaminated fluids. Moreover, a wide variety of infectious etiologies due to A. xylosoxidans has been reported primarily in immunocompromised individuals. Heightened awareness of this bacterium and associated clinical importance is warranted for clinicians since its broad disease spectrum in humans and frequent multi-drug resistance may result in an increased mortality rate. In this report, we describe a case of osteomyelitis caused by A. xylosoxidans in a patient with a history of diabetes mellitus.","container-title":"IDCases","DOI":"10.1016/j.idcr.2015.01.001","ISSN":"2214-2509","issue":"1","journalAbbreviation":"IDCases","page":"11-12","source":"ScienceDirect","title":"Osteomyelitis caused by &lt;i&gt;Achromobacter xylosoxidans&lt;/i&gt;","volume":"2","author":[{"family":"Shinha","given":"Takashi"},{"family":"Oguagha","given":"Ifeanyi C."}],"issued":{"date-parts":[["2015",1,1]]}}}],"schema":"https://github.com/citation-style-language/schema/raw/master/csl-citation.json"}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(25,26)</w:t>
            </w:r>
            <w:r w:rsidRPr="00275F80">
              <w:rPr>
                <w:rFonts w:ascii="Arial" w:hAnsi="Arial" w:cs="Arial"/>
                <w:color w:val="000000"/>
                <w:sz w:val="20"/>
              </w:rPr>
              <w:fldChar w:fldCharType="end"/>
            </w:r>
          </w:p>
        </w:tc>
      </w:tr>
      <w:tr w:rsidR="00F83A06" w:rsidRPr="00275F80" w14:paraId="0511B854" w14:textId="77777777" w:rsidTr="00EC0BD3">
        <w:trPr>
          <w:trHeight w:val="285"/>
        </w:trPr>
        <w:tc>
          <w:tcPr>
            <w:tcW w:w="1525" w:type="dxa"/>
            <w:tcBorders>
              <w:top w:val="nil"/>
              <w:left w:val="single" w:sz="4" w:space="0" w:color="000000"/>
              <w:bottom w:val="single" w:sz="4" w:space="0" w:color="000000"/>
              <w:right w:val="single" w:sz="4" w:space="0" w:color="000000"/>
            </w:tcBorders>
            <w:shd w:val="clear" w:color="auto" w:fill="auto"/>
            <w:noWrap/>
            <w:vAlign w:val="center"/>
            <w:hideMark/>
          </w:tcPr>
          <w:p w14:paraId="2950185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lastRenderedPageBreak/>
              <w:t>Ocular infections</w:t>
            </w:r>
          </w:p>
        </w:tc>
        <w:tc>
          <w:tcPr>
            <w:tcW w:w="5859" w:type="dxa"/>
            <w:tcBorders>
              <w:top w:val="nil"/>
              <w:left w:val="nil"/>
              <w:bottom w:val="single" w:sz="4" w:space="0" w:color="000000"/>
              <w:right w:val="nil"/>
            </w:tcBorders>
            <w:shd w:val="clear" w:color="auto" w:fill="auto"/>
            <w:noWrap/>
            <w:vAlign w:val="center"/>
            <w:hideMark/>
          </w:tcPr>
          <w:p w14:paraId="00C1EB5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Infection associated with contact lens wear, prior corneal surgery (LASIK, keratoplasty), or steroid use.  Usually indolent, recurrent, and drug-resistant. Severe cases may require keratoplasty</w:t>
            </w:r>
          </w:p>
        </w:tc>
        <w:tc>
          <w:tcPr>
            <w:tcW w:w="1966" w:type="dxa"/>
            <w:tcBorders>
              <w:top w:val="nil"/>
              <w:left w:val="single" w:sz="4" w:space="0" w:color="auto"/>
              <w:bottom w:val="single" w:sz="4" w:space="0" w:color="auto"/>
              <w:right w:val="single" w:sz="4" w:space="0" w:color="auto"/>
            </w:tcBorders>
            <w:shd w:val="clear" w:color="auto" w:fill="auto"/>
            <w:noWrap/>
            <w:vAlign w:val="center"/>
            <w:hideMark/>
          </w:tcPr>
          <w:p w14:paraId="2A6F2601" w14:textId="6E63419B"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gEmWjrX6","properties":{"formattedCitation":"(27\\uc0\\u8211{}29)","plainCitation":"(27–29)","noteIndex":0},"citationItems":[{"id":667,"uris":["http://zotero.org/users/12257494/items/L9WI5THL"],"itemData":{"id":667,"type":"article-journal","abstract":"Purpose\nTo describe a case of Achromobacter xylosoxidans keratitis with deep involvement of the corneal stroma and discuss its management.\n\nObservations\nA 73 year-old monocular male with infectious keratitis of the right eye was referred to the Wilmer Eye Institute after a month of empiric treatment with besifloxacin. On presentation, slit lamp examination of the right eye demonstrated a diffusely edematous cornea with three areas of corneal infiltrates and an overlying epithelial defect and a 1.3 mm hypopyon in the anterior chamber. The corneal culture performed grew A. xylosoxidans. Empiric antibiotic regimen was adjusted once corneal culture susceptibility results were available. Seven days later, slit lamp examination demonstrated a resolving epithelial defect, stable infiltrates, and resolution of the hypopyon. After approximately two months of follow up with his primary ophthalmologist, he was noted to have recurrent hypopyon and infiltrates and was referred back to Wilmer. Slit lamp examination again demonstrated an epithelial defect, diffuse corneal haze, deep stromal infiltrates, and a 1 mm hypopyon. Corneal infiltrates were too deep to culture. Ultimately, the patient underwent a therapeutic penetrating keratoplasty with anterior chamber washout resulting in improvement of vision.\n\nConclusions and importance\nThe indolent progression of A. xylosoxidans keratitis may predispose patients to delayed presentation and treatment. This can result in deep stromal infection that complicates management due to poor antibiotic penetration. Deep stromal infections in A. xylosoxidans keratitis warrant the consideration of intrastromal antibiotic injection or early therapeutic penetrating keratoplasty.","container-title":"American Journal of Ophthalmology Case Reports","DOI":"10.1016/j.ajoc.2018.06.006","ISSN":"2451-9936","journalAbbreviation":"Am J Ophthalmol Case Rep","note":"PMID: 29984332\nPMCID: PMC6031244","page":"128-130","source":"PubMed Central","title":"Severe Achromobacter xylosoxidans keratitis with deep corneal involvement","volume":"11","author":[{"family":"Lee","given":"Benjamin"},{"family":"Cai","given":"Cindy X."},{"family":"Srikumaran","given":"Divya"},{"family":"Woreta","given":"Fasika A."}],"issued":{"date-parts":[["2018",6,20]]}}},{"id":664,"uris":["http://zotero.org/users/12257494/items/XJD6H3V8"],"itemData":{"id":664,"type":"article-journal","abstract":"To report on Achromobacter xylosoxidans keratitis in two healthy patients who had worn contact lenses foran extended period of time. A 36-year-old female and a 21-year-old female visited our hospital with ocular pain and blurred vision. Both patients had a history of wearing soft contact lenses for over fve years with occasional overnight wear. At the initial presentation, a slit lamp examination revealed corneal stromal infiltrations and epithelial defects with peripheral neovascularization in both patients. Microbiological examinations were performed from samples of corneal scrapings, contact lenses, contact lens cases, and solution. The culture resulting from the samples taken from the contact lenses, contact lens cases, and solution were all positive for Achromobacter xylosoxidans. Confrming that the direct cause of the keratitis was the contact lenses, the frst patient was prescribed ceftazidime and amikacin drops sensitive to Achromobacter xylosoxidans. The second patient was treated with 0.3% gatifoxacin and fortifed tobramycin drops. After treatment, the corneal epithelial defects were completely healed, and subepithelial corneal opacity was observed. Two cases of Achromobacter xylosoxidans keratitis were reported in healthy young females who wore soft contact lenses. Achromobacter xylosoxidans should be considered a rare but potentially harmful pathogen for lens-induced keratitis in healthy hosts.","container-title":"Korean Journal of Ophthalmology : KJO","DOI":"10.3341/kjo.2012.26.1.49","ISSN":"1011-8942","issue":"1","journalAbbreviation":"Korean J Ophthalmol","note":"PMID: 22323886\nPMCID: PMC3268169","page":"49-53","source":"PubMed Central","title":"Achromobacter xylosoxidans Keratitis after Contact Lens Usage","volume":"26","author":[{"family":"Park","given":"Jung Hyun"},{"family":"Song","given":"Nang Hee"},{"family":"Koh","given":"Jae Woong"}],"issued":{"date-parts":[["2012",2]]}}},{"id":670,"uris":["http://zotero.org/users/12257494/items/J45WCNS3"],"itemData":{"id":670,"type":"article-journal","abstract":"An 83-year-old male with a history of radial keratotomy and laser-assisted in situ keratomileusis (LASIK) presented with symptoms of a non-resolving corneal ulcer in the right eye that had been present for five months. The patient was treated with antibacterial, antiviral, and antifungal medications over that period, with multiple recurrences that prompted referral to our tertiary center for management. Following a 48-hour cessation of all medications, a corneal biopsy was performed which grew Achromobacter xylosoxidans.\n\nIn conclusion, Achromobacter xylosoxidans remains a rare cause of keratitis but should be considered in patients with a slow-progressing disease. Risk factors include previous corneal surgeries or trauma, topical steroid use, and contact lens wear. Because A. xylosoxidans grows slowly, it can have a deep impact on the cornea. To help antibiotics get into the cornea properly, epithelial debridement may be helpful. It does not respond to standard empiric antibiotic therapy. Ceftazidime and fourth-generation fluoroquinolones are better choices for treatment.","container-title":"Cureus","DOI":"10.7759/cureus.75472","ISSN":"2168-8184","issue":"12","language":"en","note":"publisher: Cureus","source":"www.cureus.com","title":"Recurrent Indolent Keratitis Caused by Achromobacter xylosoxidans: A Case Report and Literature Review","title-short":"Recurrent Indolent Keratitis Caused by Achromobacter xylosoxidans","URL":"https://cureus.com/articles/285018-recurrent-indolent-keratitis-caused-by-achromobacter-xylosoxidans-a-case-report-and-literature-review","volume":"16","author":[{"family":"Sahawneh","given":"Haitham F."},{"family":"Franco","given":"Jimena"},{"family":"Abusamak","given":"Mohammad"},{"family":"Bartley","given":"Jeremy"},{"family":"Sahawneh","given":"Haitham F."},{"family":"Franco","given":"Jimena"},{"family":"Abusamak","given":"Mohammad"},{"family":"Bartley","given":"Jeremy"}],"accessed":{"date-parts":[["2025",9,2]]},"issued":{"date-parts":[["2024",12,10]]}}}],"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(27–29)</w:t>
            </w:r>
            <w:r w:rsidRPr="00275F80">
              <w:rPr>
                <w:rFonts w:ascii="Arial" w:hAnsi="Arial" w:cs="Arial"/>
                <w:color w:val="000000"/>
                <w:sz w:val="20"/>
              </w:rPr>
              <w:fldChar w:fldCharType="end"/>
            </w:r>
          </w:p>
        </w:tc>
      </w:tr>
      <w:tr w:rsidR="00F83A06" w:rsidRPr="002D6101" w14:paraId="59210287" w14:textId="77777777" w:rsidTr="00EC0BD3">
        <w:trPr>
          <w:trHeight w:val="285"/>
        </w:trPr>
        <w:tc>
          <w:tcPr>
            <w:tcW w:w="1525" w:type="dxa"/>
            <w:tcBorders>
              <w:top w:val="nil"/>
              <w:left w:val="single" w:sz="4" w:space="0" w:color="000000"/>
              <w:bottom w:val="single" w:sz="4" w:space="0" w:color="000000"/>
              <w:right w:val="single" w:sz="4" w:space="0" w:color="000000"/>
            </w:tcBorders>
            <w:shd w:val="clear" w:color="auto" w:fill="auto"/>
            <w:noWrap/>
            <w:vAlign w:val="center"/>
            <w:hideMark/>
          </w:tcPr>
          <w:p w14:paraId="13D923D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Otitis</w:t>
            </w:r>
          </w:p>
        </w:tc>
        <w:tc>
          <w:tcPr>
            <w:tcW w:w="5859" w:type="dxa"/>
            <w:tcBorders>
              <w:top w:val="nil"/>
              <w:left w:val="nil"/>
              <w:bottom w:val="single" w:sz="4" w:space="0" w:color="000000"/>
              <w:right w:val="nil"/>
            </w:tcBorders>
            <w:shd w:val="clear" w:color="auto" w:fill="auto"/>
            <w:noWrap/>
            <w:vAlign w:val="center"/>
            <w:hideMark/>
          </w:tcPr>
          <w:p w14:paraId="0C404BC8" w14:textId="77777777" w:rsidR="00F83A06" w:rsidRPr="00275F80" w:rsidRDefault="00F83A06" w:rsidP="006D6457">
            <w:pPr>
              <w:spacing w:line="480" w:lineRule="auto"/>
              <w:rPr>
                <w:rFonts w:ascii="Arial" w:hAnsi="Arial" w:cs="Arial"/>
                <w:i/>
                <w:iCs/>
                <w:color w:val="000000"/>
                <w:sz w:val="20"/>
              </w:rPr>
            </w:pPr>
            <w:r w:rsidRPr="00275F80">
              <w:rPr>
                <w:rFonts w:ascii="Arial" w:hAnsi="Arial" w:cs="Arial"/>
                <w:i/>
                <w:iCs/>
                <w:color w:val="000000"/>
                <w:sz w:val="20"/>
              </w:rPr>
              <w:t xml:space="preserve">Ax </w:t>
            </w:r>
            <w:r w:rsidRPr="00275F80">
              <w:rPr>
                <w:rFonts w:ascii="Arial" w:hAnsi="Arial" w:cs="Arial"/>
                <w:color w:val="000000"/>
                <w:sz w:val="20"/>
              </w:rPr>
              <w:t>was first identified in ear discharge from patients with chronic otitis media. Often, multidrug-resistant strains. Occurs in both immunocompromised and immunocompetent patients</w:t>
            </w:r>
          </w:p>
        </w:tc>
        <w:tc>
          <w:tcPr>
            <w:tcW w:w="1966" w:type="dxa"/>
            <w:tcBorders>
              <w:top w:val="nil"/>
              <w:left w:val="single" w:sz="4" w:space="0" w:color="auto"/>
              <w:bottom w:val="single" w:sz="4" w:space="0" w:color="auto"/>
              <w:right w:val="single" w:sz="4" w:space="0" w:color="auto"/>
            </w:tcBorders>
            <w:shd w:val="clear" w:color="auto" w:fill="auto"/>
            <w:noWrap/>
            <w:vAlign w:val="center"/>
            <w:hideMark/>
          </w:tcPr>
          <w:p w14:paraId="19A7E5A1" w14:textId="0E2E7CF2" w:rsidR="00F83A06" w:rsidRPr="00D81FB5" w:rsidRDefault="00F83A06" w:rsidP="006D6457">
            <w:pPr>
              <w:spacing w:line="480" w:lineRule="auto"/>
              <w:rPr>
                <w:rFonts w:ascii="Arial" w:hAnsi="Arial" w:cs="Arial"/>
                <w:color w:val="000000"/>
                <w:sz w:val="20"/>
                <w:lang w:val="es-MX"/>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YoVGXbE7","properties":{"formattedCitation":"(30\\uc0\\u8211{}32)","plainCitation":"(30–32)","noteIndex":0},"citationItems":[{"id":91,"uris":["http://zotero.org/users/12257494/items/ES6BXVVU"],"itemData":{"id":91,"type":"article-journal","container-title":"Japanese Journal of Microbiology","DOI":"10.1111/j.1348-0421.1971.tb00607.x","ISSN":"1348-0421","issue":"5","language":"en","note":"_eprint: https://onlinelibrary.wiley.com/doi/pdf/10.1111/j.1348-0421.1971.tb00607.x","page":"477-481","source":"Wiley Online Library","title":"Achromobacter xylosoxidans n. sp. from Human Ear Discharge","volume":"15","author":[{"family":"Yabuuchi","given":"Eiko"},{"family":"Ohyama","given":"Akio"}],"issued":{"date-parts":[["1971"]]}}},{"id":672,"uris":["http://zotero.org/users/12257494/items/25W6TJ6W"],"itemData":{"id":672,"type":"article-journal","abstract":"Achromobacter xylosoxidans is an uncommon cause of infection that has not previously been reported as a cause of chronic otitis externa and chronic otomastoiditis. We present the unique case of a 15-year old male with a remote history of multiple tympanostomy tube placements for recurrent acute otitis media. He presented with chronic right sided otorrhea and otalgia. A culture of the otorrhea isolated multi-drug resistant A. xylosoxidans on multiple culture isolates. The patient failed treatment with otic preparations, and topical and IV antibiotics. Imaging including CT and MRI reaffirmed ongoing infection. Due to the recalcitrant infection, he ultimately underwent tympanoplasty with intact canal wall mastoidectomy to achieve local control of the infection, with repeat cultures demonstrating A. xylosoxidans. At 3-month follow-up he was asymptomatic, and imaging with bone scan and SPECT/CT did not show evidence of osteomyelitis within the temporal bone. Immunologic work-up did not reveal any underlying immunodeficiency. Despite being characterized as an opportunistic organism with low virulence, A. xylosoxidans is capable of infecting patients without any underlying immunodeficiency, and it can be difficult to eradicate.","container-title":"Otolaryngology Case Reports","DOI":"10.1016/j.xocr.2020.100234","ISSN":"2468-5488","journalAbbreviation":"Otolaryngology Case Reports","page":"100234","source":"ScienceDirect","title":"Chronic otomastoiditis and otitis externa caused by &lt;i&gt;Achromobacter xylosoxidans&lt;/i&gt;","volume":"17","author":[{"family":"Curry","given":"Steven"},{"family":"Richman","given":"Evan"},{"family":"Hatch","given":"Jonathan"}],"issued":{"date-parts":[["2020",11,1]]}}},{"id":673,"uris":["http://zotero.org/users/12257494/items/IBBJA75B"],"itemData":{"id":673,"type":"article-journal","abstract":"PURPOSE: Achromobacter xylosoxidans is an emerging pathogen mainly associated with resistant nosocomial infections. This bacteria had been isolated in the ear together with other pathogens in cultures from patients with chronic otitis media, but it had never been reported as a cause of osteomyelitis of the external auditory canal.\nCASE PRESENTATION: We present a unique case of a healthy 81-year-old woman who presented with left chronic otorrhea refractory to topical and oral antibiotic treatment. Otomicroscopy revealed an erythematous and exudative external auditory canal (EAC) with scant otorrhea. The tympanic membrane was intact, but an area of bone remodeling with a small cavity anterior and inferior to the bony tympanic frame was observed. Otic culture isolated multi-drug-resistant A. xylosoxidans, only sensitive to meropenem and cotrimoxazole. Temporal bone computed tomography showed an excavation of the floor of the EAC compatible with osteomyelitis. Targeted antibiotherapy for 12 weeks was conduc</w:instrText>
            </w:r>
            <w:r w:rsidR="002A6978" w:rsidRPr="00D81FB5">
              <w:rPr>
                <w:rFonts w:ascii="Arial" w:hAnsi="Arial" w:cs="Arial"/>
                <w:color w:val="000000"/>
                <w:sz w:val="20"/>
                <w:lang w:val="es-MX"/>
              </w:rPr>
              <w:instrText xml:space="preserve">ted, with subsequent resolution of symptoms and no progression of the bone erosion.\nCONCLUSIONS: Atypical pathogens such as A. xylosoxidans can be the cause of chronic otitis externa. Early diagnosis and specific antibiotherapy can prevent the development of further complications, such as osteomyelitis. In these cases, otic cultures play an essential role to identify the causal germ. This is the first case of EAC osteomyelitis due to A. xylosoxidans reported to date.","container-title":"European archives of oto-rhino-laryngology: official journal of the European Federation of Oto-Rhino-Laryngological Societies (EUFOS): affiliated with the German Society for Oto-Rhino-Laryngology - Head and Neck Surgery","DOI":"10.1007/s00405-024-08465-8","ISSN":"1434-4726","issue":"4","journalAbbreviation":"Eur Arch Otorhinolaryngol","language":"eng","note":"PMID: 38367073\nPMCID: PMC10942891","page":"2031-2035","source":"PubMed","title":"Chronic otorrhea and osteomyelitis of the external auditory canal by Achromobacter xylosoxidans: an uncommon diagnosis","title-short":"Chronic otorrhea and osteomyelitis of the external auditory canal by Achromobacter xylosoxidans","volume":"281","author":[{"family":"Grau-van Laak","given":"Coloma"},{"family":"Ruiz-García","given":"Carmen"},{"family":"Lassaletta","given":"Luis"},{"family":"Morales-Puebla","given":"J. Manuel"}],"issued":{"date-parts":[["2024",4]]}}}],"schema":"https://github.com/citation-style-language/schema/raw/master/csl-citation.json"} </w:instrText>
            </w:r>
            <w:r w:rsidRPr="00275F80">
              <w:rPr>
                <w:rFonts w:ascii="Arial" w:hAnsi="Arial" w:cs="Arial"/>
                <w:color w:val="000000"/>
                <w:sz w:val="20"/>
              </w:rPr>
              <w:fldChar w:fldCharType="separate"/>
            </w:r>
            <w:r w:rsidR="002A6978" w:rsidRPr="00D81FB5">
              <w:rPr>
                <w:rFonts w:ascii="Arial" w:hAnsi="Arial" w:cs="Arial"/>
                <w:sz w:val="20"/>
                <w:lang w:val="es-MX"/>
              </w:rPr>
              <w:t>(30–32)</w:t>
            </w:r>
            <w:r w:rsidRPr="00275F80">
              <w:rPr>
                <w:rFonts w:ascii="Arial" w:hAnsi="Arial" w:cs="Arial"/>
                <w:color w:val="000000"/>
                <w:sz w:val="20"/>
              </w:rPr>
              <w:fldChar w:fldCharType="end"/>
            </w:r>
          </w:p>
        </w:tc>
      </w:tr>
    </w:tbl>
    <w:p w14:paraId="2C15CD38" w14:textId="77777777" w:rsidR="00451D5E" w:rsidRPr="00D81FB5" w:rsidRDefault="00451D5E" w:rsidP="006D6457">
      <w:pPr>
        <w:spacing w:line="480" w:lineRule="auto"/>
        <w:rPr>
          <w:rFonts w:ascii="Arial" w:hAnsi="Arial" w:cs="Arial"/>
          <w:sz w:val="20"/>
          <w:lang w:val="es-MX"/>
        </w:rPr>
      </w:pPr>
    </w:p>
    <w:p w14:paraId="3D98FEEB" w14:textId="77777777" w:rsidR="00451D5E" w:rsidRPr="00D81FB5" w:rsidRDefault="00451D5E" w:rsidP="00451D5E">
      <w:pPr>
        <w:pStyle w:val="SMHeading"/>
        <w:spacing w:line="480" w:lineRule="auto"/>
        <w:rPr>
          <w:rFonts w:ascii="Arial" w:hAnsi="Arial" w:cs="Arial"/>
          <w:b w:val="0"/>
          <w:bCs w:val="0"/>
          <w:sz w:val="20"/>
          <w:szCs w:val="20"/>
          <w:lang w:val="es-MX"/>
        </w:rPr>
      </w:pPr>
      <w:r w:rsidRPr="00D81FB5">
        <w:rPr>
          <w:rFonts w:ascii="Arial" w:hAnsi="Arial" w:cs="Arial"/>
          <w:sz w:val="20"/>
          <w:szCs w:val="20"/>
          <w:lang w:val="es-MX"/>
        </w:rPr>
        <w:t xml:space="preserve">Table S2. </w:t>
      </w:r>
      <w:proofErr w:type="spellStart"/>
      <w:r w:rsidRPr="00D81FB5">
        <w:rPr>
          <w:rFonts w:ascii="Arial" w:hAnsi="Arial" w:cs="Arial"/>
          <w:b w:val="0"/>
          <w:bCs w:val="0"/>
          <w:sz w:val="20"/>
          <w:szCs w:val="20"/>
          <w:lang w:val="es-MX"/>
        </w:rPr>
        <w:t>Model</w:t>
      </w:r>
      <w:proofErr w:type="spellEnd"/>
      <w:r w:rsidRPr="00D81FB5">
        <w:rPr>
          <w:rFonts w:ascii="Arial" w:hAnsi="Arial" w:cs="Arial"/>
          <w:b w:val="0"/>
          <w:bCs w:val="0"/>
          <w:sz w:val="20"/>
          <w:szCs w:val="20"/>
          <w:lang w:val="es-MX"/>
        </w:rPr>
        <w:t xml:space="preserve"> </w:t>
      </w:r>
      <w:proofErr w:type="spellStart"/>
      <w:r w:rsidRPr="00D81FB5">
        <w:rPr>
          <w:rFonts w:ascii="Arial" w:hAnsi="Arial" w:cs="Arial"/>
          <w:b w:val="0"/>
          <w:bCs w:val="0"/>
          <w:sz w:val="20"/>
          <w:szCs w:val="20"/>
          <w:lang w:val="es-MX"/>
        </w:rPr>
        <w:t>constraints</w:t>
      </w:r>
      <w:proofErr w:type="spellEnd"/>
      <w:r w:rsidRPr="00D81FB5">
        <w:rPr>
          <w:rFonts w:ascii="Arial" w:hAnsi="Arial" w:cs="Arial"/>
          <w:b w:val="0"/>
          <w:bCs w:val="0"/>
          <w:sz w:val="20"/>
          <w:szCs w:val="20"/>
          <w:lang w:val="es-MX"/>
        </w:rPr>
        <w:t xml:space="preserve"> </w:t>
      </w:r>
      <w:proofErr w:type="spellStart"/>
      <w:r w:rsidRPr="00D81FB5">
        <w:rPr>
          <w:rFonts w:ascii="Arial" w:hAnsi="Arial" w:cs="Arial"/>
          <w:b w:val="0"/>
          <w:bCs w:val="0"/>
          <w:sz w:val="20"/>
          <w:szCs w:val="20"/>
          <w:lang w:val="es-MX"/>
        </w:rPr>
        <w:t>for</w:t>
      </w:r>
      <w:proofErr w:type="spellEnd"/>
      <w:r w:rsidRPr="00D81FB5">
        <w:rPr>
          <w:rFonts w:ascii="Arial" w:hAnsi="Arial" w:cs="Arial"/>
          <w:b w:val="0"/>
          <w:bCs w:val="0"/>
          <w:sz w:val="20"/>
          <w:szCs w:val="20"/>
          <w:lang w:val="es-MX"/>
        </w:rPr>
        <w:t xml:space="preserve"> </w:t>
      </w:r>
      <w:proofErr w:type="spellStart"/>
      <w:r w:rsidRPr="00D81FB5">
        <w:rPr>
          <w:rFonts w:ascii="Arial" w:hAnsi="Arial" w:cs="Arial"/>
          <w:b w:val="0"/>
          <w:bCs w:val="0"/>
          <w:sz w:val="20"/>
          <w:szCs w:val="20"/>
          <w:lang w:val="es-MX"/>
        </w:rPr>
        <w:t>carbon</w:t>
      </w:r>
      <w:proofErr w:type="spellEnd"/>
      <w:r w:rsidRPr="00D81FB5">
        <w:rPr>
          <w:rFonts w:ascii="Arial" w:hAnsi="Arial" w:cs="Arial"/>
          <w:b w:val="0"/>
          <w:bCs w:val="0"/>
          <w:sz w:val="20"/>
          <w:szCs w:val="20"/>
          <w:lang w:val="es-MX"/>
        </w:rPr>
        <w:t xml:space="preserve"> </w:t>
      </w:r>
      <w:proofErr w:type="spellStart"/>
      <w:r w:rsidRPr="00D81FB5">
        <w:rPr>
          <w:rFonts w:ascii="Arial" w:hAnsi="Arial" w:cs="Arial"/>
          <w:b w:val="0"/>
          <w:bCs w:val="0"/>
          <w:sz w:val="20"/>
          <w:szCs w:val="20"/>
          <w:lang w:val="es-MX"/>
        </w:rPr>
        <w:t>utilization</w:t>
      </w:r>
      <w:proofErr w:type="spellEnd"/>
      <w:r w:rsidRPr="00D81FB5">
        <w:rPr>
          <w:rFonts w:ascii="Arial" w:hAnsi="Arial" w:cs="Arial"/>
          <w:b w:val="0"/>
          <w:bCs w:val="0"/>
          <w:sz w:val="20"/>
          <w:szCs w:val="20"/>
          <w:lang w:val="es-MX"/>
        </w:rPr>
        <w:t xml:space="preserve"> </w:t>
      </w:r>
      <w:proofErr w:type="spellStart"/>
      <w:r w:rsidRPr="00D81FB5">
        <w:rPr>
          <w:rFonts w:ascii="Arial" w:hAnsi="Arial" w:cs="Arial"/>
          <w:b w:val="0"/>
          <w:bCs w:val="0"/>
          <w:sz w:val="20"/>
          <w:szCs w:val="20"/>
          <w:lang w:val="es-MX"/>
        </w:rPr>
        <w:t>simulations</w:t>
      </w:r>
      <w:proofErr w:type="spellEnd"/>
    </w:p>
    <w:tbl>
      <w:tblPr>
        <w:tblW w:w="8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2096"/>
        <w:gridCol w:w="1380"/>
        <w:gridCol w:w="1205"/>
        <w:gridCol w:w="986"/>
        <w:gridCol w:w="986"/>
      </w:tblGrid>
      <w:tr w:rsidR="00451D5E" w:rsidRPr="002D6101" w14:paraId="274934BA" w14:textId="77777777" w:rsidTr="00B87BD2">
        <w:trPr>
          <w:trHeight w:val="291"/>
        </w:trPr>
        <w:tc>
          <w:tcPr>
            <w:tcW w:w="1911" w:type="dxa"/>
            <w:shd w:val="clear" w:color="auto" w:fill="auto"/>
            <w:noWrap/>
            <w:vAlign w:val="center"/>
            <w:hideMark/>
          </w:tcPr>
          <w:p w14:paraId="31785EEE" w14:textId="77777777" w:rsidR="00451D5E" w:rsidRPr="00D81FB5" w:rsidRDefault="00451D5E" w:rsidP="00B87BD2">
            <w:pPr>
              <w:spacing w:line="480" w:lineRule="auto"/>
              <w:rPr>
                <w:rFonts w:ascii="Arial" w:hAnsi="Arial" w:cs="Arial"/>
                <w:b/>
                <w:bCs/>
                <w:color w:val="000000"/>
                <w:sz w:val="20"/>
                <w:lang w:val="es-MX"/>
              </w:rPr>
            </w:pPr>
            <w:proofErr w:type="spellStart"/>
            <w:r w:rsidRPr="00D81FB5">
              <w:rPr>
                <w:rFonts w:ascii="Arial" w:hAnsi="Arial" w:cs="Arial"/>
                <w:b/>
                <w:bCs/>
                <w:color w:val="000000"/>
                <w:sz w:val="20"/>
                <w:lang w:val="es-MX"/>
              </w:rPr>
              <w:t>Reaction</w:t>
            </w:r>
            <w:proofErr w:type="spellEnd"/>
            <w:r w:rsidRPr="00D81FB5">
              <w:rPr>
                <w:rFonts w:ascii="Arial" w:hAnsi="Arial" w:cs="Arial"/>
                <w:b/>
                <w:bCs/>
                <w:color w:val="000000"/>
                <w:sz w:val="20"/>
                <w:lang w:val="es-MX"/>
              </w:rPr>
              <w:t xml:space="preserve"> ID</w:t>
            </w:r>
          </w:p>
        </w:tc>
        <w:tc>
          <w:tcPr>
            <w:tcW w:w="2096" w:type="dxa"/>
            <w:shd w:val="clear" w:color="auto" w:fill="auto"/>
            <w:noWrap/>
            <w:vAlign w:val="center"/>
            <w:hideMark/>
          </w:tcPr>
          <w:p w14:paraId="71DE96F7" w14:textId="77777777" w:rsidR="00451D5E" w:rsidRPr="00D81FB5" w:rsidRDefault="00451D5E" w:rsidP="00B87BD2">
            <w:pPr>
              <w:spacing w:line="480" w:lineRule="auto"/>
              <w:rPr>
                <w:rFonts w:ascii="Arial" w:hAnsi="Arial" w:cs="Arial"/>
                <w:b/>
                <w:bCs/>
                <w:color w:val="000000"/>
                <w:sz w:val="20"/>
                <w:lang w:val="es-MX"/>
              </w:rPr>
            </w:pPr>
            <w:proofErr w:type="spellStart"/>
            <w:r w:rsidRPr="00D81FB5">
              <w:rPr>
                <w:rFonts w:ascii="Arial" w:hAnsi="Arial" w:cs="Arial"/>
                <w:b/>
                <w:bCs/>
                <w:color w:val="000000"/>
                <w:sz w:val="20"/>
                <w:lang w:val="es-MX"/>
              </w:rPr>
              <w:t>Reaction</w:t>
            </w:r>
            <w:proofErr w:type="spellEnd"/>
            <w:r w:rsidRPr="00D81FB5">
              <w:rPr>
                <w:rFonts w:ascii="Arial" w:hAnsi="Arial" w:cs="Arial"/>
                <w:b/>
                <w:bCs/>
                <w:color w:val="000000"/>
                <w:sz w:val="20"/>
                <w:lang w:val="es-MX"/>
              </w:rPr>
              <w:t xml:space="preserve"> </w:t>
            </w:r>
            <w:proofErr w:type="spellStart"/>
            <w:r w:rsidRPr="00D81FB5">
              <w:rPr>
                <w:rFonts w:ascii="Arial" w:hAnsi="Arial" w:cs="Arial"/>
                <w:b/>
                <w:bCs/>
                <w:color w:val="000000"/>
                <w:sz w:val="20"/>
                <w:lang w:val="es-MX"/>
              </w:rPr>
              <w:t>name</w:t>
            </w:r>
            <w:proofErr w:type="spellEnd"/>
          </w:p>
        </w:tc>
        <w:tc>
          <w:tcPr>
            <w:tcW w:w="1380" w:type="dxa"/>
            <w:shd w:val="clear" w:color="auto" w:fill="auto"/>
            <w:noWrap/>
            <w:vAlign w:val="center"/>
            <w:hideMark/>
          </w:tcPr>
          <w:p w14:paraId="03527F04" w14:textId="77777777" w:rsidR="00451D5E" w:rsidRPr="00D81FB5" w:rsidRDefault="00451D5E" w:rsidP="00B87BD2">
            <w:pPr>
              <w:spacing w:line="480" w:lineRule="auto"/>
              <w:rPr>
                <w:rFonts w:ascii="Arial" w:hAnsi="Arial" w:cs="Arial"/>
                <w:b/>
                <w:bCs/>
                <w:color w:val="000000"/>
                <w:sz w:val="20"/>
                <w:lang w:val="es-MX"/>
              </w:rPr>
            </w:pPr>
            <w:proofErr w:type="spellStart"/>
            <w:r w:rsidRPr="00D81FB5">
              <w:rPr>
                <w:rFonts w:ascii="Arial" w:hAnsi="Arial" w:cs="Arial"/>
                <w:b/>
                <w:bCs/>
                <w:color w:val="000000"/>
                <w:sz w:val="20"/>
                <w:lang w:val="es-MX"/>
              </w:rPr>
              <w:t>Reaction</w:t>
            </w:r>
            <w:proofErr w:type="spellEnd"/>
            <w:r w:rsidRPr="00D81FB5">
              <w:rPr>
                <w:rFonts w:ascii="Arial" w:hAnsi="Arial" w:cs="Arial"/>
                <w:b/>
                <w:bCs/>
                <w:color w:val="000000"/>
                <w:sz w:val="20"/>
                <w:lang w:val="es-MX"/>
              </w:rPr>
              <w:t xml:space="preserve"> Formula</w:t>
            </w:r>
          </w:p>
        </w:tc>
        <w:tc>
          <w:tcPr>
            <w:tcW w:w="1137" w:type="dxa"/>
            <w:shd w:val="clear" w:color="auto" w:fill="auto"/>
            <w:noWrap/>
            <w:vAlign w:val="center"/>
            <w:hideMark/>
          </w:tcPr>
          <w:p w14:paraId="0EDF648B" w14:textId="77777777" w:rsidR="00451D5E" w:rsidRPr="00D81FB5" w:rsidRDefault="00451D5E" w:rsidP="00B87BD2">
            <w:pPr>
              <w:spacing w:line="480" w:lineRule="auto"/>
              <w:rPr>
                <w:rFonts w:ascii="Arial" w:hAnsi="Arial" w:cs="Arial"/>
                <w:b/>
                <w:bCs/>
                <w:color w:val="000000"/>
                <w:sz w:val="20"/>
                <w:lang w:val="es-MX"/>
              </w:rPr>
            </w:pPr>
            <w:proofErr w:type="spellStart"/>
            <w:r w:rsidRPr="00D81FB5">
              <w:rPr>
                <w:rFonts w:ascii="Arial" w:hAnsi="Arial" w:cs="Arial"/>
                <w:b/>
                <w:bCs/>
                <w:color w:val="000000"/>
                <w:sz w:val="20"/>
                <w:lang w:val="es-MX"/>
              </w:rPr>
              <w:t>Metabolite</w:t>
            </w:r>
            <w:proofErr w:type="spellEnd"/>
          </w:p>
        </w:tc>
        <w:tc>
          <w:tcPr>
            <w:tcW w:w="986" w:type="dxa"/>
            <w:shd w:val="clear" w:color="auto" w:fill="auto"/>
            <w:noWrap/>
            <w:vAlign w:val="center"/>
            <w:hideMark/>
          </w:tcPr>
          <w:p w14:paraId="2B20E2CB" w14:textId="77777777" w:rsidR="00451D5E" w:rsidRPr="00D81FB5" w:rsidRDefault="00451D5E" w:rsidP="00B87BD2">
            <w:pPr>
              <w:spacing w:line="480" w:lineRule="auto"/>
              <w:rPr>
                <w:rFonts w:ascii="Arial" w:hAnsi="Arial" w:cs="Arial"/>
                <w:b/>
                <w:bCs/>
                <w:color w:val="000000"/>
                <w:sz w:val="20"/>
                <w:lang w:val="es-MX"/>
              </w:rPr>
            </w:pPr>
            <w:proofErr w:type="spellStart"/>
            <w:r w:rsidRPr="00D81FB5">
              <w:rPr>
                <w:rFonts w:ascii="Arial" w:hAnsi="Arial" w:cs="Arial"/>
                <w:b/>
                <w:bCs/>
                <w:color w:val="000000"/>
                <w:sz w:val="20"/>
                <w:lang w:val="es-MX"/>
              </w:rPr>
              <w:t>Lower</w:t>
            </w:r>
            <w:proofErr w:type="spellEnd"/>
            <w:r w:rsidRPr="00D81FB5">
              <w:rPr>
                <w:rFonts w:ascii="Arial" w:hAnsi="Arial" w:cs="Arial"/>
                <w:b/>
                <w:bCs/>
                <w:color w:val="000000"/>
                <w:sz w:val="20"/>
                <w:lang w:val="es-MX"/>
              </w:rPr>
              <w:t xml:space="preserve"> </w:t>
            </w:r>
            <w:proofErr w:type="spellStart"/>
            <w:r w:rsidRPr="00D81FB5">
              <w:rPr>
                <w:rFonts w:ascii="Arial" w:hAnsi="Arial" w:cs="Arial"/>
                <w:b/>
                <w:bCs/>
                <w:color w:val="000000"/>
                <w:sz w:val="20"/>
                <w:lang w:val="es-MX"/>
              </w:rPr>
              <w:t>bound</w:t>
            </w:r>
            <w:proofErr w:type="spellEnd"/>
          </w:p>
        </w:tc>
        <w:tc>
          <w:tcPr>
            <w:tcW w:w="986" w:type="dxa"/>
            <w:shd w:val="clear" w:color="auto" w:fill="auto"/>
            <w:noWrap/>
            <w:vAlign w:val="center"/>
            <w:hideMark/>
          </w:tcPr>
          <w:p w14:paraId="27A95C5D" w14:textId="77777777" w:rsidR="00451D5E" w:rsidRPr="00D81FB5" w:rsidRDefault="00451D5E" w:rsidP="00B87BD2">
            <w:pPr>
              <w:spacing w:line="480" w:lineRule="auto"/>
              <w:rPr>
                <w:rFonts w:ascii="Arial" w:hAnsi="Arial" w:cs="Arial"/>
                <w:b/>
                <w:bCs/>
                <w:color w:val="000000"/>
                <w:sz w:val="20"/>
                <w:lang w:val="es-MX"/>
              </w:rPr>
            </w:pPr>
            <w:proofErr w:type="spellStart"/>
            <w:r w:rsidRPr="00D81FB5">
              <w:rPr>
                <w:rFonts w:ascii="Arial" w:hAnsi="Arial" w:cs="Arial"/>
                <w:b/>
                <w:bCs/>
                <w:color w:val="000000"/>
                <w:sz w:val="20"/>
                <w:lang w:val="es-MX"/>
              </w:rPr>
              <w:t>Upper</w:t>
            </w:r>
            <w:proofErr w:type="spellEnd"/>
            <w:r w:rsidRPr="00D81FB5">
              <w:rPr>
                <w:rFonts w:ascii="Arial" w:hAnsi="Arial" w:cs="Arial"/>
                <w:b/>
                <w:bCs/>
                <w:color w:val="000000"/>
                <w:sz w:val="20"/>
                <w:lang w:val="es-MX"/>
              </w:rPr>
              <w:t xml:space="preserve"> </w:t>
            </w:r>
            <w:proofErr w:type="spellStart"/>
            <w:r w:rsidRPr="00D81FB5">
              <w:rPr>
                <w:rFonts w:ascii="Arial" w:hAnsi="Arial" w:cs="Arial"/>
                <w:b/>
                <w:bCs/>
                <w:color w:val="000000"/>
                <w:sz w:val="20"/>
                <w:lang w:val="es-MX"/>
              </w:rPr>
              <w:t>bound</w:t>
            </w:r>
            <w:proofErr w:type="spellEnd"/>
          </w:p>
        </w:tc>
      </w:tr>
      <w:tr w:rsidR="00451D5E" w:rsidRPr="002D6101" w14:paraId="15C1D875" w14:textId="77777777" w:rsidTr="00B87BD2">
        <w:trPr>
          <w:trHeight w:val="291"/>
        </w:trPr>
        <w:tc>
          <w:tcPr>
            <w:tcW w:w="1911" w:type="dxa"/>
            <w:shd w:val="clear" w:color="auto" w:fill="auto"/>
            <w:noWrap/>
            <w:vAlign w:val="center"/>
            <w:hideMark/>
          </w:tcPr>
          <w:p w14:paraId="3E788E59"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EX_pi_e</w:t>
            </w:r>
            <w:proofErr w:type="spellEnd"/>
          </w:p>
        </w:tc>
        <w:tc>
          <w:tcPr>
            <w:tcW w:w="2096" w:type="dxa"/>
            <w:shd w:val="clear" w:color="auto" w:fill="auto"/>
            <w:noWrap/>
            <w:vAlign w:val="center"/>
            <w:hideMark/>
          </w:tcPr>
          <w:p w14:paraId="31F9D0D0"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Phosphate</w:t>
            </w:r>
            <w:proofErr w:type="spellEnd"/>
            <w:r w:rsidRPr="00D81FB5">
              <w:rPr>
                <w:rFonts w:ascii="Arial" w:hAnsi="Arial" w:cs="Arial"/>
                <w:color w:val="000000"/>
                <w:sz w:val="20"/>
                <w:lang w:val="es-MX"/>
              </w:rPr>
              <w:t xml:space="preserve">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57CC854A"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pi_</w:t>
            </w:r>
            <w:proofErr w:type="gramStart"/>
            <w:r w:rsidRPr="00D81FB5">
              <w:rPr>
                <w:rFonts w:ascii="Arial" w:hAnsi="Arial" w:cs="Arial"/>
                <w:color w:val="000000"/>
                <w:sz w:val="20"/>
                <w:lang w:val="es-MX"/>
              </w:rPr>
              <w:t>e</w:t>
            </w:r>
            <w:proofErr w:type="spellEnd"/>
            <w:r w:rsidRPr="00D81FB5">
              <w:rPr>
                <w:rFonts w:ascii="Arial" w:hAnsi="Arial" w:cs="Arial"/>
                <w:color w:val="000000"/>
                <w:sz w:val="20"/>
                <w:lang w:val="es-MX"/>
              </w:rPr>
              <w:t xml:space="preserv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5C225DE5"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pi_e</w:t>
            </w:r>
            <w:proofErr w:type="spellEnd"/>
          </w:p>
        </w:tc>
        <w:tc>
          <w:tcPr>
            <w:tcW w:w="986" w:type="dxa"/>
            <w:shd w:val="clear" w:color="auto" w:fill="auto"/>
            <w:noWrap/>
            <w:vAlign w:val="center"/>
            <w:hideMark/>
          </w:tcPr>
          <w:p w14:paraId="2D78F741"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14B24305"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03559507" w14:textId="77777777" w:rsidTr="00B87BD2">
        <w:trPr>
          <w:trHeight w:val="291"/>
        </w:trPr>
        <w:tc>
          <w:tcPr>
            <w:tcW w:w="1911" w:type="dxa"/>
            <w:shd w:val="clear" w:color="auto" w:fill="auto"/>
            <w:noWrap/>
            <w:vAlign w:val="center"/>
            <w:hideMark/>
          </w:tcPr>
          <w:p w14:paraId="4899B87A"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EX_co2_e</w:t>
            </w:r>
          </w:p>
        </w:tc>
        <w:tc>
          <w:tcPr>
            <w:tcW w:w="2096" w:type="dxa"/>
            <w:shd w:val="clear" w:color="auto" w:fill="auto"/>
            <w:noWrap/>
            <w:vAlign w:val="center"/>
            <w:hideMark/>
          </w:tcPr>
          <w:p w14:paraId="4C46EE18"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CO2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5828FD63"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co2_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378DA3AB"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co2_e</w:t>
            </w:r>
          </w:p>
        </w:tc>
        <w:tc>
          <w:tcPr>
            <w:tcW w:w="986" w:type="dxa"/>
            <w:shd w:val="clear" w:color="auto" w:fill="auto"/>
            <w:noWrap/>
            <w:vAlign w:val="center"/>
            <w:hideMark/>
          </w:tcPr>
          <w:p w14:paraId="4FCCB5C1"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7B6596C2"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3C88FB94" w14:textId="77777777" w:rsidTr="00B87BD2">
        <w:trPr>
          <w:trHeight w:val="291"/>
        </w:trPr>
        <w:tc>
          <w:tcPr>
            <w:tcW w:w="1911" w:type="dxa"/>
            <w:shd w:val="clear" w:color="auto" w:fill="auto"/>
            <w:noWrap/>
            <w:vAlign w:val="center"/>
            <w:hideMark/>
          </w:tcPr>
          <w:p w14:paraId="0542ED76"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EX_fe3_e</w:t>
            </w:r>
          </w:p>
        </w:tc>
        <w:tc>
          <w:tcPr>
            <w:tcW w:w="2096" w:type="dxa"/>
            <w:shd w:val="clear" w:color="auto" w:fill="auto"/>
            <w:noWrap/>
            <w:vAlign w:val="center"/>
            <w:hideMark/>
          </w:tcPr>
          <w:p w14:paraId="739C7904"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Fe3+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54DB94A6"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fe3_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06E28A70"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fe3_e</w:t>
            </w:r>
          </w:p>
        </w:tc>
        <w:tc>
          <w:tcPr>
            <w:tcW w:w="986" w:type="dxa"/>
            <w:shd w:val="clear" w:color="auto" w:fill="auto"/>
            <w:noWrap/>
            <w:vAlign w:val="center"/>
            <w:hideMark/>
          </w:tcPr>
          <w:p w14:paraId="3BE58DE8"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7081BEFE"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3064DAC2" w14:textId="77777777" w:rsidTr="00B87BD2">
        <w:trPr>
          <w:trHeight w:val="291"/>
        </w:trPr>
        <w:tc>
          <w:tcPr>
            <w:tcW w:w="1911" w:type="dxa"/>
            <w:shd w:val="clear" w:color="auto" w:fill="auto"/>
            <w:noWrap/>
            <w:vAlign w:val="center"/>
            <w:hideMark/>
          </w:tcPr>
          <w:p w14:paraId="6E28266B"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EX_h_e</w:t>
            </w:r>
            <w:proofErr w:type="spellEnd"/>
          </w:p>
        </w:tc>
        <w:tc>
          <w:tcPr>
            <w:tcW w:w="2096" w:type="dxa"/>
            <w:shd w:val="clear" w:color="auto" w:fill="auto"/>
            <w:noWrap/>
            <w:vAlign w:val="center"/>
            <w:hideMark/>
          </w:tcPr>
          <w:p w14:paraId="1556C5EB"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H+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3CF38357"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h_</w:t>
            </w:r>
            <w:proofErr w:type="gramStart"/>
            <w:r w:rsidRPr="00D81FB5">
              <w:rPr>
                <w:rFonts w:ascii="Arial" w:hAnsi="Arial" w:cs="Arial"/>
                <w:color w:val="000000"/>
                <w:sz w:val="20"/>
                <w:lang w:val="es-MX"/>
              </w:rPr>
              <w:t>e</w:t>
            </w:r>
            <w:proofErr w:type="spellEnd"/>
            <w:r w:rsidRPr="00D81FB5">
              <w:rPr>
                <w:rFonts w:ascii="Arial" w:hAnsi="Arial" w:cs="Arial"/>
                <w:color w:val="000000"/>
                <w:sz w:val="20"/>
                <w:lang w:val="es-MX"/>
              </w:rPr>
              <w:t xml:space="preserv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65027892"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h_e</w:t>
            </w:r>
            <w:proofErr w:type="spellEnd"/>
          </w:p>
        </w:tc>
        <w:tc>
          <w:tcPr>
            <w:tcW w:w="986" w:type="dxa"/>
            <w:shd w:val="clear" w:color="auto" w:fill="auto"/>
            <w:noWrap/>
            <w:vAlign w:val="center"/>
            <w:hideMark/>
          </w:tcPr>
          <w:p w14:paraId="2AD85C52"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495A831D"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70D47254" w14:textId="77777777" w:rsidTr="00B87BD2">
        <w:trPr>
          <w:trHeight w:val="291"/>
        </w:trPr>
        <w:tc>
          <w:tcPr>
            <w:tcW w:w="1911" w:type="dxa"/>
            <w:shd w:val="clear" w:color="auto" w:fill="auto"/>
            <w:noWrap/>
            <w:vAlign w:val="center"/>
            <w:hideMark/>
          </w:tcPr>
          <w:p w14:paraId="28291B8C"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EX_mn2_e</w:t>
            </w:r>
          </w:p>
        </w:tc>
        <w:tc>
          <w:tcPr>
            <w:tcW w:w="2096" w:type="dxa"/>
            <w:shd w:val="clear" w:color="auto" w:fill="auto"/>
            <w:noWrap/>
            <w:vAlign w:val="center"/>
            <w:hideMark/>
          </w:tcPr>
          <w:p w14:paraId="4C127FE2"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Mn2+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7CC0D983"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mn2_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0D6583AF"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mn2_e</w:t>
            </w:r>
          </w:p>
        </w:tc>
        <w:tc>
          <w:tcPr>
            <w:tcW w:w="986" w:type="dxa"/>
            <w:shd w:val="clear" w:color="auto" w:fill="auto"/>
            <w:noWrap/>
            <w:vAlign w:val="center"/>
            <w:hideMark/>
          </w:tcPr>
          <w:p w14:paraId="0A798541"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72F9B653"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0E6251B2" w14:textId="77777777" w:rsidTr="00B87BD2">
        <w:trPr>
          <w:trHeight w:val="291"/>
        </w:trPr>
        <w:tc>
          <w:tcPr>
            <w:tcW w:w="1911" w:type="dxa"/>
            <w:shd w:val="clear" w:color="auto" w:fill="auto"/>
            <w:noWrap/>
            <w:vAlign w:val="center"/>
            <w:hideMark/>
          </w:tcPr>
          <w:p w14:paraId="2132FB2D"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EX_succ_e</w:t>
            </w:r>
            <w:proofErr w:type="spellEnd"/>
          </w:p>
        </w:tc>
        <w:tc>
          <w:tcPr>
            <w:tcW w:w="2096" w:type="dxa"/>
            <w:shd w:val="clear" w:color="auto" w:fill="auto"/>
            <w:noWrap/>
            <w:vAlign w:val="center"/>
            <w:hideMark/>
          </w:tcPr>
          <w:p w14:paraId="3BDAAE29"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Succinate</w:t>
            </w:r>
            <w:proofErr w:type="spellEnd"/>
            <w:r w:rsidRPr="00D81FB5">
              <w:rPr>
                <w:rFonts w:ascii="Arial" w:hAnsi="Arial" w:cs="Arial"/>
                <w:color w:val="000000"/>
                <w:sz w:val="20"/>
                <w:lang w:val="es-MX"/>
              </w:rPr>
              <w:t xml:space="preserve">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4F58394E"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succ_</w:t>
            </w:r>
            <w:proofErr w:type="gramStart"/>
            <w:r w:rsidRPr="00D81FB5">
              <w:rPr>
                <w:rFonts w:ascii="Arial" w:hAnsi="Arial" w:cs="Arial"/>
                <w:color w:val="000000"/>
                <w:sz w:val="20"/>
                <w:lang w:val="es-MX"/>
              </w:rPr>
              <w:t>e</w:t>
            </w:r>
            <w:proofErr w:type="spellEnd"/>
            <w:r w:rsidRPr="00D81FB5">
              <w:rPr>
                <w:rFonts w:ascii="Arial" w:hAnsi="Arial" w:cs="Arial"/>
                <w:color w:val="000000"/>
                <w:sz w:val="20"/>
                <w:lang w:val="es-MX"/>
              </w:rPr>
              <w:t xml:space="preserv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069B3A15"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succ_e</w:t>
            </w:r>
            <w:proofErr w:type="spellEnd"/>
          </w:p>
        </w:tc>
        <w:tc>
          <w:tcPr>
            <w:tcW w:w="986" w:type="dxa"/>
            <w:shd w:val="clear" w:color="auto" w:fill="auto"/>
            <w:noWrap/>
            <w:vAlign w:val="center"/>
            <w:hideMark/>
          </w:tcPr>
          <w:p w14:paraId="0C0FFBD1"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0</w:t>
            </w:r>
          </w:p>
        </w:tc>
        <w:tc>
          <w:tcPr>
            <w:tcW w:w="986" w:type="dxa"/>
            <w:shd w:val="clear" w:color="auto" w:fill="auto"/>
            <w:noWrap/>
            <w:vAlign w:val="center"/>
            <w:hideMark/>
          </w:tcPr>
          <w:p w14:paraId="5C3C3FA4"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1D2AC966" w14:textId="77777777" w:rsidTr="00B87BD2">
        <w:trPr>
          <w:trHeight w:val="291"/>
        </w:trPr>
        <w:tc>
          <w:tcPr>
            <w:tcW w:w="1911" w:type="dxa"/>
            <w:shd w:val="clear" w:color="auto" w:fill="auto"/>
            <w:noWrap/>
            <w:vAlign w:val="center"/>
            <w:hideMark/>
          </w:tcPr>
          <w:p w14:paraId="6CE4C858"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EX_fe2_e</w:t>
            </w:r>
          </w:p>
        </w:tc>
        <w:tc>
          <w:tcPr>
            <w:tcW w:w="2096" w:type="dxa"/>
            <w:shd w:val="clear" w:color="auto" w:fill="auto"/>
            <w:noWrap/>
            <w:vAlign w:val="center"/>
            <w:hideMark/>
          </w:tcPr>
          <w:p w14:paraId="1FE6B807"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Fe2+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712EB949"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fe2_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28871012"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fe2_e</w:t>
            </w:r>
          </w:p>
        </w:tc>
        <w:tc>
          <w:tcPr>
            <w:tcW w:w="986" w:type="dxa"/>
            <w:shd w:val="clear" w:color="auto" w:fill="auto"/>
            <w:noWrap/>
            <w:vAlign w:val="center"/>
            <w:hideMark/>
          </w:tcPr>
          <w:p w14:paraId="60804167"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3359F578"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70787CE4" w14:textId="77777777" w:rsidTr="00B87BD2">
        <w:trPr>
          <w:trHeight w:val="291"/>
        </w:trPr>
        <w:tc>
          <w:tcPr>
            <w:tcW w:w="1911" w:type="dxa"/>
            <w:shd w:val="clear" w:color="auto" w:fill="auto"/>
            <w:noWrap/>
            <w:vAlign w:val="center"/>
            <w:hideMark/>
          </w:tcPr>
          <w:p w14:paraId="0D7D0881"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EX_zn2_e</w:t>
            </w:r>
          </w:p>
        </w:tc>
        <w:tc>
          <w:tcPr>
            <w:tcW w:w="2096" w:type="dxa"/>
            <w:shd w:val="clear" w:color="auto" w:fill="auto"/>
            <w:noWrap/>
            <w:vAlign w:val="center"/>
            <w:hideMark/>
          </w:tcPr>
          <w:p w14:paraId="10BBE40E"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Zinc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1328A07D"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zn2_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18A1A61E"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zn2_e</w:t>
            </w:r>
          </w:p>
        </w:tc>
        <w:tc>
          <w:tcPr>
            <w:tcW w:w="986" w:type="dxa"/>
            <w:shd w:val="clear" w:color="auto" w:fill="auto"/>
            <w:noWrap/>
            <w:vAlign w:val="center"/>
            <w:hideMark/>
          </w:tcPr>
          <w:p w14:paraId="0C6E840D"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06CC8E37"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3156E20D" w14:textId="77777777" w:rsidTr="00B87BD2">
        <w:trPr>
          <w:trHeight w:val="291"/>
        </w:trPr>
        <w:tc>
          <w:tcPr>
            <w:tcW w:w="1911" w:type="dxa"/>
            <w:shd w:val="clear" w:color="auto" w:fill="auto"/>
            <w:noWrap/>
            <w:vAlign w:val="center"/>
            <w:hideMark/>
          </w:tcPr>
          <w:p w14:paraId="595C1769"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EX_mg2_e</w:t>
            </w:r>
          </w:p>
        </w:tc>
        <w:tc>
          <w:tcPr>
            <w:tcW w:w="2096" w:type="dxa"/>
            <w:shd w:val="clear" w:color="auto" w:fill="auto"/>
            <w:noWrap/>
            <w:vAlign w:val="center"/>
            <w:hideMark/>
          </w:tcPr>
          <w:p w14:paraId="3CFAF63B"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Mg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02C4FC2C"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mg2_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5A0AC314"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mg2_e</w:t>
            </w:r>
          </w:p>
        </w:tc>
        <w:tc>
          <w:tcPr>
            <w:tcW w:w="986" w:type="dxa"/>
            <w:shd w:val="clear" w:color="auto" w:fill="auto"/>
            <w:noWrap/>
            <w:vAlign w:val="center"/>
            <w:hideMark/>
          </w:tcPr>
          <w:p w14:paraId="69EABEB7"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6DA36B43"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76DA1D63" w14:textId="77777777" w:rsidTr="00B87BD2">
        <w:trPr>
          <w:trHeight w:val="291"/>
        </w:trPr>
        <w:tc>
          <w:tcPr>
            <w:tcW w:w="1911" w:type="dxa"/>
            <w:shd w:val="clear" w:color="auto" w:fill="auto"/>
            <w:noWrap/>
            <w:vAlign w:val="center"/>
            <w:hideMark/>
          </w:tcPr>
          <w:p w14:paraId="6D2AD82C"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lastRenderedPageBreak/>
              <w:t>EX_ca2_e</w:t>
            </w:r>
          </w:p>
        </w:tc>
        <w:tc>
          <w:tcPr>
            <w:tcW w:w="2096" w:type="dxa"/>
            <w:shd w:val="clear" w:color="auto" w:fill="auto"/>
            <w:noWrap/>
            <w:vAlign w:val="center"/>
            <w:hideMark/>
          </w:tcPr>
          <w:p w14:paraId="1FB40CD1"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Calcium</w:t>
            </w:r>
            <w:proofErr w:type="spellEnd"/>
            <w:r w:rsidRPr="00D81FB5">
              <w:rPr>
                <w:rFonts w:ascii="Arial" w:hAnsi="Arial" w:cs="Arial"/>
                <w:color w:val="000000"/>
                <w:sz w:val="20"/>
                <w:lang w:val="es-MX"/>
              </w:rPr>
              <w:t xml:space="preserve">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595C7914"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ca2_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4B9DD539"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ca2_e</w:t>
            </w:r>
          </w:p>
        </w:tc>
        <w:tc>
          <w:tcPr>
            <w:tcW w:w="986" w:type="dxa"/>
            <w:shd w:val="clear" w:color="auto" w:fill="auto"/>
            <w:noWrap/>
            <w:vAlign w:val="center"/>
            <w:hideMark/>
          </w:tcPr>
          <w:p w14:paraId="0109C733"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6F2B9AAF"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320D1758" w14:textId="77777777" w:rsidTr="00B87BD2">
        <w:trPr>
          <w:trHeight w:val="291"/>
        </w:trPr>
        <w:tc>
          <w:tcPr>
            <w:tcW w:w="1911" w:type="dxa"/>
            <w:shd w:val="clear" w:color="auto" w:fill="auto"/>
            <w:noWrap/>
            <w:vAlign w:val="center"/>
            <w:hideMark/>
          </w:tcPr>
          <w:p w14:paraId="28A66769"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EX_ni2_e</w:t>
            </w:r>
          </w:p>
        </w:tc>
        <w:tc>
          <w:tcPr>
            <w:tcW w:w="2096" w:type="dxa"/>
            <w:shd w:val="clear" w:color="auto" w:fill="auto"/>
            <w:noWrap/>
            <w:vAlign w:val="center"/>
            <w:hideMark/>
          </w:tcPr>
          <w:p w14:paraId="12D9F825"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Ni2+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4F11647B"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ni2_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69488FA2"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ni2_e</w:t>
            </w:r>
          </w:p>
        </w:tc>
        <w:tc>
          <w:tcPr>
            <w:tcW w:w="986" w:type="dxa"/>
            <w:shd w:val="clear" w:color="auto" w:fill="auto"/>
            <w:noWrap/>
            <w:vAlign w:val="center"/>
            <w:hideMark/>
          </w:tcPr>
          <w:p w14:paraId="1FBB2899"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6A113AE3"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5E5B32F1" w14:textId="77777777" w:rsidTr="00B87BD2">
        <w:trPr>
          <w:trHeight w:val="291"/>
        </w:trPr>
        <w:tc>
          <w:tcPr>
            <w:tcW w:w="1911" w:type="dxa"/>
            <w:shd w:val="clear" w:color="auto" w:fill="auto"/>
            <w:noWrap/>
            <w:vAlign w:val="center"/>
            <w:hideMark/>
          </w:tcPr>
          <w:p w14:paraId="3B454EA1"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EX_cu2_e</w:t>
            </w:r>
          </w:p>
        </w:tc>
        <w:tc>
          <w:tcPr>
            <w:tcW w:w="2096" w:type="dxa"/>
            <w:shd w:val="clear" w:color="auto" w:fill="auto"/>
            <w:noWrap/>
            <w:vAlign w:val="center"/>
            <w:hideMark/>
          </w:tcPr>
          <w:p w14:paraId="6CE65126"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Cu2+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5AC416C3"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cu2_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2FAA2FB3"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cu2_e</w:t>
            </w:r>
          </w:p>
        </w:tc>
        <w:tc>
          <w:tcPr>
            <w:tcW w:w="986" w:type="dxa"/>
            <w:shd w:val="clear" w:color="auto" w:fill="auto"/>
            <w:noWrap/>
            <w:vAlign w:val="center"/>
            <w:hideMark/>
          </w:tcPr>
          <w:p w14:paraId="2EF4BF58"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7E5D5A39"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0C4ABC00" w14:textId="77777777" w:rsidTr="00B87BD2">
        <w:trPr>
          <w:trHeight w:val="291"/>
        </w:trPr>
        <w:tc>
          <w:tcPr>
            <w:tcW w:w="1911" w:type="dxa"/>
            <w:shd w:val="clear" w:color="auto" w:fill="auto"/>
            <w:noWrap/>
            <w:vAlign w:val="center"/>
            <w:hideMark/>
          </w:tcPr>
          <w:p w14:paraId="6BBE39AA"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EX_sel_e</w:t>
            </w:r>
            <w:proofErr w:type="spellEnd"/>
          </w:p>
        </w:tc>
        <w:tc>
          <w:tcPr>
            <w:tcW w:w="2096" w:type="dxa"/>
            <w:shd w:val="clear" w:color="auto" w:fill="auto"/>
            <w:noWrap/>
            <w:vAlign w:val="center"/>
            <w:hideMark/>
          </w:tcPr>
          <w:p w14:paraId="7BB72118"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Selenate</w:t>
            </w:r>
            <w:proofErr w:type="spellEnd"/>
            <w:r w:rsidRPr="00D81FB5">
              <w:rPr>
                <w:rFonts w:ascii="Arial" w:hAnsi="Arial" w:cs="Arial"/>
                <w:color w:val="000000"/>
                <w:sz w:val="20"/>
                <w:lang w:val="es-MX"/>
              </w:rPr>
              <w:t xml:space="preserve">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3B7D9D1D"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sel_</w:t>
            </w:r>
            <w:proofErr w:type="gramStart"/>
            <w:r w:rsidRPr="00D81FB5">
              <w:rPr>
                <w:rFonts w:ascii="Arial" w:hAnsi="Arial" w:cs="Arial"/>
                <w:color w:val="000000"/>
                <w:sz w:val="20"/>
                <w:lang w:val="es-MX"/>
              </w:rPr>
              <w:t>e</w:t>
            </w:r>
            <w:proofErr w:type="spellEnd"/>
            <w:r w:rsidRPr="00D81FB5">
              <w:rPr>
                <w:rFonts w:ascii="Arial" w:hAnsi="Arial" w:cs="Arial"/>
                <w:color w:val="000000"/>
                <w:sz w:val="20"/>
                <w:lang w:val="es-MX"/>
              </w:rPr>
              <w:t xml:space="preserv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5D014410"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sel_e</w:t>
            </w:r>
            <w:proofErr w:type="spellEnd"/>
          </w:p>
        </w:tc>
        <w:tc>
          <w:tcPr>
            <w:tcW w:w="986" w:type="dxa"/>
            <w:shd w:val="clear" w:color="auto" w:fill="auto"/>
            <w:noWrap/>
            <w:vAlign w:val="center"/>
            <w:hideMark/>
          </w:tcPr>
          <w:p w14:paraId="149D148C"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692A0690"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51C7F9CB" w14:textId="77777777" w:rsidTr="00B87BD2">
        <w:trPr>
          <w:trHeight w:val="291"/>
        </w:trPr>
        <w:tc>
          <w:tcPr>
            <w:tcW w:w="1911" w:type="dxa"/>
            <w:shd w:val="clear" w:color="auto" w:fill="auto"/>
            <w:noWrap/>
            <w:vAlign w:val="center"/>
            <w:hideMark/>
          </w:tcPr>
          <w:p w14:paraId="2A1AFEE1"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EX_cobalt2_e</w:t>
            </w:r>
          </w:p>
        </w:tc>
        <w:tc>
          <w:tcPr>
            <w:tcW w:w="2096" w:type="dxa"/>
            <w:shd w:val="clear" w:color="auto" w:fill="auto"/>
            <w:noWrap/>
            <w:vAlign w:val="center"/>
            <w:hideMark/>
          </w:tcPr>
          <w:p w14:paraId="68B0BE06"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Co2+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5F76E689"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cobalt2_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6F77075C"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cobalt2_e</w:t>
            </w:r>
          </w:p>
        </w:tc>
        <w:tc>
          <w:tcPr>
            <w:tcW w:w="986" w:type="dxa"/>
            <w:shd w:val="clear" w:color="auto" w:fill="auto"/>
            <w:noWrap/>
            <w:vAlign w:val="center"/>
            <w:hideMark/>
          </w:tcPr>
          <w:p w14:paraId="44623C59"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07B1F9C7"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41FB9659" w14:textId="77777777" w:rsidTr="00B87BD2">
        <w:trPr>
          <w:trHeight w:val="291"/>
        </w:trPr>
        <w:tc>
          <w:tcPr>
            <w:tcW w:w="1911" w:type="dxa"/>
            <w:shd w:val="clear" w:color="auto" w:fill="auto"/>
            <w:noWrap/>
            <w:vAlign w:val="center"/>
            <w:hideMark/>
          </w:tcPr>
          <w:p w14:paraId="7FC6CAEA"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EX_h2o_e</w:t>
            </w:r>
          </w:p>
        </w:tc>
        <w:tc>
          <w:tcPr>
            <w:tcW w:w="2096" w:type="dxa"/>
            <w:shd w:val="clear" w:color="auto" w:fill="auto"/>
            <w:noWrap/>
            <w:vAlign w:val="center"/>
            <w:hideMark/>
          </w:tcPr>
          <w:p w14:paraId="086381FA"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H2O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6C7DF6CF"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h2o_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37725CBC"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h2o_e</w:t>
            </w:r>
          </w:p>
        </w:tc>
        <w:tc>
          <w:tcPr>
            <w:tcW w:w="986" w:type="dxa"/>
            <w:shd w:val="clear" w:color="auto" w:fill="auto"/>
            <w:noWrap/>
            <w:vAlign w:val="center"/>
            <w:hideMark/>
          </w:tcPr>
          <w:p w14:paraId="395C63C0"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286B9338"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028F53DC" w14:textId="77777777" w:rsidTr="00B87BD2">
        <w:trPr>
          <w:trHeight w:val="291"/>
        </w:trPr>
        <w:tc>
          <w:tcPr>
            <w:tcW w:w="1911" w:type="dxa"/>
            <w:shd w:val="clear" w:color="auto" w:fill="auto"/>
            <w:noWrap/>
            <w:vAlign w:val="center"/>
            <w:hideMark/>
          </w:tcPr>
          <w:p w14:paraId="6BC3A75A"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EX_mobd_e</w:t>
            </w:r>
            <w:proofErr w:type="spellEnd"/>
          </w:p>
        </w:tc>
        <w:tc>
          <w:tcPr>
            <w:tcW w:w="2096" w:type="dxa"/>
            <w:shd w:val="clear" w:color="auto" w:fill="auto"/>
            <w:noWrap/>
            <w:vAlign w:val="center"/>
            <w:hideMark/>
          </w:tcPr>
          <w:p w14:paraId="4BF80B6D"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Molybdate</w:t>
            </w:r>
            <w:proofErr w:type="spellEnd"/>
            <w:r w:rsidRPr="00D81FB5">
              <w:rPr>
                <w:rFonts w:ascii="Arial" w:hAnsi="Arial" w:cs="Arial"/>
                <w:color w:val="000000"/>
                <w:sz w:val="20"/>
                <w:lang w:val="es-MX"/>
              </w:rPr>
              <w:t xml:space="preserve">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05DB2573"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mobd_</w:t>
            </w:r>
            <w:proofErr w:type="gramStart"/>
            <w:r w:rsidRPr="00D81FB5">
              <w:rPr>
                <w:rFonts w:ascii="Arial" w:hAnsi="Arial" w:cs="Arial"/>
                <w:color w:val="000000"/>
                <w:sz w:val="20"/>
                <w:lang w:val="es-MX"/>
              </w:rPr>
              <w:t>e</w:t>
            </w:r>
            <w:proofErr w:type="spellEnd"/>
            <w:r w:rsidRPr="00D81FB5">
              <w:rPr>
                <w:rFonts w:ascii="Arial" w:hAnsi="Arial" w:cs="Arial"/>
                <w:color w:val="000000"/>
                <w:sz w:val="20"/>
                <w:lang w:val="es-MX"/>
              </w:rPr>
              <w:t xml:space="preserv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43385FE1"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mobd_e</w:t>
            </w:r>
            <w:proofErr w:type="spellEnd"/>
          </w:p>
        </w:tc>
        <w:tc>
          <w:tcPr>
            <w:tcW w:w="986" w:type="dxa"/>
            <w:shd w:val="clear" w:color="auto" w:fill="auto"/>
            <w:noWrap/>
            <w:vAlign w:val="center"/>
            <w:hideMark/>
          </w:tcPr>
          <w:p w14:paraId="64C30FEE"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2A470B75"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6B516812" w14:textId="77777777" w:rsidTr="00B87BD2">
        <w:trPr>
          <w:trHeight w:val="291"/>
        </w:trPr>
        <w:tc>
          <w:tcPr>
            <w:tcW w:w="1911" w:type="dxa"/>
            <w:shd w:val="clear" w:color="auto" w:fill="auto"/>
            <w:noWrap/>
            <w:vAlign w:val="center"/>
            <w:hideMark/>
          </w:tcPr>
          <w:p w14:paraId="4F90D5EB"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EX_so4_e</w:t>
            </w:r>
          </w:p>
        </w:tc>
        <w:tc>
          <w:tcPr>
            <w:tcW w:w="2096" w:type="dxa"/>
            <w:shd w:val="clear" w:color="auto" w:fill="auto"/>
            <w:noWrap/>
            <w:vAlign w:val="center"/>
            <w:hideMark/>
          </w:tcPr>
          <w:p w14:paraId="026B7EA8"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Sulfate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70E694D2"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so4_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58E8396C"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so4_e</w:t>
            </w:r>
          </w:p>
        </w:tc>
        <w:tc>
          <w:tcPr>
            <w:tcW w:w="986" w:type="dxa"/>
            <w:shd w:val="clear" w:color="auto" w:fill="auto"/>
            <w:noWrap/>
            <w:vAlign w:val="center"/>
            <w:hideMark/>
          </w:tcPr>
          <w:p w14:paraId="5FEFBBD3"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0B057475"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3024FB81" w14:textId="77777777" w:rsidTr="00B87BD2">
        <w:trPr>
          <w:trHeight w:val="291"/>
        </w:trPr>
        <w:tc>
          <w:tcPr>
            <w:tcW w:w="1911" w:type="dxa"/>
            <w:shd w:val="clear" w:color="auto" w:fill="auto"/>
            <w:noWrap/>
            <w:vAlign w:val="center"/>
            <w:hideMark/>
          </w:tcPr>
          <w:p w14:paraId="2D1263E4"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EX_nh4_e</w:t>
            </w:r>
          </w:p>
        </w:tc>
        <w:tc>
          <w:tcPr>
            <w:tcW w:w="2096" w:type="dxa"/>
            <w:shd w:val="clear" w:color="auto" w:fill="auto"/>
            <w:noWrap/>
            <w:vAlign w:val="center"/>
            <w:hideMark/>
          </w:tcPr>
          <w:p w14:paraId="358EE44A"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Ammonia</w:t>
            </w:r>
            <w:proofErr w:type="spellEnd"/>
            <w:r w:rsidRPr="00D81FB5">
              <w:rPr>
                <w:rFonts w:ascii="Arial" w:hAnsi="Arial" w:cs="Arial"/>
                <w:color w:val="000000"/>
                <w:sz w:val="20"/>
                <w:lang w:val="es-MX"/>
              </w:rPr>
              <w:t xml:space="preserve">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45D8C924"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nh4_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28A95740"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nh4_e</w:t>
            </w:r>
          </w:p>
        </w:tc>
        <w:tc>
          <w:tcPr>
            <w:tcW w:w="986" w:type="dxa"/>
            <w:shd w:val="clear" w:color="auto" w:fill="auto"/>
            <w:noWrap/>
            <w:vAlign w:val="center"/>
            <w:hideMark/>
          </w:tcPr>
          <w:p w14:paraId="0384FEAE"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-5</w:t>
            </w:r>
          </w:p>
        </w:tc>
        <w:tc>
          <w:tcPr>
            <w:tcW w:w="986" w:type="dxa"/>
            <w:shd w:val="clear" w:color="auto" w:fill="auto"/>
            <w:noWrap/>
            <w:vAlign w:val="center"/>
            <w:hideMark/>
          </w:tcPr>
          <w:p w14:paraId="202B172E"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07CFEAD0" w14:textId="77777777" w:rsidTr="00B87BD2">
        <w:trPr>
          <w:trHeight w:val="291"/>
        </w:trPr>
        <w:tc>
          <w:tcPr>
            <w:tcW w:w="1911" w:type="dxa"/>
            <w:shd w:val="clear" w:color="auto" w:fill="auto"/>
            <w:noWrap/>
            <w:vAlign w:val="center"/>
            <w:hideMark/>
          </w:tcPr>
          <w:p w14:paraId="15D15BC2"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EX_k_e</w:t>
            </w:r>
            <w:proofErr w:type="spellEnd"/>
          </w:p>
        </w:tc>
        <w:tc>
          <w:tcPr>
            <w:tcW w:w="2096" w:type="dxa"/>
            <w:shd w:val="clear" w:color="auto" w:fill="auto"/>
            <w:noWrap/>
            <w:vAlign w:val="center"/>
            <w:hideMark/>
          </w:tcPr>
          <w:p w14:paraId="1BB9D76D"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K+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438A420B"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k_</w:t>
            </w:r>
            <w:proofErr w:type="gramStart"/>
            <w:r w:rsidRPr="00D81FB5">
              <w:rPr>
                <w:rFonts w:ascii="Arial" w:hAnsi="Arial" w:cs="Arial"/>
                <w:color w:val="000000"/>
                <w:sz w:val="20"/>
                <w:lang w:val="es-MX"/>
              </w:rPr>
              <w:t>e</w:t>
            </w:r>
            <w:proofErr w:type="spellEnd"/>
            <w:r w:rsidRPr="00D81FB5">
              <w:rPr>
                <w:rFonts w:ascii="Arial" w:hAnsi="Arial" w:cs="Arial"/>
                <w:color w:val="000000"/>
                <w:sz w:val="20"/>
                <w:lang w:val="es-MX"/>
              </w:rPr>
              <w:t xml:space="preserv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2A148AD8"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k_e</w:t>
            </w:r>
            <w:proofErr w:type="spellEnd"/>
          </w:p>
        </w:tc>
        <w:tc>
          <w:tcPr>
            <w:tcW w:w="986" w:type="dxa"/>
            <w:shd w:val="clear" w:color="auto" w:fill="auto"/>
            <w:noWrap/>
            <w:vAlign w:val="center"/>
            <w:hideMark/>
          </w:tcPr>
          <w:p w14:paraId="711F5B0E"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5AF51914"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22475202" w14:textId="77777777" w:rsidTr="00B87BD2">
        <w:trPr>
          <w:trHeight w:val="291"/>
        </w:trPr>
        <w:tc>
          <w:tcPr>
            <w:tcW w:w="1911" w:type="dxa"/>
            <w:shd w:val="clear" w:color="auto" w:fill="auto"/>
            <w:noWrap/>
            <w:vAlign w:val="center"/>
            <w:hideMark/>
          </w:tcPr>
          <w:p w14:paraId="4E6FD92C"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EX_na1_e</w:t>
            </w:r>
          </w:p>
        </w:tc>
        <w:tc>
          <w:tcPr>
            <w:tcW w:w="2096" w:type="dxa"/>
            <w:shd w:val="clear" w:color="auto" w:fill="auto"/>
            <w:noWrap/>
            <w:vAlign w:val="center"/>
            <w:hideMark/>
          </w:tcPr>
          <w:p w14:paraId="33EB3BE3"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Sodium</w:t>
            </w:r>
            <w:proofErr w:type="spellEnd"/>
            <w:r w:rsidRPr="00D81FB5">
              <w:rPr>
                <w:rFonts w:ascii="Arial" w:hAnsi="Arial" w:cs="Arial"/>
                <w:color w:val="000000"/>
                <w:sz w:val="20"/>
                <w:lang w:val="es-MX"/>
              </w:rPr>
              <w:t xml:space="preserve">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62653134"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na1_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5F1D8B81"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na1_e</w:t>
            </w:r>
          </w:p>
        </w:tc>
        <w:tc>
          <w:tcPr>
            <w:tcW w:w="986" w:type="dxa"/>
            <w:shd w:val="clear" w:color="auto" w:fill="auto"/>
            <w:noWrap/>
            <w:vAlign w:val="center"/>
            <w:hideMark/>
          </w:tcPr>
          <w:p w14:paraId="0B7DB81F"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710D3215"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33B5EB85" w14:textId="77777777" w:rsidTr="00B87BD2">
        <w:trPr>
          <w:trHeight w:val="291"/>
        </w:trPr>
        <w:tc>
          <w:tcPr>
            <w:tcW w:w="1911" w:type="dxa"/>
            <w:shd w:val="clear" w:color="auto" w:fill="auto"/>
            <w:noWrap/>
            <w:vAlign w:val="center"/>
            <w:hideMark/>
          </w:tcPr>
          <w:p w14:paraId="2521CC4D"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EX_cl_e</w:t>
            </w:r>
            <w:proofErr w:type="spellEnd"/>
          </w:p>
        </w:tc>
        <w:tc>
          <w:tcPr>
            <w:tcW w:w="2096" w:type="dxa"/>
            <w:shd w:val="clear" w:color="auto" w:fill="auto"/>
            <w:noWrap/>
            <w:vAlign w:val="center"/>
            <w:hideMark/>
          </w:tcPr>
          <w:p w14:paraId="1CA77AF2"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Chloride</w:t>
            </w:r>
            <w:proofErr w:type="spellEnd"/>
            <w:r w:rsidRPr="00D81FB5">
              <w:rPr>
                <w:rFonts w:ascii="Arial" w:hAnsi="Arial" w:cs="Arial"/>
                <w:color w:val="000000"/>
                <w:sz w:val="20"/>
                <w:lang w:val="es-MX"/>
              </w:rPr>
              <w:t xml:space="preserve">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602448A4"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cl_</w:t>
            </w:r>
            <w:proofErr w:type="gramStart"/>
            <w:r w:rsidRPr="00D81FB5">
              <w:rPr>
                <w:rFonts w:ascii="Arial" w:hAnsi="Arial" w:cs="Arial"/>
                <w:color w:val="000000"/>
                <w:sz w:val="20"/>
                <w:lang w:val="es-MX"/>
              </w:rPr>
              <w:t>e</w:t>
            </w:r>
            <w:proofErr w:type="spellEnd"/>
            <w:r w:rsidRPr="00D81FB5">
              <w:rPr>
                <w:rFonts w:ascii="Arial" w:hAnsi="Arial" w:cs="Arial"/>
                <w:color w:val="000000"/>
                <w:sz w:val="20"/>
                <w:lang w:val="es-MX"/>
              </w:rPr>
              <w:t xml:space="preserv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6B03944A"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cl_e</w:t>
            </w:r>
            <w:proofErr w:type="spellEnd"/>
          </w:p>
        </w:tc>
        <w:tc>
          <w:tcPr>
            <w:tcW w:w="986" w:type="dxa"/>
            <w:shd w:val="clear" w:color="auto" w:fill="auto"/>
            <w:noWrap/>
            <w:vAlign w:val="center"/>
            <w:hideMark/>
          </w:tcPr>
          <w:p w14:paraId="035CDD7D"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1CA9A89A"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28D5B34D" w14:textId="77777777" w:rsidTr="00B87BD2">
        <w:trPr>
          <w:trHeight w:val="291"/>
        </w:trPr>
        <w:tc>
          <w:tcPr>
            <w:tcW w:w="1911" w:type="dxa"/>
            <w:shd w:val="clear" w:color="auto" w:fill="auto"/>
            <w:noWrap/>
            <w:vAlign w:val="center"/>
            <w:hideMark/>
          </w:tcPr>
          <w:p w14:paraId="65192368"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EX_o2_e</w:t>
            </w:r>
          </w:p>
        </w:tc>
        <w:tc>
          <w:tcPr>
            <w:tcW w:w="2096" w:type="dxa"/>
            <w:shd w:val="clear" w:color="auto" w:fill="auto"/>
            <w:noWrap/>
            <w:vAlign w:val="center"/>
            <w:hideMark/>
          </w:tcPr>
          <w:p w14:paraId="107041AC"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O2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3D9424BF"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o2_</w:t>
            </w:r>
            <w:proofErr w:type="gramStart"/>
            <w:r w:rsidRPr="00D81FB5">
              <w:rPr>
                <w:rFonts w:ascii="Arial" w:hAnsi="Arial" w:cs="Arial"/>
                <w:color w:val="000000"/>
                <w:sz w:val="20"/>
                <w:lang w:val="es-MX"/>
              </w:rPr>
              <w:t>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7752953D"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o2_e</w:t>
            </w:r>
          </w:p>
        </w:tc>
        <w:tc>
          <w:tcPr>
            <w:tcW w:w="986" w:type="dxa"/>
            <w:shd w:val="clear" w:color="auto" w:fill="auto"/>
            <w:noWrap/>
            <w:vAlign w:val="center"/>
            <w:hideMark/>
          </w:tcPr>
          <w:p w14:paraId="36344DE8"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0F9D83CB"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6663192C" w14:textId="77777777" w:rsidTr="00B87BD2">
        <w:trPr>
          <w:trHeight w:val="291"/>
        </w:trPr>
        <w:tc>
          <w:tcPr>
            <w:tcW w:w="1911" w:type="dxa"/>
            <w:shd w:val="clear" w:color="auto" w:fill="auto"/>
            <w:noWrap/>
            <w:vAlign w:val="center"/>
            <w:hideMark/>
          </w:tcPr>
          <w:p w14:paraId="294C5F6D"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EX_tungs_e</w:t>
            </w:r>
            <w:proofErr w:type="spellEnd"/>
          </w:p>
        </w:tc>
        <w:tc>
          <w:tcPr>
            <w:tcW w:w="2096" w:type="dxa"/>
            <w:shd w:val="clear" w:color="auto" w:fill="auto"/>
            <w:noWrap/>
            <w:vAlign w:val="center"/>
            <w:hideMark/>
          </w:tcPr>
          <w:p w14:paraId="71F592E4"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Tungstate</w:t>
            </w:r>
            <w:proofErr w:type="spellEnd"/>
            <w:r w:rsidRPr="00D81FB5">
              <w:rPr>
                <w:rFonts w:ascii="Arial" w:hAnsi="Arial" w:cs="Arial"/>
                <w:color w:val="000000"/>
                <w:sz w:val="20"/>
                <w:lang w:val="es-MX"/>
              </w:rPr>
              <w:t xml:space="preserve">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75111ACD"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tungs_</w:t>
            </w:r>
            <w:proofErr w:type="gramStart"/>
            <w:r w:rsidRPr="00D81FB5">
              <w:rPr>
                <w:rFonts w:ascii="Arial" w:hAnsi="Arial" w:cs="Arial"/>
                <w:color w:val="000000"/>
                <w:sz w:val="20"/>
                <w:lang w:val="es-MX"/>
              </w:rPr>
              <w:t>e</w:t>
            </w:r>
            <w:proofErr w:type="spellEnd"/>
            <w:r w:rsidRPr="00D81FB5">
              <w:rPr>
                <w:rFonts w:ascii="Arial" w:hAnsi="Arial" w:cs="Arial"/>
                <w:color w:val="000000"/>
                <w:sz w:val="20"/>
                <w:lang w:val="es-MX"/>
              </w:rPr>
              <w:t xml:space="preserv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2C3E32EB"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tungs_e</w:t>
            </w:r>
            <w:proofErr w:type="spellEnd"/>
          </w:p>
        </w:tc>
        <w:tc>
          <w:tcPr>
            <w:tcW w:w="986" w:type="dxa"/>
            <w:shd w:val="clear" w:color="auto" w:fill="auto"/>
            <w:noWrap/>
            <w:vAlign w:val="center"/>
            <w:hideMark/>
          </w:tcPr>
          <w:p w14:paraId="6934325E"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127D278D"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r w:rsidR="00451D5E" w:rsidRPr="002D6101" w14:paraId="342DEF57" w14:textId="77777777" w:rsidTr="00B87BD2">
        <w:trPr>
          <w:trHeight w:val="291"/>
        </w:trPr>
        <w:tc>
          <w:tcPr>
            <w:tcW w:w="1911" w:type="dxa"/>
            <w:shd w:val="clear" w:color="auto" w:fill="auto"/>
            <w:noWrap/>
            <w:vAlign w:val="center"/>
            <w:hideMark/>
          </w:tcPr>
          <w:p w14:paraId="02C99BBC"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EX_slnt_e</w:t>
            </w:r>
            <w:proofErr w:type="spellEnd"/>
          </w:p>
        </w:tc>
        <w:tc>
          <w:tcPr>
            <w:tcW w:w="2096" w:type="dxa"/>
            <w:shd w:val="clear" w:color="auto" w:fill="auto"/>
            <w:noWrap/>
            <w:vAlign w:val="center"/>
            <w:hideMark/>
          </w:tcPr>
          <w:p w14:paraId="0B681A3F"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 xml:space="preserve">Selenite </w:t>
            </w:r>
            <w:proofErr w:type="spellStart"/>
            <w:r w:rsidRPr="00D81FB5">
              <w:rPr>
                <w:rFonts w:ascii="Arial" w:hAnsi="Arial" w:cs="Arial"/>
                <w:color w:val="000000"/>
                <w:sz w:val="20"/>
                <w:lang w:val="es-MX"/>
              </w:rPr>
              <w:t>exchange</w:t>
            </w:r>
            <w:proofErr w:type="spellEnd"/>
          </w:p>
        </w:tc>
        <w:tc>
          <w:tcPr>
            <w:tcW w:w="1380" w:type="dxa"/>
            <w:shd w:val="clear" w:color="auto" w:fill="auto"/>
            <w:noWrap/>
            <w:vAlign w:val="center"/>
            <w:hideMark/>
          </w:tcPr>
          <w:p w14:paraId="33C3970A"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slnt_</w:t>
            </w:r>
            <w:proofErr w:type="gramStart"/>
            <w:r w:rsidRPr="00D81FB5">
              <w:rPr>
                <w:rFonts w:ascii="Arial" w:hAnsi="Arial" w:cs="Arial"/>
                <w:color w:val="000000"/>
                <w:sz w:val="20"/>
                <w:lang w:val="es-MX"/>
              </w:rPr>
              <w:t>e</w:t>
            </w:r>
            <w:proofErr w:type="spellEnd"/>
            <w:r w:rsidRPr="00D81FB5">
              <w:rPr>
                <w:rFonts w:ascii="Arial" w:hAnsi="Arial" w:cs="Arial"/>
                <w:color w:val="000000"/>
                <w:sz w:val="20"/>
                <w:lang w:val="es-MX"/>
              </w:rPr>
              <w:t xml:space="preserve">  &lt;</w:t>
            </w:r>
            <w:proofErr w:type="gramEnd"/>
            <w:r w:rsidRPr="00D81FB5">
              <w:rPr>
                <w:rFonts w:ascii="Arial" w:hAnsi="Arial" w:cs="Arial"/>
                <w:color w:val="000000"/>
                <w:sz w:val="20"/>
                <w:lang w:val="es-MX"/>
              </w:rPr>
              <w:t>=&gt;</w:t>
            </w:r>
          </w:p>
        </w:tc>
        <w:tc>
          <w:tcPr>
            <w:tcW w:w="1137" w:type="dxa"/>
            <w:shd w:val="clear" w:color="auto" w:fill="auto"/>
            <w:noWrap/>
            <w:vAlign w:val="center"/>
            <w:hideMark/>
          </w:tcPr>
          <w:p w14:paraId="71863549" w14:textId="77777777" w:rsidR="00451D5E" w:rsidRPr="00D81FB5" w:rsidRDefault="00451D5E" w:rsidP="00B87BD2">
            <w:pPr>
              <w:spacing w:line="480" w:lineRule="auto"/>
              <w:rPr>
                <w:rFonts w:ascii="Arial" w:hAnsi="Arial" w:cs="Arial"/>
                <w:color w:val="000000"/>
                <w:sz w:val="20"/>
                <w:lang w:val="es-MX"/>
              </w:rPr>
            </w:pPr>
            <w:proofErr w:type="spellStart"/>
            <w:r w:rsidRPr="00D81FB5">
              <w:rPr>
                <w:rFonts w:ascii="Arial" w:hAnsi="Arial" w:cs="Arial"/>
                <w:color w:val="000000"/>
                <w:sz w:val="20"/>
                <w:lang w:val="es-MX"/>
              </w:rPr>
              <w:t>slnt_e</w:t>
            </w:r>
            <w:proofErr w:type="spellEnd"/>
          </w:p>
        </w:tc>
        <w:tc>
          <w:tcPr>
            <w:tcW w:w="986" w:type="dxa"/>
            <w:shd w:val="clear" w:color="auto" w:fill="auto"/>
            <w:noWrap/>
            <w:vAlign w:val="center"/>
            <w:hideMark/>
          </w:tcPr>
          <w:p w14:paraId="44B71A3B"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c>
          <w:tcPr>
            <w:tcW w:w="986" w:type="dxa"/>
            <w:shd w:val="clear" w:color="auto" w:fill="auto"/>
            <w:noWrap/>
            <w:vAlign w:val="center"/>
            <w:hideMark/>
          </w:tcPr>
          <w:p w14:paraId="3F763076" w14:textId="77777777" w:rsidR="00451D5E" w:rsidRPr="00D81FB5" w:rsidRDefault="00451D5E" w:rsidP="00B87BD2">
            <w:pPr>
              <w:spacing w:line="480" w:lineRule="auto"/>
              <w:rPr>
                <w:rFonts w:ascii="Arial" w:hAnsi="Arial" w:cs="Arial"/>
                <w:color w:val="000000"/>
                <w:sz w:val="20"/>
                <w:lang w:val="es-MX"/>
              </w:rPr>
            </w:pPr>
            <w:r w:rsidRPr="00D81FB5">
              <w:rPr>
                <w:rFonts w:ascii="Arial" w:hAnsi="Arial" w:cs="Arial"/>
                <w:color w:val="000000"/>
                <w:sz w:val="20"/>
                <w:lang w:val="es-MX"/>
              </w:rPr>
              <w:t>1000</w:t>
            </w:r>
          </w:p>
        </w:tc>
      </w:tr>
    </w:tbl>
    <w:p w14:paraId="4CC3BF35" w14:textId="77777777" w:rsidR="00451D5E" w:rsidRPr="00D81FB5" w:rsidRDefault="00451D5E" w:rsidP="00451D5E">
      <w:pPr>
        <w:spacing w:line="480" w:lineRule="auto"/>
        <w:rPr>
          <w:rFonts w:ascii="Arial" w:hAnsi="Arial" w:cs="Arial"/>
          <w:sz w:val="20"/>
          <w:lang w:val="es-MX"/>
        </w:rPr>
      </w:pPr>
    </w:p>
    <w:p w14:paraId="5C9B6FE9" w14:textId="77777777" w:rsidR="00451D5E" w:rsidRPr="00D81FB5" w:rsidRDefault="00451D5E" w:rsidP="00451D5E">
      <w:pPr>
        <w:pStyle w:val="SMHeading"/>
        <w:spacing w:line="480" w:lineRule="auto"/>
        <w:rPr>
          <w:rFonts w:ascii="Arial" w:hAnsi="Arial" w:cs="Arial"/>
          <w:b w:val="0"/>
          <w:bCs w:val="0"/>
          <w:sz w:val="20"/>
          <w:szCs w:val="20"/>
          <w:lang w:val="es-MX"/>
        </w:rPr>
      </w:pPr>
      <w:r w:rsidRPr="00D81FB5">
        <w:rPr>
          <w:rFonts w:ascii="Arial" w:hAnsi="Arial" w:cs="Arial"/>
          <w:sz w:val="20"/>
          <w:szCs w:val="20"/>
          <w:lang w:val="es-MX"/>
        </w:rPr>
        <w:lastRenderedPageBreak/>
        <w:t xml:space="preserve">Table S3. </w:t>
      </w:r>
      <w:proofErr w:type="spellStart"/>
      <w:r w:rsidRPr="00D81FB5">
        <w:rPr>
          <w:rFonts w:ascii="Arial" w:hAnsi="Arial" w:cs="Arial"/>
          <w:b w:val="0"/>
          <w:bCs w:val="0"/>
          <w:sz w:val="20"/>
          <w:szCs w:val="20"/>
          <w:lang w:val="es-MX"/>
        </w:rPr>
        <w:t>Model</w:t>
      </w:r>
      <w:proofErr w:type="spellEnd"/>
      <w:r w:rsidRPr="00D81FB5">
        <w:rPr>
          <w:rFonts w:ascii="Arial" w:hAnsi="Arial" w:cs="Arial"/>
          <w:b w:val="0"/>
          <w:bCs w:val="0"/>
          <w:sz w:val="20"/>
          <w:szCs w:val="20"/>
          <w:lang w:val="es-MX"/>
        </w:rPr>
        <w:t xml:space="preserve"> </w:t>
      </w:r>
      <w:proofErr w:type="spellStart"/>
      <w:r w:rsidRPr="00D81FB5">
        <w:rPr>
          <w:rFonts w:ascii="Arial" w:hAnsi="Arial" w:cs="Arial"/>
          <w:b w:val="0"/>
          <w:bCs w:val="0"/>
          <w:sz w:val="20"/>
          <w:szCs w:val="20"/>
          <w:lang w:val="es-MX"/>
        </w:rPr>
        <w:t>constraints</w:t>
      </w:r>
      <w:proofErr w:type="spellEnd"/>
      <w:r w:rsidRPr="00D81FB5">
        <w:rPr>
          <w:rFonts w:ascii="Arial" w:hAnsi="Arial" w:cs="Arial"/>
          <w:b w:val="0"/>
          <w:bCs w:val="0"/>
          <w:sz w:val="20"/>
          <w:szCs w:val="20"/>
          <w:lang w:val="es-MX"/>
        </w:rPr>
        <w:t xml:space="preserve"> </w:t>
      </w:r>
      <w:proofErr w:type="spellStart"/>
      <w:r w:rsidRPr="00D81FB5">
        <w:rPr>
          <w:rFonts w:ascii="Arial" w:hAnsi="Arial" w:cs="Arial"/>
          <w:b w:val="0"/>
          <w:bCs w:val="0"/>
          <w:sz w:val="20"/>
          <w:szCs w:val="20"/>
          <w:lang w:val="es-MX"/>
        </w:rPr>
        <w:t>for</w:t>
      </w:r>
      <w:proofErr w:type="spellEnd"/>
      <w:r w:rsidRPr="00D81FB5">
        <w:rPr>
          <w:rFonts w:ascii="Arial" w:hAnsi="Arial" w:cs="Arial"/>
          <w:b w:val="0"/>
          <w:bCs w:val="0"/>
          <w:sz w:val="20"/>
          <w:szCs w:val="20"/>
          <w:lang w:val="es-MX"/>
        </w:rPr>
        <w:t xml:space="preserve"> </w:t>
      </w:r>
      <w:proofErr w:type="spellStart"/>
      <w:r w:rsidRPr="00D81FB5">
        <w:rPr>
          <w:rFonts w:ascii="Arial" w:hAnsi="Arial" w:cs="Arial"/>
          <w:b w:val="0"/>
          <w:bCs w:val="0"/>
          <w:sz w:val="20"/>
          <w:szCs w:val="20"/>
          <w:lang w:val="es-MX"/>
        </w:rPr>
        <w:t>nitrogen</w:t>
      </w:r>
      <w:proofErr w:type="spellEnd"/>
      <w:r w:rsidRPr="00D81FB5">
        <w:rPr>
          <w:rFonts w:ascii="Arial" w:hAnsi="Arial" w:cs="Arial"/>
          <w:b w:val="0"/>
          <w:bCs w:val="0"/>
          <w:sz w:val="20"/>
          <w:szCs w:val="20"/>
          <w:lang w:val="es-MX"/>
        </w:rPr>
        <w:t xml:space="preserve"> </w:t>
      </w:r>
      <w:proofErr w:type="spellStart"/>
      <w:r w:rsidRPr="00D81FB5">
        <w:rPr>
          <w:rFonts w:ascii="Arial" w:hAnsi="Arial" w:cs="Arial"/>
          <w:b w:val="0"/>
          <w:bCs w:val="0"/>
          <w:sz w:val="20"/>
          <w:szCs w:val="20"/>
          <w:lang w:val="es-MX"/>
        </w:rPr>
        <w:t>utilization</w:t>
      </w:r>
      <w:proofErr w:type="spellEnd"/>
      <w:r w:rsidRPr="00D81FB5">
        <w:rPr>
          <w:rFonts w:ascii="Arial" w:hAnsi="Arial" w:cs="Arial"/>
          <w:b w:val="0"/>
          <w:bCs w:val="0"/>
          <w:sz w:val="20"/>
          <w:szCs w:val="20"/>
          <w:lang w:val="es-MX"/>
        </w:rPr>
        <w:t xml:space="preserve"> </w:t>
      </w:r>
      <w:proofErr w:type="spellStart"/>
      <w:r w:rsidRPr="00D81FB5">
        <w:rPr>
          <w:rFonts w:ascii="Arial" w:hAnsi="Arial" w:cs="Arial"/>
          <w:b w:val="0"/>
          <w:bCs w:val="0"/>
          <w:sz w:val="20"/>
          <w:szCs w:val="20"/>
          <w:lang w:val="es-MX"/>
        </w:rPr>
        <w:t>simulations</w:t>
      </w:r>
      <w:proofErr w:type="spellEnd"/>
    </w:p>
    <w:tbl>
      <w:tblPr>
        <w:tblW w:w="8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2132"/>
        <w:gridCol w:w="1506"/>
        <w:gridCol w:w="1242"/>
        <w:gridCol w:w="1076"/>
        <w:gridCol w:w="1076"/>
      </w:tblGrid>
      <w:tr w:rsidR="00451D5E" w:rsidRPr="00275F80" w14:paraId="58E7058D" w14:textId="77777777" w:rsidTr="00B87BD2">
        <w:trPr>
          <w:trHeight w:val="294"/>
        </w:trPr>
        <w:tc>
          <w:tcPr>
            <w:tcW w:w="1500" w:type="dxa"/>
            <w:shd w:val="clear" w:color="auto" w:fill="auto"/>
            <w:noWrap/>
            <w:vAlign w:val="center"/>
            <w:hideMark/>
          </w:tcPr>
          <w:p w14:paraId="52212FD6" w14:textId="77777777" w:rsidR="00451D5E" w:rsidRPr="00275F80" w:rsidRDefault="00451D5E" w:rsidP="00B87BD2">
            <w:pPr>
              <w:spacing w:line="480" w:lineRule="auto"/>
              <w:rPr>
                <w:rFonts w:ascii="Arial" w:hAnsi="Arial" w:cs="Arial"/>
                <w:b/>
                <w:bCs/>
                <w:color w:val="000000"/>
                <w:sz w:val="20"/>
              </w:rPr>
            </w:pPr>
            <w:r w:rsidRPr="00D81FB5">
              <w:rPr>
                <w:rFonts w:ascii="Arial" w:hAnsi="Arial" w:cs="Arial"/>
                <w:b/>
                <w:bCs/>
                <w:color w:val="000000"/>
                <w:sz w:val="20"/>
                <w:lang w:val="es-MX"/>
              </w:rPr>
              <w:t>R</w:t>
            </w:r>
            <w:proofErr w:type="spellStart"/>
            <w:r w:rsidRPr="00275F80">
              <w:rPr>
                <w:rFonts w:ascii="Arial" w:hAnsi="Arial" w:cs="Arial"/>
                <w:b/>
                <w:bCs/>
                <w:color w:val="000000"/>
                <w:sz w:val="20"/>
              </w:rPr>
              <w:t>eaction</w:t>
            </w:r>
            <w:proofErr w:type="spellEnd"/>
            <w:r w:rsidRPr="00275F80">
              <w:rPr>
                <w:rFonts w:ascii="Arial" w:hAnsi="Arial" w:cs="Arial"/>
                <w:b/>
                <w:bCs/>
                <w:color w:val="000000"/>
                <w:sz w:val="20"/>
              </w:rPr>
              <w:t xml:space="preserve"> ID</w:t>
            </w:r>
          </w:p>
        </w:tc>
        <w:tc>
          <w:tcPr>
            <w:tcW w:w="2132" w:type="dxa"/>
            <w:shd w:val="clear" w:color="auto" w:fill="auto"/>
            <w:noWrap/>
            <w:vAlign w:val="center"/>
            <w:hideMark/>
          </w:tcPr>
          <w:p w14:paraId="5E34F7B0"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Reaction name</w:t>
            </w:r>
          </w:p>
        </w:tc>
        <w:tc>
          <w:tcPr>
            <w:tcW w:w="1506" w:type="dxa"/>
            <w:shd w:val="clear" w:color="auto" w:fill="auto"/>
            <w:noWrap/>
            <w:vAlign w:val="center"/>
            <w:hideMark/>
          </w:tcPr>
          <w:p w14:paraId="310EF7B3"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Reaction Formula</w:t>
            </w:r>
          </w:p>
        </w:tc>
        <w:tc>
          <w:tcPr>
            <w:tcW w:w="1242" w:type="dxa"/>
            <w:shd w:val="clear" w:color="auto" w:fill="auto"/>
            <w:noWrap/>
            <w:vAlign w:val="center"/>
            <w:hideMark/>
          </w:tcPr>
          <w:p w14:paraId="264162EC"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Metabolite</w:t>
            </w:r>
          </w:p>
        </w:tc>
        <w:tc>
          <w:tcPr>
            <w:tcW w:w="1076" w:type="dxa"/>
            <w:shd w:val="clear" w:color="auto" w:fill="auto"/>
            <w:noWrap/>
            <w:vAlign w:val="center"/>
            <w:hideMark/>
          </w:tcPr>
          <w:p w14:paraId="357CC9DB"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Lower bound</w:t>
            </w:r>
          </w:p>
        </w:tc>
        <w:tc>
          <w:tcPr>
            <w:tcW w:w="1076" w:type="dxa"/>
            <w:shd w:val="clear" w:color="auto" w:fill="auto"/>
            <w:noWrap/>
            <w:vAlign w:val="center"/>
            <w:hideMark/>
          </w:tcPr>
          <w:p w14:paraId="0F58B366"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Upper bound</w:t>
            </w:r>
          </w:p>
        </w:tc>
      </w:tr>
      <w:tr w:rsidR="00451D5E" w:rsidRPr="00275F80" w14:paraId="65A1AC7C" w14:textId="77777777" w:rsidTr="00B87BD2">
        <w:trPr>
          <w:trHeight w:val="294"/>
        </w:trPr>
        <w:tc>
          <w:tcPr>
            <w:tcW w:w="1500" w:type="dxa"/>
            <w:shd w:val="clear" w:color="auto" w:fill="auto"/>
            <w:noWrap/>
            <w:vAlign w:val="center"/>
            <w:hideMark/>
          </w:tcPr>
          <w:p w14:paraId="31CCE696"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EX_pi_e</w:t>
            </w:r>
            <w:proofErr w:type="spellEnd"/>
          </w:p>
        </w:tc>
        <w:tc>
          <w:tcPr>
            <w:tcW w:w="2132" w:type="dxa"/>
            <w:shd w:val="clear" w:color="auto" w:fill="auto"/>
            <w:noWrap/>
            <w:vAlign w:val="center"/>
            <w:hideMark/>
          </w:tcPr>
          <w:p w14:paraId="1CB6E5B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Phosphate exchange</w:t>
            </w:r>
          </w:p>
        </w:tc>
        <w:tc>
          <w:tcPr>
            <w:tcW w:w="1506" w:type="dxa"/>
            <w:shd w:val="clear" w:color="auto" w:fill="auto"/>
            <w:noWrap/>
            <w:vAlign w:val="center"/>
            <w:hideMark/>
          </w:tcPr>
          <w:p w14:paraId="2F9702BB"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pi_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242" w:type="dxa"/>
            <w:shd w:val="clear" w:color="auto" w:fill="auto"/>
            <w:noWrap/>
            <w:vAlign w:val="center"/>
            <w:hideMark/>
          </w:tcPr>
          <w:p w14:paraId="4F509FB1"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pi_e</w:t>
            </w:r>
            <w:proofErr w:type="spellEnd"/>
          </w:p>
        </w:tc>
        <w:tc>
          <w:tcPr>
            <w:tcW w:w="1076" w:type="dxa"/>
            <w:shd w:val="clear" w:color="auto" w:fill="auto"/>
            <w:noWrap/>
            <w:vAlign w:val="center"/>
            <w:hideMark/>
          </w:tcPr>
          <w:p w14:paraId="630B286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3E1924B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57178646" w14:textId="77777777" w:rsidTr="00B87BD2">
        <w:trPr>
          <w:trHeight w:val="294"/>
        </w:trPr>
        <w:tc>
          <w:tcPr>
            <w:tcW w:w="1500" w:type="dxa"/>
            <w:shd w:val="clear" w:color="auto" w:fill="auto"/>
            <w:noWrap/>
            <w:vAlign w:val="center"/>
            <w:hideMark/>
          </w:tcPr>
          <w:p w14:paraId="0662F98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EX_co2_e</w:t>
            </w:r>
          </w:p>
        </w:tc>
        <w:tc>
          <w:tcPr>
            <w:tcW w:w="2132" w:type="dxa"/>
            <w:shd w:val="clear" w:color="auto" w:fill="auto"/>
            <w:noWrap/>
            <w:vAlign w:val="center"/>
            <w:hideMark/>
          </w:tcPr>
          <w:p w14:paraId="1E0A5EE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CO2 exchange</w:t>
            </w:r>
          </w:p>
        </w:tc>
        <w:tc>
          <w:tcPr>
            <w:tcW w:w="1506" w:type="dxa"/>
            <w:shd w:val="clear" w:color="auto" w:fill="auto"/>
            <w:noWrap/>
            <w:vAlign w:val="center"/>
            <w:hideMark/>
          </w:tcPr>
          <w:p w14:paraId="0EE838C9"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co2_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7DD7419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co2_e</w:t>
            </w:r>
          </w:p>
        </w:tc>
        <w:tc>
          <w:tcPr>
            <w:tcW w:w="1076" w:type="dxa"/>
            <w:shd w:val="clear" w:color="auto" w:fill="auto"/>
            <w:noWrap/>
            <w:vAlign w:val="center"/>
            <w:hideMark/>
          </w:tcPr>
          <w:p w14:paraId="45FB73FA"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5A9D141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1623276B" w14:textId="77777777" w:rsidTr="00B87BD2">
        <w:trPr>
          <w:trHeight w:val="294"/>
        </w:trPr>
        <w:tc>
          <w:tcPr>
            <w:tcW w:w="1500" w:type="dxa"/>
            <w:shd w:val="clear" w:color="auto" w:fill="auto"/>
            <w:noWrap/>
            <w:vAlign w:val="center"/>
            <w:hideMark/>
          </w:tcPr>
          <w:p w14:paraId="3C870AD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EX_fe3_e</w:t>
            </w:r>
          </w:p>
        </w:tc>
        <w:tc>
          <w:tcPr>
            <w:tcW w:w="2132" w:type="dxa"/>
            <w:shd w:val="clear" w:color="auto" w:fill="auto"/>
            <w:noWrap/>
            <w:vAlign w:val="center"/>
            <w:hideMark/>
          </w:tcPr>
          <w:p w14:paraId="23B6B02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Fe3+ exchange</w:t>
            </w:r>
          </w:p>
        </w:tc>
        <w:tc>
          <w:tcPr>
            <w:tcW w:w="1506" w:type="dxa"/>
            <w:shd w:val="clear" w:color="auto" w:fill="auto"/>
            <w:noWrap/>
            <w:vAlign w:val="center"/>
            <w:hideMark/>
          </w:tcPr>
          <w:p w14:paraId="32913CF6"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fe3_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08DC6CF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fe3_e</w:t>
            </w:r>
          </w:p>
        </w:tc>
        <w:tc>
          <w:tcPr>
            <w:tcW w:w="1076" w:type="dxa"/>
            <w:shd w:val="clear" w:color="auto" w:fill="auto"/>
            <w:noWrap/>
            <w:vAlign w:val="center"/>
            <w:hideMark/>
          </w:tcPr>
          <w:p w14:paraId="0B4CA05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15AFD8F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1F8627C1" w14:textId="77777777" w:rsidTr="00B87BD2">
        <w:trPr>
          <w:trHeight w:val="294"/>
        </w:trPr>
        <w:tc>
          <w:tcPr>
            <w:tcW w:w="1500" w:type="dxa"/>
            <w:shd w:val="clear" w:color="auto" w:fill="auto"/>
            <w:noWrap/>
            <w:vAlign w:val="center"/>
            <w:hideMark/>
          </w:tcPr>
          <w:p w14:paraId="5DABE360"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EX_h_e</w:t>
            </w:r>
            <w:proofErr w:type="spellEnd"/>
          </w:p>
        </w:tc>
        <w:tc>
          <w:tcPr>
            <w:tcW w:w="2132" w:type="dxa"/>
            <w:shd w:val="clear" w:color="auto" w:fill="auto"/>
            <w:noWrap/>
            <w:vAlign w:val="center"/>
            <w:hideMark/>
          </w:tcPr>
          <w:p w14:paraId="263EB9D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H+ exchange</w:t>
            </w:r>
          </w:p>
        </w:tc>
        <w:tc>
          <w:tcPr>
            <w:tcW w:w="1506" w:type="dxa"/>
            <w:shd w:val="clear" w:color="auto" w:fill="auto"/>
            <w:noWrap/>
            <w:vAlign w:val="center"/>
            <w:hideMark/>
          </w:tcPr>
          <w:p w14:paraId="4F6CFA8C"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h_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242" w:type="dxa"/>
            <w:shd w:val="clear" w:color="auto" w:fill="auto"/>
            <w:noWrap/>
            <w:vAlign w:val="center"/>
            <w:hideMark/>
          </w:tcPr>
          <w:p w14:paraId="22D4AD98"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h_e</w:t>
            </w:r>
            <w:proofErr w:type="spellEnd"/>
          </w:p>
        </w:tc>
        <w:tc>
          <w:tcPr>
            <w:tcW w:w="1076" w:type="dxa"/>
            <w:shd w:val="clear" w:color="auto" w:fill="auto"/>
            <w:noWrap/>
            <w:vAlign w:val="center"/>
            <w:hideMark/>
          </w:tcPr>
          <w:p w14:paraId="541466C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2DB8A45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13153E90" w14:textId="77777777" w:rsidTr="00B87BD2">
        <w:trPr>
          <w:trHeight w:val="294"/>
        </w:trPr>
        <w:tc>
          <w:tcPr>
            <w:tcW w:w="1500" w:type="dxa"/>
            <w:shd w:val="clear" w:color="auto" w:fill="auto"/>
            <w:noWrap/>
            <w:vAlign w:val="center"/>
            <w:hideMark/>
          </w:tcPr>
          <w:p w14:paraId="78AFD1C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EX_mn2_e</w:t>
            </w:r>
          </w:p>
        </w:tc>
        <w:tc>
          <w:tcPr>
            <w:tcW w:w="2132" w:type="dxa"/>
            <w:shd w:val="clear" w:color="auto" w:fill="auto"/>
            <w:noWrap/>
            <w:vAlign w:val="center"/>
            <w:hideMark/>
          </w:tcPr>
          <w:p w14:paraId="0C0FC81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Mn2+ exchange</w:t>
            </w:r>
          </w:p>
        </w:tc>
        <w:tc>
          <w:tcPr>
            <w:tcW w:w="1506" w:type="dxa"/>
            <w:shd w:val="clear" w:color="auto" w:fill="auto"/>
            <w:noWrap/>
            <w:vAlign w:val="center"/>
            <w:hideMark/>
          </w:tcPr>
          <w:p w14:paraId="547CCE16"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mn2_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52FAFBC1"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mn2_e</w:t>
            </w:r>
          </w:p>
        </w:tc>
        <w:tc>
          <w:tcPr>
            <w:tcW w:w="1076" w:type="dxa"/>
            <w:shd w:val="clear" w:color="auto" w:fill="auto"/>
            <w:noWrap/>
            <w:vAlign w:val="center"/>
            <w:hideMark/>
          </w:tcPr>
          <w:p w14:paraId="01990C2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67751E38"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57979307" w14:textId="77777777" w:rsidTr="00B87BD2">
        <w:trPr>
          <w:trHeight w:val="294"/>
        </w:trPr>
        <w:tc>
          <w:tcPr>
            <w:tcW w:w="1500" w:type="dxa"/>
            <w:shd w:val="clear" w:color="auto" w:fill="auto"/>
            <w:noWrap/>
            <w:vAlign w:val="center"/>
            <w:hideMark/>
          </w:tcPr>
          <w:p w14:paraId="310DCEB0"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EX_succ_e</w:t>
            </w:r>
            <w:proofErr w:type="spellEnd"/>
          </w:p>
        </w:tc>
        <w:tc>
          <w:tcPr>
            <w:tcW w:w="2132" w:type="dxa"/>
            <w:shd w:val="clear" w:color="auto" w:fill="auto"/>
            <w:noWrap/>
            <w:vAlign w:val="center"/>
            <w:hideMark/>
          </w:tcPr>
          <w:p w14:paraId="79BF0E8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Succinate exchange</w:t>
            </w:r>
          </w:p>
        </w:tc>
        <w:tc>
          <w:tcPr>
            <w:tcW w:w="1506" w:type="dxa"/>
            <w:shd w:val="clear" w:color="auto" w:fill="auto"/>
            <w:noWrap/>
            <w:vAlign w:val="center"/>
            <w:hideMark/>
          </w:tcPr>
          <w:p w14:paraId="319C392A"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succ_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242" w:type="dxa"/>
            <w:shd w:val="clear" w:color="auto" w:fill="auto"/>
            <w:noWrap/>
            <w:vAlign w:val="center"/>
            <w:hideMark/>
          </w:tcPr>
          <w:p w14:paraId="5149D30E"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succ_e</w:t>
            </w:r>
            <w:proofErr w:type="spellEnd"/>
          </w:p>
        </w:tc>
        <w:tc>
          <w:tcPr>
            <w:tcW w:w="1076" w:type="dxa"/>
            <w:shd w:val="clear" w:color="auto" w:fill="auto"/>
            <w:noWrap/>
            <w:vAlign w:val="center"/>
            <w:hideMark/>
          </w:tcPr>
          <w:p w14:paraId="18328EEA"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-5</w:t>
            </w:r>
          </w:p>
        </w:tc>
        <w:tc>
          <w:tcPr>
            <w:tcW w:w="1076" w:type="dxa"/>
            <w:shd w:val="clear" w:color="auto" w:fill="auto"/>
            <w:noWrap/>
            <w:vAlign w:val="center"/>
            <w:hideMark/>
          </w:tcPr>
          <w:p w14:paraId="66A15DC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46F0CB83" w14:textId="77777777" w:rsidTr="00B87BD2">
        <w:trPr>
          <w:trHeight w:val="294"/>
        </w:trPr>
        <w:tc>
          <w:tcPr>
            <w:tcW w:w="1500" w:type="dxa"/>
            <w:shd w:val="clear" w:color="auto" w:fill="auto"/>
            <w:noWrap/>
            <w:vAlign w:val="center"/>
            <w:hideMark/>
          </w:tcPr>
          <w:p w14:paraId="6CF0576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EX_fe2_e</w:t>
            </w:r>
          </w:p>
        </w:tc>
        <w:tc>
          <w:tcPr>
            <w:tcW w:w="2132" w:type="dxa"/>
            <w:shd w:val="clear" w:color="auto" w:fill="auto"/>
            <w:noWrap/>
            <w:vAlign w:val="center"/>
            <w:hideMark/>
          </w:tcPr>
          <w:p w14:paraId="5B56A8F1"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Fe2+ exchange</w:t>
            </w:r>
          </w:p>
        </w:tc>
        <w:tc>
          <w:tcPr>
            <w:tcW w:w="1506" w:type="dxa"/>
            <w:shd w:val="clear" w:color="auto" w:fill="auto"/>
            <w:noWrap/>
            <w:vAlign w:val="center"/>
            <w:hideMark/>
          </w:tcPr>
          <w:p w14:paraId="269C162B"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4D0B49A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fe2_e</w:t>
            </w:r>
          </w:p>
        </w:tc>
        <w:tc>
          <w:tcPr>
            <w:tcW w:w="1076" w:type="dxa"/>
            <w:shd w:val="clear" w:color="auto" w:fill="auto"/>
            <w:noWrap/>
            <w:vAlign w:val="center"/>
            <w:hideMark/>
          </w:tcPr>
          <w:p w14:paraId="4516A52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10CA963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1C62B568" w14:textId="77777777" w:rsidTr="00B87BD2">
        <w:trPr>
          <w:trHeight w:val="294"/>
        </w:trPr>
        <w:tc>
          <w:tcPr>
            <w:tcW w:w="1500" w:type="dxa"/>
            <w:shd w:val="clear" w:color="auto" w:fill="auto"/>
            <w:noWrap/>
            <w:vAlign w:val="center"/>
            <w:hideMark/>
          </w:tcPr>
          <w:p w14:paraId="1EBC482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EX_zn2_e</w:t>
            </w:r>
          </w:p>
        </w:tc>
        <w:tc>
          <w:tcPr>
            <w:tcW w:w="2132" w:type="dxa"/>
            <w:shd w:val="clear" w:color="auto" w:fill="auto"/>
            <w:noWrap/>
            <w:vAlign w:val="center"/>
            <w:hideMark/>
          </w:tcPr>
          <w:p w14:paraId="382867F8"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Zinc exchange</w:t>
            </w:r>
          </w:p>
        </w:tc>
        <w:tc>
          <w:tcPr>
            <w:tcW w:w="1506" w:type="dxa"/>
            <w:shd w:val="clear" w:color="auto" w:fill="auto"/>
            <w:noWrap/>
            <w:vAlign w:val="center"/>
            <w:hideMark/>
          </w:tcPr>
          <w:p w14:paraId="0129553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zn2_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29B7A4DB"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zn2_e</w:t>
            </w:r>
          </w:p>
        </w:tc>
        <w:tc>
          <w:tcPr>
            <w:tcW w:w="1076" w:type="dxa"/>
            <w:shd w:val="clear" w:color="auto" w:fill="auto"/>
            <w:noWrap/>
            <w:vAlign w:val="center"/>
            <w:hideMark/>
          </w:tcPr>
          <w:p w14:paraId="053C3909"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7264B438"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6F531F1D" w14:textId="77777777" w:rsidTr="00B87BD2">
        <w:trPr>
          <w:trHeight w:val="294"/>
        </w:trPr>
        <w:tc>
          <w:tcPr>
            <w:tcW w:w="1500" w:type="dxa"/>
            <w:shd w:val="clear" w:color="auto" w:fill="auto"/>
            <w:noWrap/>
            <w:vAlign w:val="center"/>
            <w:hideMark/>
          </w:tcPr>
          <w:p w14:paraId="11D6059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EX_mg2_e</w:t>
            </w:r>
          </w:p>
        </w:tc>
        <w:tc>
          <w:tcPr>
            <w:tcW w:w="2132" w:type="dxa"/>
            <w:shd w:val="clear" w:color="auto" w:fill="auto"/>
            <w:noWrap/>
            <w:vAlign w:val="center"/>
            <w:hideMark/>
          </w:tcPr>
          <w:p w14:paraId="5AA21FAA"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Mg exchange</w:t>
            </w:r>
          </w:p>
        </w:tc>
        <w:tc>
          <w:tcPr>
            <w:tcW w:w="1506" w:type="dxa"/>
            <w:shd w:val="clear" w:color="auto" w:fill="auto"/>
            <w:noWrap/>
            <w:vAlign w:val="center"/>
            <w:hideMark/>
          </w:tcPr>
          <w:p w14:paraId="18A5AF7A"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mg2_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2749925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mg2_e</w:t>
            </w:r>
          </w:p>
        </w:tc>
        <w:tc>
          <w:tcPr>
            <w:tcW w:w="1076" w:type="dxa"/>
            <w:shd w:val="clear" w:color="auto" w:fill="auto"/>
            <w:noWrap/>
            <w:vAlign w:val="center"/>
            <w:hideMark/>
          </w:tcPr>
          <w:p w14:paraId="4C7F13B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4223B7E8"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2CB45D9D" w14:textId="77777777" w:rsidTr="00B87BD2">
        <w:trPr>
          <w:trHeight w:val="294"/>
        </w:trPr>
        <w:tc>
          <w:tcPr>
            <w:tcW w:w="1500" w:type="dxa"/>
            <w:shd w:val="clear" w:color="auto" w:fill="auto"/>
            <w:noWrap/>
            <w:vAlign w:val="center"/>
            <w:hideMark/>
          </w:tcPr>
          <w:p w14:paraId="62DD8196"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EX_ca2_e</w:t>
            </w:r>
          </w:p>
        </w:tc>
        <w:tc>
          <w:tcPr>
            <w:tcW w:w="2132" w:type="dxa"/>
            <w:shd w:val="clear" w:color="auto" w:fill="auto"/>
            <w:noWrap/>
            <w:vAlign w:val="center"/>
            <w:hideMark/>
          </w:tcPr>
          <w:p w14:paraId="66C1409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Calcium exchange</w:t>
            </w:r>
          </w:p>
        </w:tc>
        <w:tc>
          <w:tcPr>
            <w:tcW w:w="1506" w:type="dxa"/>
            <w:shd w:val="clear" w:color="auto" w:fill="auto"/>
            <w:noWrap/>
            <w:vAlign w:val="center"/>
            <w:hideMark/>
          </w:tcPr>
          <w:p w14:paraId="1ED8C12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ca2_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7C776B4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ca2_e</w:t>
            </w:r>
          </w:p>
        </w:tc>
        <w:tc>
          <w:tcPr>
            <w:tcW w:w="1076" w:type="dxa"/>
            <w:shd w:val="clear" w:color="auto" w:fill="auto"/>
            <w:noWrap/>
            <w:vAlign w:val="center"/>
            <w:hideMark/>
          </w:tcPr>
          <w:p w14:paraId="0C5C83A1"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5432675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76C0ABAB" w14:textId="77777777" w:rsidTr="00B87BD2">
        <w:trPr>
          <w:trHeight w:val="294"/>
        </w:trPr>
        <w:tc>
          <w:tcPr>
            <w:tcW w:w="1500" w:type="dxa"/>
            <w:shd w:val="clear" w:color="auto" w:fill="auto"/>
            <w:noWrap/>
            <w:vAlign w:val="center"/>
            <w:hideMark/>
          </w:tcPr>
          <w:p w14:paraId="1E78090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EX_ni2_e</w:t>
            </w:r>
          </w:p>
        </w:tc>
        <w:tc>
          <w:tcPr>
            <w:tcW w:w="2132" w:type="dxa"/>
            <w:shd w:val="clear" w:color="auto" w:fill="auto"/>
            <w:noWrap/>
            <w:vAlign w:val="center"/>
            <w:hideMark/>
          </w:tcPr>
          <w:p w14:paraId="7E0040B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Ni2+ exchange</w:t>
            </w:r>
          </w:p>
        </w:tc>
        <w:tc>
          <w:tcPr>
            <w:tcW w:w="1506" w:type="dxa"/>
            <w:shd w:val="clear" w:color="auto" w:fill="auto"/>
            <w:noWrap/>
            <w:vAlign w:val="center"/>
            <w:hideMark/>
          </w:tcPr>
          <w:p w14:paraId="6ABEA1A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ni2_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2E4BD43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ni2_e</w:t>
            </w:r>
          </w:p>
        </w:tc>
        <w:tc>
          <w:tcPr>
            <w:tcW w:w="1076" w:type="dxa"/>
            <w:shd w:val="clear" w:color="auto" w:fill="auto"/>
            <w:noWrap/>
            <w:vAlign w:val="center"/>
            <w:hideMark/>
          </w:tcPr>
          <w:p w14:paraId="2E1A02D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36EB2A4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0AD95AD1" w14:textId="77777777" w:rsidTr="00B87BD2">
        <w:trPr>
          <w:trHeight w:val="294"/>
        </w:trPr>
        <w:tc>
          <w:tcPr>
            <w:tcW w:w="1500" w:type="dxa"/>
            <w:shd w:val="clear" w:color="auto" w:fill="auto"/>
            <w:noWrap/>
            <w:vAlign w:val="center"/>
            <w:hideMark/>
          </w:tcPr>
          <w:p w14:paraId="5886B7D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EX_cu2_e</w:t>
            </w:r>
          </w:p>
        </w:tc>
        <w:tc>
          <w:tcPr>
            <w:tcW w:w="2132" w:type="dxa"/>
            <w:shd w:val="clear" w:color="auto" w:fill="auto"/>
            <w:noWrap/>
            <w:vAlign w:val="center"/>
            <w:hideMark/>
          </w:tcPr>
          <w:p w14:paraId="434731D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Cu2+ exchange</w:t>
            </w:r>
          </w:p>
        </w:tc>
        <w:tc>
          <w:tcPr>
            <w:tcW w:w="1506" w:type="dxa"/>
            <w:shd w:val="clear" w:color="auto" w:fill="auto"/>
            <w:noWrap/>
            <w:vAlign w:val="center"/>
            <w:hideMark/>
          </w:tcPr>
          <w:p w14:paraId="1D4F8ED9"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cu2_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1027E5D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cu2_e</w:t>
            </w:r>
          </w:p>
        </w:tc>
        <w:tc>
          <w:tcPr>
            <w:tcW w:w="1076" w:type="dxa"/>
            <w:shd w:val="clear" w:color="auto" w:fill="auto"/>
            <w:noWrap/>
            <w:vAlign w:val="center"/>
            <w:hideMark/>
          </w:tcPr>
          <w:p w14:paraId="65A915C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22B4BD9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52AF122B" w14:textId="77777777" w:rsidTr="00B87BD2">
        <w:trPr>
          <w:trHeight w:val="294"/>
        </w:trPr>
        <w:tc>
          <w:tcPr>
            <w:tcW w:w="1500" w:type="dxa"/>
            <w:shd w:val="clear" w:color="auto" w:fill="auto"/>
            <w:noWrap/>
            <w:vAlign w:val="center"/>
            <w:hideMark/>
          </w:tcPr>
          <w:p w14:paraId="4F7DB00F"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EX_sel_e</w:t>
            </w:r>
            <w:proofErr w:type="spellEnd"/>
          </w:p>
        </w:tc>
        <w:tc>
          <w:tcPr>
            <w:tcW w:w="2132" w:type="dxa"/>
            <w:shd w:val="clear" w:color="auto" w:fill="auto"/>
            <w:noWrap/>
            <w:vAlign w:val="center"/>
            <w:hideMark/>
          </w:tcPr>
          <w:p w14:paraId="23D808C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Selenate exchange</w:t>
            </w:r>
          </w:p>
        </w:tc>
        <w:tc>
          <w:tcPr>
            <w:tcW w:w="1506" w:type="dxa"/>
            <w:shd w:val="clear" w:color="auto" w:fill="auto"/>
            <w:noWrap/>
            <w:vAlign w:val="center"/>
            <w:hideMark/>
          </w:tcPr>
          <w:p w14:paraId="31D50E76"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sel_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242" w:type="dxa"/>
            <w:shd w:val="clear" w:color="auto" w:fill="auto"/>
            <w:noWrap/>
            <w:vAlign w:val="center"/>
            <w:hideMark/>
          </w:tcPr>
          <w:p w14:paraId="559894BD"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sel_e</w:t>
            </w:r>
            <w:proofErr w:type="spellEnd"/>
          </w:p>
        </w:tc>
        <w:tc>
          <w:tcPr>
            <w:tcW w:w="1076" w:type="dxa"/>
            <w:shd w:val="clear" w:color="auto" w:fill="auto"/>
            <w:noWrap/>
            <w:vAlign w:val="center"/>
            <w:hideMark/>
          </w:tcPr>
          <w:p w14:paraId="598F08A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5F4AC68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17ACF456" w14:textId="77777777" w:rsidTr="00B87BD2">
        <w:trPr>
          <w:trHeight w:val="294"/>
        </w:trPr>
        <w:tc>
          <w:tcPr>
            <w:tcW w:w="1500" w:type="dxa"/>
            <w:shd w:val="clear" w:color="auto" w:fill="auto"/>
            <w:noWrap/>
            <w:vAlign w:val="center"/>
            <w:hideMark/>
          </w:tcPr>
          <w:p w14:paraId="2158CF6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EX_cobalt2_e</w:t>
            </w:r>
          </w:p>
        </w:tc>
        <w:tc>
          <w:tcPr>
            <w:tcW w:w="2132" w:type="dxa"/>
            <w:shd w:val="clear" w:color="auto" w:fill="auto"/>
            <w:noWrap/>
            <w:vAlign w:val="center"/>
            <w:hideMark/>
          </w:tcPr>
          <w:p w14:paraId="67190C0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Co2+ exchange</w:t>
            </w:r>
          </w:p>
        </w:tc>
        <w:tc>
          <w:tcPr>
            <w:tcW w:w="1506" w:type="dxa"/>
            <w:shd w:val="clear" w:color="auto" w:fill="auto"/>
            <w:noWrap/>
            <w:vAlign w:val="center"/>
            <w:hideMark/>
          </w:tcPr>
          <w:p w14:paraId="46EEC361"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cobalt2_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50CA367B"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cobalt2_e</w:t>
            </w:r>
          </w:p>
        </w:tc>
        <w:tc>
          <w:tcPr>
            <w:tcW w:w="1076" w:type="dxa"/>
            <w:shd w:val="clear" w:color="auto" w:fill="auto"/>
            <w:noWrap/>
            <w:vAlign w:val="center"/>
            <w:hideMark/>
          </w:tcPr>
          <w:p w14:paraId="7898E92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1D350FD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2E0515AB" w14:textId="77777777" w:rsidTr="00B87BD2">
        <w:trPr>
          <w:trHeight w:val="294"/>
        </w:trPr>
        <w:tc>
          <w:tcPr>
            <w:tcW w:w="1500" w:type="dxa"/>
            <w:shd w:val="clear" w:color="auto" w:fill="auto"/>
            <w:noWrap/>
            <w:vAlign w:val="center"/>
            <w:hideMark/>
          </w:tcPr>
          <w:p w14:paraId="6126432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EX_h2o_e</w:t>
            </w:r>
          </w:p>
        </w:tc>
        <w:tc>
          <w:tcPr>
            <w:tcW w:w="2132" w:type="dxa"/>
            <w:shd w:val="clear" w:color="auto" w:fill="auto"/>
            <w:noWrap/>
            <w:vAlign w:val="center"/>
            <w:hideMark/>
          </w:tcPr>
          <w:p w14:paraId="13EC47E8"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H2O exchange</w:t>
            </w:r>
          </w:p>
        </w:tc>
        <w:tc>
          <w:tcPr>
            <w:tcW w:w="1506" w:type="dxa"/>
            <w:shd w:val="clear" w:color="auto" w:fill="auto"/>
            <w:noWrap/>
            <w:vAlign w:val="center"/>
            <w:hideMark/>
          </w:tcPr>
          <w:p w14:paraId="6A8F3CF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h2o_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1423881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h2o_e</w:t>
            </w:r>
          </w:p>
        </w:tc>
        <w:tc>
          <w:tcPr>
            <w:tcW w:w="1076" w:type="dxa"/>
            <w:shd w:val="clear" w:color="auto" w:fill="auto"/>
            <w:noWrap/>
            <w:vAlign w:val="center"/>
            <w:hideMark/>
          </w:tcPr>
          <w:p w14:paraId="3229579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7712F9C6"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52608A45" w14:textId="77777777" w:rsidTr="00B87BD2">
        <w:trPr>
          <w:trHeight w:val="294"/>
        </w:trPr>
        <w:tc>
          <w:tcPr>
            <w:tcW w:w="1500" w:type="dxa"/>
            <w:shd w:val="clear" w:color="auto" w:fill="auto"/>
            <w:noWrap/>
            <w:vAlign w:val="center"/>
            <w:hideMark/>
          </w:tcPr>
          <w:p w14:paraId="141D1AF7"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EX_mobd_e</w:t>
            </w:r>
            <w:proofErr w:type="spellEnd"/>
          </w:p>
        </w:tc>
        <w:tc>
          <w:tcPr>
            <w:tcW w:w="2132" w:type="dxa"/>
            <w:shd w:val="clear" w:color="auto" w:fill="auto"/>
            <w:noWrap/>
            <w:vAlign w:val="center"/>
            <w:hideMark/>
          </w:tcPr>
          <w:p w14:paraId="3BA0210A"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Molybdate exchange</w:t>
            </w:r>
          </w:p>
        </w:tc>
        <w:tc>
          <w:tcPr>
            <w:tcW w:w="1506" w:type="dxa"/>
            <w:shd w:val="clear" w:color="auto" w:fill="auto"/>
            <w:noWrap/>
            <w:vAlign w:val="center"/>
            <w:hideMark/>
          </w:tcPr>
          <w:p w14:paraId="09205607"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mobd_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242" w:type="dxa"/>
            <w:shd w:val="clear" w:color="auto" w:fill="auto"/>
            <w:noWrap/>
            <w:vAlign w:val="center"/>
            <w:hideMark/>
          </w:tcPr>
          <w:p w14:paraId="3890F268"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mobd_e</w:t>
            </w:r>
            <w:proofErr w:type="spellEnd"/>
          </w:p>
        </w:tc>
        <w:tc>
          <w:tcPr>
            <w:tcW w:w="1076" w:type="dxa"/>
            <w:shd w:val="clear" w:color="auto" w:fill="auto"/>
            <w:noWrap/>
            <w:vAlign w:val="center"/>
            <w:hideMark/>
          </w:tcPr>
          <w:p w14:paraId="2BB04B89"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254E92C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4961BFD4" w14:textId="77777777" w:rsidTr="00B87BD2">
        <w:trPr>
          <w:trHeight w:val="294"/>
        </w:trPr>
        <w:tc>
          <w:tcPr>
            <w:tcW w:w="1500" w:type="dxa"/>
            <w:shd w:val="clear" w:color="auto" w:fill="auto"/>
            <w:noWrap/>
            <w:vAlign w:val="center"/>
            <w:hideMark/>
          </w:tcPr>
          <w:p w14:paraId="5CA54D96"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EX_so4_e</w:t>
            </w:r>
          </w:p>
        </w:tc>
        <w:tc>
          <w:tcPr>
            <w:tcW w:w="2132" w:type="dxa"/>
            <w:shd w:val="clear" w:color="auto" w:fill="auto"/>
            <w:noWrap/>
            <w:vAlign w:val="center"/>
            <w:hideMark/>
          </w:tcPr>
          <w:p w14:paraId="4C9E492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Sulfate exchange</w:t>
            </w:r>
          </w:p>
        </w:tc>
        <w:tc>
          <w:tcPr>
            <w:tcW w:w="1506" w:type="dxa"/>
            <w:shd w:val="clear" w:color="auto" w:fill="auto"/>
            <w:noWrap/>
            <w:vAlign w:val="center"/>
            <w:hideMark/>
          </w:tcPr>
          <w:p w14:paraId="6F688ECA"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so4_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193ADBB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so4_e</w:t>
            </w:r>
          </w:p>
        </w:tc>
        <w:tc>
          <w:tcPr>
            <w:tcW w:w="1076" w:type="dxa"/>
            <w:shd w:val="clear" w:color="auto" w:fill="auto"/>
            <w:noWrap/>
            <w:vAlign w:val="center"/>
            <w:hideMark/>
          </w:tcPr>
          <w:p w14:paraId="020C9AF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38A2674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3B6E8B23" w14:textId="77777777" w:rsidTr="00B87BD2">
        <w:trPr>
          <w:trHeight w:val="294"/>
        </w:trPr>
        <w:tc>
          <w:tcPr>
            <w:tcW w:w="1500" w:type="dxa"/>
            <w:shd w:val="clear" w:color="auto" w:fill="auto"/>
            <w:noWrap/>
            <w:vAlign w:val="center"/>
            <w:hideMark/>
          </w:tcPr>
          <w:p w14:paraId="4609041A"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EX_nh4_e</w:t>
            </w:r>
          </w:p>
        </w:tc>
        <w:tc>
          <w:tcPr>
            <w:tcW w:w="2132" w:type="dxa"/>
            <w:shd w:val="clear" w:color="auto" w:fill="auto"/>
            <w:noWrap/>
            <w:vAlign w:val="center"/>
            <w:hideMark/>
          </w:tcPr>
          <w:p w14:paraId="62EF3C59"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Ammonia exchange</w:t>
            </w:r>
          </w:p>
        </w:tc>
        <w:tc>
          <w:tcPr>
            <w:tcW w:w="1506" w:type="dxa"/>
            <w:shd w:val="clear" w:color="auto" w:fill="auto"/>
            <w:noWrap/>
            <w:vAlign w:val="center"/>
            <w:hideMark/>
          </w:tcPr>
          <w:p w14:paraId="0EEB198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nh4_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6C3FC2F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nh4_e</w:t>
            </w:r>
          </w:p>
        </w:tc>
        <w:tc>
          <w:tcPr>
            <w:tcW w:w="1076" w:type="dxa"/>
            <w:shd w:val="clear" w:color="auto" w:fill="auto"/>
            <w:noWrap/>
            <w:vAlign w:val="center"/>
            <w:hideMark/>
          </w:tcPr>
          <w:p w14:paraId="65272C8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0</w:t>
            </w:r>
          </w:p>
        </w:tc>
        <w:tc>
          <w:tcPr>
            <w:tcW w:w="1076" w:type="dxa"/>
            <w:shd w:val="clear" w:color="auto" w:fill="auto"/>
            <w:noWrap/>
            <w:vAlign w:val="center"/>
            <w:hideMark/>
          </w:tcPr>
          <w:p w14:paraId="2AE5580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12A133E1" w14:textId="77777777" w:rsidTr="00B87BD2">
        <w:trPr>
          <w:trHeight w:val="294"/>
        </w:trPr>
        <w:tc>
          <w:tcPr>
            <w:tcW w:w="1500" w:type="dxa"/>
            <w:shd w:val="clear" w:color="auto" w:fill="auto"/>
            <w:noWrap/>
            <w:vAlign w:val="center"/>
            <w:hideMark/>
          </w:tcPr>
          <w:p w14:paraId="1ADC96F5"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EX_k_e</w:t>
            </w:r>
            <w:proofErr w:type="spellEnd"/>
          </w:p>
        </w:tc>
        <w:tc>
          <w:tcPr>
            <w:tcW w:w="2132" w:type="dxa"/>
            <w:shd w:val="clear" w:color="auto" w:fill="auto"/>
            <w:noWrap/>
            <w:vAlign w:val="center"/>
            <w:hideMark/>
          </w:tcPr>
          <w:p w14:paraId="1B97F54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K+ exchange</w:t>
            </w:r>
          </w:p>
        </w:tc>
        <w:tc>
          <w:tcPr>
            <w:tcW w:w="1506" w:type="dxa"/>
            <w:shd w:val="clear" w:color="auto" w:fill="auto"/>
            <w:noWrap/>
            <w:vAlign w:val="center"/>
            <w:hideMark/>
          </w:tcPr>
          <w:p w14:paraId="2FAA123E"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k_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242" w:type="dxa"/>
            <w:shd w:val="clear" w:color="auto" w:fill="auto"/>
            <w:noWrap/>
            <w:vAlign w:val="center"/>
            <w:hideMark/>
          </w:tcPr>
          <w:p w14:paraId="2A8A9FC1"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k_e</w:t>
            </w:r>
            <w:proofErr w:type="spellEnd"/>
          </w:p>
        </w:tc>
        <w:tc>
          <w:tcPr>
            <w:tcW w:w="1076" w:type="dxa"/>
            <w:shd w:val="clear" w:color="auto" w:fill="auto"/>
            <w:noWrap/>
            <w:vAlign w:val="center"/>
            <w:hideMark/>
          </w:tcPr>
          <w:p w14:paraId="231F70A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08327438"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0768B3AE" w14:textId="77777777" w:rsidTr="00B87BD2">
        <w:trPr>
          <w:trHeight w:val="294"/>
        </w:trPr>
        <w:tc>
          <w:tcPr>
            <w:tcW w:w="1500" w:type="dxa"/>
            <w:shd w:val="clear" w:color="auto" w:fill="auto"/>
            <w:noWrap/>
            <w:vAlign w:val="center"/>
            <w:hideMark/>
          </w:tcPr>
          <w:p w14:paraId="4D5006AB"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EX_na1_e</w:t>
            </w:r>
          </w:p>
        </w:tc>
        <w:tc>
          <w:tcPr>
            <w:tcW w:w="2132" w:type="dxa"/>
            <w:shd w:val="clear" w:color="auto" w:fill="auto"/>
            <w:noWrap/>
            <w:vAlign w:val="center"/>
            <w:hideMark/>
          </w:tcPr>
          <w:p w14:paraId="121CB659"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Sodium exchange</w:t>
            </w:r>
          </w:p>
        </w:tc>
        <w:tc>
          <w:tcPr>
            <w:tcW w:w="1506" w:type="dxa"/>
            <w:shd w:val="clear" w:color="auto" w:fill="auto"/>
            <w:noWrap/>
            <w:vAlign w:val="center"/>
            <w:hideMark/>
          </w:tcPr>
          <w:p w14:paraId="728C413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na1_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09AE7609"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na1_e</w:t>
            </w:r>
          </w:p>
        </w:tc>
        <w:tc>
          <w:tcPr>
            <w:tcW w:w="1076" w:type="dxa"/>
            <w:shd w:val="clear" w:color="auto" w:fill="auto"/>
            <w:noWrap/>
            <w:vAlign w:val="center"/>
            <w:hideMark/>
          </w:tcPr>
          <w:p w14:paraId="04F2DA6A"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73B1CF4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7279FC73" w14:textId="77777777" w:rsidTr="00B87BD2">
        <w:trPr>
          <w:trHeight w:val="294"/>
        </w:trPr>
        <w:tc>
          <w:tcPr>
            <w:tcW w:w="1500" w:type="dxa"/>
            <w:shd w:val="clear" w:color="auto" w:fill="auto"/>
            <w:noWrap/>
            <w:vAlign w:val="center"/>
            <w:hideMark/>
          </w:tcPr>
          <w:p w14:paraId="56C1BD34"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EX_cl_e</w:t>
            </w:r>
            <w:proofErr w:type="spellEnd"/>
          </w:p>
        </w:tc>
        <w:tc>
          <w:tcPr>
            <w:tcW w:w="2132" w:type="dxa"/>
            <w:shd w:val="clear" w:color="auto" w:fill="auto"/>
            <w:noWrap/>
            <w:vAlign w:val="center"/>
            <w:hideMark/>
          </w:tcPr>
          <w:p w14:paraId="6184470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Chloride exchange</w:t>
            </w:r>
          </w:p>
        </w:tc>
        <w:tc>
          <w:tcPr>
            <w:tcW w:w="1506" w:type="dxa"/>
            <w:shd w:val="clear" w:color="auto" w:fill="auto"/>
            <w:noWrap/>
            <w:vAlign w:val="center"/>
            <w:hideMark/>
          </w:tcPr>
          <w:p w14:paraId="2AA6FC1E"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cl_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242" w:type="dxa"/>
            <w:shd w:val="clear" w:color="auto" w:fill="auto"/>
            <w:noWrap/>
            <w:vAlign w:val="center"/>
            <w:hideMark/>
          </w:tcPr>
          <w:p w14:paraId="6322D36D"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cl_e</w:t>
            </w:r>
            <w:proofErr w:type="spellEnd"/>
          </w:p>
        </w:tc>
        <w:tc>
          <w:tcPr>
            <w:tcW w:w="1076" w:type="dxa"/>
            <w:shd w:val="clear" w:color="auto" w:fill="auto"/>
            <w:noWrap/>
            <w:vAlign w:val="center"/>
            <w:hideMark/>
          </w:tcPr>
          <w:p w14:paraId="4A15F63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47932186"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30F532F0" w14:textId="77777777" w:rsidTr="00B87BD2">
        <w:trPr>
          <w:trHeight w:val="294"/>
        </w:trPr>
        <w:tc>
          <w:tcPr>
            <w:tcW w:w="1500" w:type="dxa"/>
            <w:shd w:val="clear" w:color="auto" w:fill="auto"/>
            <w:noWrap/>
            <w:vAlign w:val="center"/>
            <w:hideMark/>
          </w:tcPr>
          <w:p w14:paraId="4CD6C1C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EX_o2_e</w:t>
            </w:r>
          </w:p>
        </w:tc>
        <w:tc>
          <w:tcPr>
            <w:tcW w:w="2132" w:type="dxa"/>
            <w:shd w:val="clear" w:color="auto" w:fill="auto"/>
            <w:noWrap/>
            <w:vAlign w:val="center"/>
            <w:hideMark/>
          </w:tcPr>
          <w:p w14:paraId="65D42496"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O2 exchange</w:t>
            </w:r>
          </w:p>
        </w:tc>
        <w:tc>
          <w:tcPr>
            <w:tcW w:w="1506" w:type="dxa"/>
            <w:shd w:val="clear" w:color="auto" w:fill="auto"/>
            <w:noWrap/>
            <w:vAlign w:val="center"/>
            <w:hideMark/>
          </w:tcPr>
          <w:p w14:paraId="168C8B0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o2_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242" w:type="dxa"/>
            <w:shd w:val="clear" w:color="auto" w:fill="auto"/>
            <w:noWrap/>
            <w:vAlign w:val="center"/>
            <w:hideMark/>
          </w:tcPr>
          <w:p w14:paraId="28BE3AA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o2_e</w:t>
            </w:r>
          </w:p>
        </w:tc>
        <w:tc>
          <w:tcPr>
            <w:tcW w:w="1076" w:type="dxa"/>
            <w:shd w:val="clear" w:color="auto" w:fill="auto"/>
            <w:noWrap/>
            <w:vAlign w:val="center"/>
            <w:hideMark/>
          </w:tcPr>
          <w:p w14:paraId="24DDBBF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6981BB2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481F08BC" w14:textId="77777777" w:rsidTr="00B87BD2">
        <w:trPr>
          <w:trHeight w:val="294"/>
        </w:trPr>
        <w:tc>
          <w:tcPr>
            <w:tcW w:w="1500" w:type="dxa"/>
            <w:shd w:val="clear" w:color="auto" w:fill="auto"/>
            <w:noWrap/>
            <w:vAlign w:val="center"/>
            <w:hideMark/>
          </w:tcPr>
          <w:p w14:paraId="49AFF961"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EX_tungs_e</w:t>
            </w:r>
            <w:proofErr w:type="spellEnd"/>
          </w:p>
        </w:tc>
        <w:tc>
          <w:tcPr>
            <w:tcW w:w="2132" w:type="dxa"/>
            <w:shd w:val="clear" w:color="auto" w:fill="auto"/>
            <w:noWrap/>
            <w:vAlign w:val="center"/>
            <w:hideMark/>
          </w:tcPr>
          <w:p w14:paraId="7EFED00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Tungstate exchange</w:t>
            </w:r>
          </w:p>
        </w:tc>
        <w:tc>
          <w:tcPr>
            <w:tcW w:w="1506" w:type="dxa"/>
            <w:shd w:val="clear" w:color="auto" w:fill="auto"/>
            <w:noWrap/>
            <w:vAlign w:val="center"/>
            <w:hideMark/>
          </w:tcPr>
          <w:p w14:paraId="1080B6C7"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tungs_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242" w:type="dxa"/>
            <w:shd w:val="clear" w:color="auto" w:fill="auto"/>
            <w:noWrap/>
            <w:vAlign w:val="center"/>
            <w:hideMark/>
          </w:tcPr>
          <w:p w14:paraId="34F0B65A"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tungs_e</w:t>
            </w:r>
            <w:proofErr w:type="spellEnd"/>
          </w:p>
        </w:tc>
        <w:tc>
          <w:tcPr>
            <w:tcW w:w="1076" w:type="dxa"/>
            <w:shd w:val="clear" w:color="auto" w:fill="auto"/>
            <w:noWrap/>
            <w:vAlign w:val="center"/>
            <w:hideMark/>
          </w:tcPr>
          <w:p w14:paraId="11906E2B"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6CDF286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0880AF2A" w14:textId="77777777" w:rsidTr="00B87BD2">
        <w:trPr>
          <w:trHeight w:val="294"/>
        </w:trPr>
        <w:tc>
          <w:tcPr>
            <w:tcW w:w="1500" w:type="dxa"/>
            <w:shd w:val="clear" w:color="auto" w:fill="auto"/>
            <w:noWrap/>
            <w:vAlign w:val="center"/>
            <w:hideMark/>
          </w:tcPr>
          <w:p w14:paraId="699EE90A"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EX_slnt_e</w:t>
            </w:r>
            <w:proofErr w:type="spellEnd"/>
          </w:p>
        </w:tc>
        <w:tc>
          <w:tcPr>
            <w:tcW w:w="2132" w:type="dxa"/>
            <w:shd w:val="clear" w:color="auto" w:fill="auto"/>
            <w:noWrap/>
            <w:vAlign w:val="center"/>
            <w:hideMark/>
          </w:tcPr>
          <w:p w14:paraId="105F0F2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Selenite exchange</w:t>
            </w:r>
          </w:p>
        </w:tc>
        <w:tc>
          <w:tcPr>
            <w:tcW w:w="1506" w:type="dxa"/>
            <w:shd w:val="clear" w:color="auto" w:fill="auto"/>
            <w:noWrap/>
            <w:vAlign w:val="center"/>
            <w:hideMark/>
          </w:tcPr>
          <w:p w14:paraId="29D63CCA"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slnt_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242" w:type="dxa"/>
            <w:shd w:val="clear" w:color="auto" w:fill="auto"/>
            <w:noWrap/>
            <w:vAlign w:val="center"/>
            <w:hideMark/>
          </w:tcPr>
          <w:p w14:paraId="1AE6EC80"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slnt_e</w:t>
            </w:r>
            <w:proofErr w:type="spellEnd"/>
          </w:p>
        </w:tc>
        <w:tc>
          <w:tcPr>
            <w:tcW w:w="1076" w:type="dxa"/>
            <w:shd w:val="clear" w:color="auto" w:fill="auto"/>
            <w:noWrap/>
            <w:vAlign w:val="center"/>
            <w:hideMark/>
          </w:tcPr>
          <w:p w14:paraId="280B992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076" w:type="dxa"/>
            <w:shd w:val="clear" w:color="auto" w:fill="auto"/>
            <w:noWrap/>
            <w:vAlign w:val="center"/>
            <w:hideMark/>
          </w:tcPr>
          <w:p w14:paraId="600059C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bl>
    <w:p w14:paraId="78F91C2B" w14:textId="286DB47C" w:rsidR="00451D5E" w:rsidRDefault="00451D5E" w:rsidP="00451D5E">
      <w:pPr>
        <w:spacing w:line="480" w:lineRule="auto"/>
        <w:rPr>
          <w:rFonts w:ascii="Arial" w:hAnsi="Arial" w:cs="Arial"/>
          <w:sz w:val="20"/>
        </w:rPr>
      </w:pPr>
    </w:p>
    <w:p w14:paraId="0E0E2F15" w14:textId="77777777" w:rsidR="00451D5E" w:rsidRPr="00275F80" w:rsidRDefault="00451D5E" w:rsidP="00451D5E">
      <w:pPr>
        <w:pStyle w:val="SMHeading"/>
        <w:spacing w:line="480" w:lineRule="auto"/>
        <w:rPr>
          <w:rFonts w:ascii="Arial" w:hAnsi="Arial" w:cs="Arial"/>
          <w:b w:val="0"/>
          <w:bCs w:val="0"/>
          <w:sz w:val="20"/>
          <w:szCs w:val="20"/>
        </w:rPr>
      </w:pPr>
      <w:r w:rsidRPr="00275F80">
        <w:rPr>
          <w:rFonts w:ascii="Arial" w:hAnsi="Arial" w:cs="Arial"/>
          <w:sz w:val="20"/>
          <w:szCs w:val="20"/>
        </w:rPr>
        <w:t>Table S</w:t>
      </w:r>
      <w:r>
        <w:rPr>
          <w:rFonts w:ascii="Arial" w:hAnsi="Arial" w:cs="Arial"/>
          <w:sz w:val="20"/>
          <w:szCs w:val="20"/>
        </w:rPr>
        <w:t>4</w:t>
      </w:r>
      <w:r w:rsidRPr="00275F80">
        <w:rPr>
          <w:rFonts w:ascii="Arial" w:hAnsi="Arial" w:cs="Arial"/>
          <w:sz w:val="20"/>
          <w:szCs w:val="20"/>
        </w:rPr>
        <w:t xml:space="preserve">. </w:t>
      </w:r>
      <w:r w:rsidRPr="00275F80">
        <w:rPr>
          <w:rFonts w:ascii="Arial" w:hAnsi="Arial" w:cs="Arial"/>
          <w:b w:val="0"/>
          <w:bCs w:val="0"/>
          <w:sz w:val="20"/>
          <w:szCs w:val="20"/>
        </w:rPr>
        <w:t>Model constraints for simulations of nitrification analysis</w:t>
      </w:r>
    </w:p>
    <w:tbl>
      <w:tblPr>
        <w:tblW w:w="8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3"/>
        <w:gridCol w:w="1809"/>
        <w:gridCol w:w="1281"/>
        <w:gridCol w:w="1151"/>
        <w:gridCol w:w="1498"/>
        <w:gridCol w:w="1498"/>
      </w:tblGrid>
      <w:tr w:rsidR="00451D5E" w:rsidRPr="00275F80" w14:paraId="4996960D" w14:textId="77777777" w:rsidTr="00B87BD2">
        <w:trPr>
          <w:trHeight w:val="285"/>
        </w:trPr>
        <w:tc>
          <w:tcPr>
            <w:tcW w:w="1246" w:type="dxa"/>
            <w:shd w:val="clear" w:color="auto" w:fill="auto"/>
            <w:noWrap/>
            <w:vAlign w:val="center"/>
            <w:hideMark/>
          </w:tcPr>
          <w:p w14:paraId="5130EEBA"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Reaction ID</w:t>
            </w:r>
          </w:p>
        </w:tc>
        <w:tc>
          <w:tcPr>
            <w:tcW w:w="1901" w:type="dxa"/>
            <w:shd w:val="clear" w:color="auto" w:fill="auto"/>
            <w:noWrap/>
            <w:vAlign w:val="center"/>
            <w:hideMark/>
          </w:tcPr>
          <w:p w14:paraId="5D4334F4"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Reaction name</w:t>
            </w:r>
          </w:p>
        </w:tc>
        <w:tc>
          <w:tcPr>
            <w:tcW w:w="1343" w:type="dxa"/>
            <w:shd w:val="clear" w:color="auto" w:fill="auto"/>
            <w:noWrap/>
            <w:vAlign w:val="center"/>
            <w:hideMark/>
          </w:tcPr>
          <w:p w14:paraId="7653573E"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Reaction Formula</w:t>
            </w:r>
          </w:p>
        </w:tc>
        <w:tc>
          <w:tcPr>
            <w:tcW w:w="1023" w:type="dxa"/>
            <w:shd w:val="clear" w:color="auto" w:fill="auto"/>
            <w:noWrap/>
            <w:vAlign w:val="center"/>
            <w:hideMark/>
          </w:tcPr>
          <w:p w14:paraId="7646E739"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Metabolite</w:t>
            </w:r>
          </w:p>
        </w:tc>
        <w:tc>
          <w:tcPr>
            <w:tcW w:w="1402" w:type="dxa"/>
            <w:shd w:val="clear" w:color="auto" w:fill="auto"/>
            <w:noWrap/>
            <w:vAlign w:val="center"/>
            <w:hideMark/>
          </w:tcPr>
          <w:p w14:paraId="19215FBC"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Lower bound (mmol/</w:t>
            </w:r>
            <w:proofErr w:type="spellStart"/>
            <w:r w:rsidRPr="00275F80">
              <w:rPr>
                <w:rFonts w:ascii="Arial" w:hAnsi="Arial" w:cs="Arial"/>
                <w:b/>
                <w:bCs/>
                <w:color w:val="000000"/>
                <w:sz w:val="20"/>
              </w:rPr>
              <w:t>gDW</w:t>
            </w:r>
            <w:proofErr w:type="spellEnd"/>
            <w:r w:rsidRPr="00275F80">
              <w:rPr>
                <w:rFonts w:ascii="Arial" w:hAnsi="Arial" w:cs="Arial"/>
                <w:b/>
                <w:bCs/>
                <w:color w:val="000000"/>
                <w:sz w:val="20"/>
              </w:rPr>
              <w:t>/h)</w:t>
            </w:r>
          </w:p>
        </w:tc>
        <w:tc>
          <w:tcPr>
            <w:tcW w:w="1402" w:type="dxa"/>
            <w:shd w:val="clear" w:color="auto" w:fill="auto"/>
            <w:noWrap/>
            <w:vAlign w:val="center"/>
            <w:hideMark/>
          </w:tcPr>
          <w:p w14:paraId="306263AC"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Upper bound (mmol/</w:t>
            </w:r>
            <w:proofErr w:type="spellStart"/>
            <w:r w:rsidRPr="00275F80">
              <w:rPr>
                <w:rFonts w:ascii="Arial" w:hAnsi="Arial" w:cs="Arial"/>
                <w:b/>
                <w:bCs/>
                <w:color w:val="000000"/>
                <w:sz w:val="20"/>
              </w:rPr>
              <w:t>gDW</w:t>
            </w:r>
            <w:proofErr w:type="spellEnd"/>
            <w:r w:rsidRPr="00275F80">
              <w:rPr>
                <w:rFonts w:ascii="Arial" w:hAnsi="Arial" w:cs="Arial"/>
                <w:b/>
                <w:bCs/>
                <w:color w:val="000000"/>
                <w:sz w:val="20"/>
              </w:rPr>
              <w:t>/h)</w:t>
            </w:r>
          </w:p>
        </w:tc>
      </w:tr>
      <w:tr w:rsidR="00451D5E" w:rsidRPr="00275F80" w14:paraId="57BF08B9" w14:textId="77777777" w:rsidTr="00B87BD2">
        <w:trPr>
          <w:trHeight w:val="285"/>
        </w:trPr>
        <w:tc>
          <w:tcPr>
            <w:tcW w:w="1246" w:type="dxa"/>
            <w:shd w:val="clear" w:color="auto" w:fill="auto"/>
            <w:noWrap/>
            <w:vAlign w:val="center"/>
            <w:hideMark/>
          </w:tcPr>
          <w:p w14:paraId="31073F06"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EX_pi_e</w:t>
            </w:r>
            <w:proofErr w:type="spellEnd"/>
          </w:p>
        </w:tc>
        <w:tc>
          <w:tcPr>
            <w:tcW w:w="1901" w:type="dxa"/>
            <w:shd w:val="clear" w:color="auto" w:fill="auto"/>
            <w:noWrap/>
            <w:vAlign w:val="center"/>
            <w:hideMark/>
          </w:tcPr>
          <w:p w14:paraId="7E099BE6"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Phosphate exchange</w:t>
            </w:r>
          </w:p>
        </w:tc>
        <w:tc>
          <w:tcPr>
            <w:tcW w:w="1343" w:type="dxa"/>
            <w:shd w:val="clear" w:color="auto" w:fill="auto"/>
            <w:noWrap/>
            <w:vAlign w:val="center"/>
            <w:hideMark/>
          </w:tcPr>
          <w:p w14:paraId="51AEB4C6"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pi_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023" w:type="dxa"/>
            <w:shd w:val="clear" w:color="auto" w:fill="auto"/>
            <w:noWrap/>
            <w:vAlign w:val="center"/>
            <w:hideMark/>
          </w:tcPr>
          <w:p w14:paraId="3659F143"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pi_e</w:t>
            </w:r>
            <w:proofErr w:type="spellEnd"/>
          </w:p>
        </w:tc>
        <w:tc>
          <w:tcPr>
            <w:tcW w:w="1402" w:type="dxa"/>
            <w:shd w:val="clear" w:color="auto" w:fill="auto"/>
            <w:noWrap/>
            <w:vAlign w:val="center"/>
            <w:hideMark/>
          </w:tcPr>
          <w:p w14:paraId="33896F4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3A7FE69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7070F040" w14:textId="77777777" w:rsidTr="00B87BD2">
        <w:trPr>
          <w:trHeight w:val="285"/>
        </w:trPr>
        <w:tc>
          <w:tcPr>
            <w:tcW w:w="1246" w:type="dxa"/>
            <w:shd w:val="clear" w:color="auto" w:fill="auto"/>
            <w:noWrap/>
            <w:vAlign w:val="center"/>
            <w:hideMark/>
          </w:tcPr>
          <w:p w14:paraId="56BE8C6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EX_co2_e</w:t>
            </w:r>
          </w:p>
        </w:tc>
        <w:tc>
          <w:tcPr>
            <w:tcW w:w="1901" w:type="dxa"/>
            <w:shd w:val="clear" w:color="auto" w:fill="auto"/>
            <w:noWrap/>
            <w:vAlign w:val="center"/>
            <w:hideMark/>
          </w:tcPr>
          <w:p w14:paraId="671E2F0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CO2 exchange</w:t>
            </w:r>
          </w:p>
        </w:tc>
        <w:tc>
          <w:tcPr>
            <w:tcW w:w="1343" w:type="dxa"/>
            <w:shd w:val="clear" w:color="auto" w:fill="auto"/>
            <w:noWrap/>
            <w:vAlign w:val="center"/>
            <w:hideMark/>
          </w:tcPr>
          <w:p w14:paraId="0BFEFBE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co2_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5013B1E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co2_e</w:t>
            </w:r>
          </w:p>
        </w:tc>
        <w:tc>
          <w:tcPr>
            <w:tcW w:w="1402" w:type="dxa"/>
            <w:shd w:val="clear" w:color="auto" w:fill="auto"/>
            <w:noWrap/>
            <w:vAlign w:val="center"/>
            <w:hideMark/>
          </w:tcPr>
          <w:p w14:paraId="1E9BC51B"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58E55168"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3E434DBC" w14:textId="77777777" w:rsidTr="00B87BD2">
        <w:trPr>
          <w:trHeight w:val="285"/>
        </w:trPr>
        <w:tc>
          <w:tcPr>
            <w:tcW w:w="1246" w:type="dxa"/>
            <w:shd w:val="clear" w:color="auto" w:fill="auto"/>
            <w:noWrap/>
            <w:vAlign w:val="center"/>
            <w:hideMark/>
          </w:tcPr>
          <w:p w14:paraId="37BDAF8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EX_fe3_e</w:t>
            </w:r>
          </w:p>
        </w:tc>
        <w:tc>
          <w:tcPr>
            <w:tcW w:w="1901" w:type="dxa"/>
            <w:shd w:val="clear" w:color="auto" w:fill="auto"/>
            <w:noWrap/>
            <w:vAlign w:val="center"/>
            <w:hideMark/>
          </w:tcPr>
          <w:p w14:paraId="0304881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Fe3+ exchange</w:t>
            </w:r>
          </w:p>
        </w:tc>
        <w:tc>
          <w:tcPr>
            <w:tcW w:w="1343" w:type="dxa"/>
            <w:shd w:val="clear" w:color="auto" w:fill="auto"/>
            <w:noWrap/>
            <w:vAlign w:val="center"/>
            <w:hideMark/>
          </w:tcPr>
          <w:p w14:paraId="5FE4D7D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fe3_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6938D02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fe3_e</w:t>
            </w:r>
          </w:p>
        </w:tc>
        <w:tc>
          <w:tcPr>
            <w:tcW w:w="1402" w:type="dxa"/>
            <w:shd w:val="clear" w:color="auto" w:fill="auto"/>
            <w:noWrap/>
            <w:vAlign w:val="center"/>
            <w:hideMark/>
          </w:tcPr>
          <w:p w14:paraId="439788B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2763E48A"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66B63884" w14:textId="77777777" w:rsidTr="00B87BD2">
        <w:trPr>
          <w:trHeight w:val="285"/>
        </w:trPr>
        <w:tc>
          <w:tcPr>
            <w:tcW w:w="1246" w:type="dxa"/>
            <w:shd w:val="clear" w:color="auto" w:fill="auto"/>
            <w:noWrap/>
            <w:vAlign w:val="center"/>
            <w:hideMark/>
          </w:tcPr>
          <w:p w14:paraId="370A09B4"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EX_h_e</w:t>
            </w:r>
            <w:proofErr w:type="spellEnd"/>
          </w:p>
        </w:tc>
        <w:tc>
          <w:tcPr>
            <w:tcW w:w="1901" w:type="dxa"/>
            <w:shd w:val="clear" w:color="auto" w:fill="auto"/>
            <w:noWrap/>
            <w:vAlign w:val="center"/>
            <w:hideMark/>
          </w:tcPr>
          <w:p w14:paraId="17230128"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H+ exchange</w:t>
            </w:r>
          </w:p>
        </w:tc>
        <w:tc>
          <w:tcPr>
            <w:tcW w:w="1343" w:type="dxa"/>
            <w:shd w:val="clear" w:color="auto" w:fill="auto"/>
            <w:noWrap/>
            <w:vAlign w:val="center"/>
            <w:hideMark/>
          </w:tcPr>
          <w:p w14:paraId="34F008F0"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h_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023" w:type="dxa"/>
            <w:shd w:val="clear" w:color="auto" w:fill="auto"/>
            <w:noWrap/>
            <w:vAlign w:val="center"/>
            <w:hideMark/>
          </w:tcPr>
          <w:p w14:paraId="7793BBDF"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h_e</w:t>
            </w:r>
            <w:proofErr w:type="spellEnd"/>
          </w:p>
        </w:tc>
        <w:tc>
          <w:tcPr>
            <w:tcW w:w="1402" w:type="dxa"/>
            <w:shd w:val="clear" w:color="auto" w:fill="auto"/>
            <w:noWrap/>
            <w:vAlign w:val="center"/>
            <w:hideMark/>
          </w:tcPr>
          <w:p w14:paraId="799B4E4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5617B63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21538E3C" w14:textId="77777777" w:rsidTr="00B87BD2">
        <w:trPr>
          <w:trHeight w:val="285"/>
        </w:trPr>
        <w:tc>
          <w:tcPr>
            <w:tcW w:w="1246" w:type="dxa"/>
            <w:shd w:val="clear" w:color="auto" w:fill="auto"/>
            <w:noWrap/>
            <w:vAlign w:val="center"/>
            <w:hideMark/>
          </w:tcPr>
          <w:p w14:paraId="77A3064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EX_mn2_e</w:t>
            </w:r>
          </w:p>
        </w:tc>
        <w:tc>
          <w:tcPr>
            <w:tcW w:w="1901" w:type="dxa"/>
            <w:shd w:val="clear" w:color="auto" w:fill="auto"/>
            <w:noWrap/>
            <w:vAlign w:val="center"/>
            <w:hideMark/>
          </w:tcPr>
          <w:p w14:paraId="4435BCD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Mn2+ exchange</w:t>
            </w:r>
          </w:p>
        </w:tc>
        <w:tc>
          <w:tcPr>
            <w:tcW w:w="1343" w:type="dxa"/>
            <w:shd w:val="clear" w:color="auto" w:fill="auto"/>
            <w:noWrap/>
            <w:vAlign w:val="center"/>
            <w:hideMark/>
          </w:tcPr>
          <w:p w14:paraId="5C99A01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mn2_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0C9EE64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mn2_e</w:t>
            </w:r>
          </w:p>
        </w:tc>
        <w:tc>
          <w:tcPr>
            <w:tcW w:w="1402" w:type="dxa"/>
            <w:shd w:val="clear" w:color="auto" w:fill="auto"/>
            <w:noWrap/>
            <w:vAlign w:val="center"/>
            <w:hideMark/>
          </w:tcPr>
          <w:p w14:paraId="46F5D2F1"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5FAA3F8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3C9473DA" w14:textId="77777777" w:rsidTr="00B87BD2">
        <w:trPr>
          <w:trHeight w:val="285"/>
        </w:trPr>
        <w:tc>
          <w:tcPr>
            <w:tcW w:w="1246" w:type="dxa"/>
            <w:shd w:val="clear" w:color="auto" w:fill="auto"/>
            <w:noWrap/>
            <w:vAlign w:val="center"/>
            <w:hideMark/>
          </w:tcPr>
          <w:p w14:paraId="1D846120"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EX_succ_e</w:t>
            </w:r>
            <w:proofErr w:type="spellEnd"/>
          </w:p>
        </w:tc>
        <w:tc>
          <w:tcPr>
            <w:tcW w:w="1901" w:type="dxa"/>
            <w:shd w:val="clear" w:color="auto" w:fill="auto"/>
            <w:noWrap/>
            <w:vAlign w:val="center"/>
            <w:hideMark/>
          </w:tcPr>
          <w:p w14:paraId="7A8ECD7B"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Succinate exchange</w:t>
            </w:r>
          </w:p>
        </w:tc>
        <w:tc>
          <w:tcPr>
            <w:tcW w:w="1343" w:type="dxa"/>
            <w:shd w:val="clear" w:color="auto" w:fill="auto"/>
            <w:noWrap/>
            <w:vAlign w:val="center"/>
            <w:hideMark/>
          </w:tcPr>
          <w:p w14:paraId="536DE51D"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succ_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023" w:type="dxa"/>
            <w:shd w:val="clear" w:color="auto" w:fill="auto"/>
            <w:noWrap/>
            <w:vAlign w:val="center"/>
            <w:hideMark/>
          </w:tcPr>
          <w:p w14:paraId="39FB6613"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succ_e</w:t>
            </w:r>
            <w:proofErr w:type="spellEnd"/>
          </w:p>
        </w:tc>
        <w:tc>
          <w:tcPr>
            <w:tcW w:w="1402" w:type="dxa"/>
            <w:shd w:val="clear" w:color="auto" w:fill="auto"/>
            <w:noWrap/>
            <w:vAlign w:val="center"/>
            <w:hideMark/>
          </w:tcPr>
          <w:p w14:paraId="7C87A6E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[0-4]</w:t>
            </w:r>
          </w:p>
        </w:tc>
        <w:tc>
          <w:tcPr>
            <w:tcW w:w="1402" w:type="dxa"/>
            <w:shd w:val="clear" w:color="auto" w:fill="auto"/>
            <w:noWrap/>
            <w:vAlign w:val="center"/>
            <w:hideMark/>
          </w:tcPr>
          <w:p w14:paraId="7B1A574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0AFCF24C" w14:textId="77777777" w:rsidTr="00B87BD2">
        <w:trPr>
          <w:trHeight w:val="285"/>
        </w:trPr>
        <w:tc>
          <w:tcPr>
            <w:tcW w:w="1246" w:type="dxa"/>
            <w:shd w:val="clear" w:color="auto" w:fill="auto"/>
            <w:noWrap/>
            <w:vAlign w:val="center"/>
            <w:hideMark/>
          </w:tcPr>
          <w:p w14:paraId="262D394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EX_fe2_e</w:t>
            </w:r>
          </w:p>
        </w:tc>
        <w:tc>
          <w:tcPr>
            <w:tcW w:w="1901" w:type="dxa"/>
            <w:shd w:val="clear" w:color="auto" w:fill="auto"/>
            <w:noWrap/>
            <w:vAlign w:val="center"/>
            <w:hideMark/>
          </w:tcPr>
          <w:p w14:paraId="2FFC2746"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Fe2+ exchange</w:t>
            </w:r>
          </w:p>
        </w:tc>
        <w:tc>
          <w:tcPr>
            <w:tcW w:w="1343" w:type="dxa"/>
            <w:shd w:val="clear" w:color="auto" w:fill="auto"/>
            <w:noWrap/>
            <w:vAlign w:val="center"/>
            <w:hideMark/>
          </w:tcPr>
          <w:p w14:paraId="777B7C4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575B6D1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fe2_e</w:t>
            </w:r>
          </w:p>
        </w:tc>
        <w:tc>
          <w:tcPr>
            <w:tcW w:w="1402" w:type="dxa"/>
            <w:shd w:val="clear" w:color="auto" w:fill="auto"/>
            <w:noWrap/>
            <w:vAlign w:val="center"/>
            <w:hideMark/>
          </w:tcPr>
          <w:p w14:paraId="6974AEF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3C685E78"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11E8464D" w14:textId="77777777" w:rsidTr="00B87BD2">
        <w:trPr>
          <w:trHeight w:val="285"/>
        </w:trPr>
        <w:tc>
          <w:tcPr>
            <w:tcW w:w="1246" w:type="dxa"/>
            <w:shd w:val="clear" w:color="auto" w:fill="auto"/>
            <w:noWrap/>
            <w:vAlign w:val="center"/>
            <w:hideMark/>
          </w:tcPr>
          <w:p w14:paraId="24E7F2C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EX_zn2_e</w:t>
            </w:r>
          </w:p>
        </w:tc>
        <w:tc>
          <w:tcPr>
            <w:tcW w:w="1901" w:type="dxa"/>
            <w:shd w:val="clear" w:color="auto" w:fill="auto"/>
            <w:noWrap/>
            <w:vAlign w:val="center"/>
            <w:hideMark/>
          </w:tcPr>
          <w:p w14:paraId="7159735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Zinc exchange</w:t>
            </w:r>
          </w:p>
        </w:tc>
        <w:tc>
          <w:tcPr>
            <w:tcW w:w="1343" w:type="dxa"/>
            <w:shd w:val="clear" w:color="auto" w:fill="auto"/>
            <w:noWrap/>
            <w:vAlign w:val="center"/>
            <w:hideMark/>
          </w:tcPr>
          <w:p w14:paraId="0FABA409"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zn2_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46C09A7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zn2_e</w:t>
            </w:r>
          </w:p>
        </w:tc>
        <w:tc>
          <w:tcPr>
            <w:tcW w:w="1402" w:type="dxa"/>
            <w:shd w:val="clear" w:color="auto" w:fill="auto"/>
            <w:noWrap/>
            <w:vAlign w:val="center"/>
            <w:hideMark/>
          </w:tcPr>
          <w:p w14:paraId="65F21BE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1426070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57CC319B" w14:textId="77777777" w:rsidTr="00B87BD2">
        <w:trPr>
          <w:trHeight w:val="285"/>
        </w:trPr>
        <w:tc>
          <w:tcPr>
            <w:tcW w:w="1246" w:type="dxa"/>
            <w:shd w:val="clear" w:color="auto" w:fill="auto"/>
            <w:noWrap/>
            <w:vAlign w:val="center"/>
            <w:hideMark/>
          </w:tcPr>
          <w:p w14:paraId="16DDB8A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EX_mg2_e</w:t>
            </w:r>
          </w:p>
        </w:tc>
        <w:tc>
          <w:tcPr>
            <w:tcW w:w="1901" w:type="dxa"/>
            <w:shd w:val="clear" w:color="auto" w:fill="auto"/>
            <w:noWrap/>
            <w:vAlign w:val="center"/>
            <w:hideMark/>
          </w:tcPr>
          <w:p w14:paraId="530115B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Mg exchange</w:t>
            </w:r>
          </w:p>
        </w:tc>
        <w:tc>
          <w:tcPr>
            <w:tcW w:w="1343" w:type="dxa"/>
            <w:shd w:val="clear" w:color="auto" w:fill="auto"/>
            <w:noWrap/>
            <w:vAlign w:val="center"/>
            <w:hideMark/>
          </w:tcPr>
          <w:p w14:paraId="6BA9DDE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mg2_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6EB39088"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mg2_e</w:t>
            </w:r>
          </w:p>
        </w:tc>
        <w:tc>
          <w:tcPr>
            <w:tcW w:w="1402" w:type="dxa"/>
            <w:shd w:val="clear" w:color="auto" w:fill="auto"/>
            <w:noWrap/>
            <w:vAlign w:val="center"/>
            <w:hideMark/>
          </w:tcPr>
          <w:p w14:paraId="79BC9D86"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53F4221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14C1F0E7" w14:textId="77777777" w:rsidTr="00B87BD2">
        <w:trPr>
          <w:trHeight w:val="285"/>
        </w:trPr>
        <w:tc>
          <w:tcPr>
            <w:tcW w:w="1246" w:type="dxa"/>
            <w:shd w:val="clear" w:color="auto" w:fill="auto"/>
            <w:noWrap/>
            <w:vAlign w:val="center"/>
            <w:hideMark/>
          </w:tcPr>
          <w:p w14:paraId="4F97E711"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EX_ca2_e</w:t>
            </w:r>
          </w:p>
        </w:tc>
        <w:tc>
          <w:tcPr>
            <w:tcW w:w="1901" w:type="dxa"/>
            <w:shd w:val="clear" w:color="auto" w:fill="auto"/>
            <w:noWrap/>
            <w:vAlign w:val="center"/>
            <w:hideMark/>
          </w:tcPr>
          <w:p w14:paraId="1188564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Calcium exchange</w:t>
            </w:r>
          </w:p>
        </w:tc>
        <w:tc>
          <w:tcPr>
            <w:tcW w:w="1343" w:type="dxa"/>
            <w:shd w:val="clear" w:color="auto" w:fill="auto"/>
            <w:noWrap/>
            <w:vAlign w:val="center"/>
            <w:hideMark/>
          </w:tcPr>
          <w:p w14:paraId="36620F1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ca2_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6AE9115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ca2_e</w:t>
            </w:r>
          </w:p>
        </w:tc>
        <w:tc>
          <w:tcPr>
            <w:tcW w:w="1402" w:type="dxa"/>
            <w:shd w:val="clear" w:color="auto" w:fill="auto"/>
            <w:noWrap/>
            <w:vAlign w:val="center"/>
            <w:hideMark/>
          </w:tcPr>
          <w:p w14:paraId="0A4BDEE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1BB1F2F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4A1259B1" w14:textId="77777777" w:rsidTr="00B87BD2">
        <w:trPr>
          <w:trHeight w:val="285"/>
        </w:trPr>
        <w:tc>
          <w:tcPr>
            <w:tcW w:w="1246" w:type="dxa"/>
            <w:shd w:val="clear" w:color="auto" w:fill="auto"/>
            <w:noWrap/>
            <w:vAlign w:val="center"/>
            <w:hideMark/>
          </w:tcPr>
          <w:p w14:paraId="6F43903A"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EX_ni2_e</w:t>
            </w:r>
          </w:p>
        </w:tc>
        <w:tc>
          <w:tcPr>
            <w:tcW w:w="1901" w:type="dxa"/>
            <w:shd w:val="clear" w:color="auto" w:fill="auto"/>
            <w:noWrap/>
            <w:vAlign w:val="center"/>
            <w:hideMark/>
          </w:tcPr>
          <w:p w14:paraId="0E00F7C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Ni2+ exchange</w:t>
            </w:r>
          </w:p>
        </w:tc>
        <w:tc>
          <w:tcPr>
            <w:tcW w:w="1343" w:type="dxa"/>
            <w:shd w:val="clear" w:color="auto" w:fill="auto"/>
            <w:noWrap/>
            <w:vAlign w:val="center"/>
            <w:hideMark/>
          </w:tcPr>
          <w:p w14:paraId="562D9C86"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ni2_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2EDAB2B9"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ni2_e</w:t>
            </w:r>
          </w:p>
        </w:tc>
        <w:tc>
          <w:tcPr>
            <w:tcW w:w="1402" w:type="dxa"/>
            <w:shd w:val="clear" w:color="auto" w:fill="auto"/>
            <w:noWrap/>
            <w:vAlign w:val="center"/>
            <w:hideMark/>
          </w:tcPr>
          <w:p w14:paraId="17072838"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089EAAF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4B038122" w14:textId="77777777" w:rsidTr="00B87BD2">
        <w:trPr>
          <w:trHeight w:val="285"/>
        </w:trPr>
        <w:tc>
          <w:tcPr>
            <w:tcW w:w="1246" w:type="dxa"/>
            <w:shd w:val="clear" w:color="auto" w:fill="auto"/>
            <w:noWrap/>
            <w:vAlign w:val="center"/>
            <w:hideMark/>
          </w:tcPr>
          <w:p w14:paraId="3D07B47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EX_cu2_e</w:t>
            </w:r>
          </w:p>
        </w:tc>
        <w:tc>
          <w:tcPr>
            <w:tcW w:w="1901" w:type="dxa"/>
            <w:shd w:val="clear" w:color="auto" w:fill="auto"/>
            <w:noWrap/>
            <w:vAlign w:val="center"/>
            <w:hideMark/>
          </w:tcPr>
          <w:p w14:paraId="6BA318E9"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Cu2+ exchange</w:t>
            </w:r>
          </w:p>
        </w:tc>
        <w:tc>
          <w:tcPr>
            <w:tcW w:w="1343" w:type="dxa"/>
            <w:shd w:val="clear" w:color="auto" w:fill="auto"/>
            <w:noWrap/>
            <w:vAlign w:val="center"/>
            <w:hideMark/>
          </w:tcPr>
          <w:p w14:paraId="6AFFA11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cu2_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6BD5137A"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cu2_e</w:t>
            </w:r>
          </w:p>
        </w:tc>
        <w:tc>
          <w:tcPr>
            <w:tcW w:w="1402" w:type="dxa"/>
            <w:shd w:val="clear" w:color="auto" w:fill="auto"/>
            <w:noWrap/>
            <w:vAlign w:val="center"/>
            <w:hideMark/>
          </w:tcPr>
          <w:p w14:paraId="68591AD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3D679D1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0A888BB2" w14:textId="77777777" w:rsidTr="00B87BD2">
        <w:trPr>
          <w:trHeight w:val="285"/>
        </w:trPr>
        <w:tc>
          <w:tcPr>
            <w:tcW w:w="1246" w:type="dxa"/>
            <w:shd w:val="clear" w:color="auto" w:fill="auto"/>
            <w:noWrap/>
            <w:vAlign w:val="center"/>
            <w:hideMark/>
          </w:tcPr>
          <w:p w14:paraId="607DCB25"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EX_sel_e</w:t>
            </w:r>
            <w:proofErr w:type="spellEnd"/>
          </w:p>
        </w:tc>
        <w:tc>
          <w:tcPr>
            <w:tcW w:w="1901" w:type="dxa"/>
            <w:shd w:val="clear" w:color="auto" w:fill="auto"/>
            <w:noWrap/>
            <w:vAlign w:val="center"/>
            <w:hideMark/>
          </w:tcPr>
          <w:p w14:paraId="54E7237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Selenate exchange</w:t>
            </w:r>
          </w:p>
        </w:tc>
        <w:tc>
          <w:tcPr>
            <w:tcW w:w="1343" w:type="dxa"/>
            <w:shd w:val="clear" w:color="auto" w:fill="auto"/>
            <w:noWrap/>
            <w:vAlign w:val="center"/>
            <w:hideMark/>
          </w:tcPr>
          <w:p w14:paraId="42481140"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sel_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023" w:type="dxa"/>
            <w:shd w:val="clear" w:color="auto" w:fill="auto"/>
            <w:noWrap/>
            <w:vAlign w:val="center"/>
            <w:hideMark/>
          </w:tcPr>
          <w:p w14:paraId="61CAA49B"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sel_e</w:t>
            </w:r>
            <w:proofErr w:type="spellEnd"/>
          </w:p>
        </w:tc>
        <w:tc>
          <w:tcPr>
            <w:tcW w:w="1402" w:type="dxa"/>
            <w:shd w:val="clear" w:color="auto" w:fill="auto"/>
            <w:noWrap/>
            <w:vAlign w:val="center"/>
            <w:hideMark/>
          </w:tcPr>
          <w:p w14:paraId="3619BEC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14B8A46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6DE936CD" w14:textId="77777777" w:rsidTr="00B87BD2">
        <w:trPr>
          <w:trHeight w:val="285"/>
        </w:trPr>
        <w:tc>
          <w:tcPr>
            <w:tcW w:w="1246" w:type="dxa"/>
            <w:shd w:val="clear" w:color="auto" w:fill="auto"/>
            <w:noWrap/>
            <w:vAlign w:val="center"/>
            <w:hideMark/>
          </w:tcPr>
          <w:p w14:paraId="3363D19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EX_cobalt2_e</w:t>
            </w:r>
          </w:p>
        </w:tc>
        <w:tc>
          <w:tcPr>
            <w:tcW w:w="1901" w:type="dxa"/>
            <w:shd w:val="clear" w:color="auto" w:fill="auto"/>
            <w:noWrap/>
            <w:vAlign w:val="center"/>
            <w:hideMark/>
          </w:tcPr>
          <w:p w14:paraId="176BF129"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Co2+ exchange</w:t>
            </w:r>
          </w:p>
        </w:tc>
        <w:tc>
          <w:tcPr>
            <w:tcW w:w="1343" w:type="dxa"/>
            <w:shd w:val="clear" w:color="auto" w:fill="auto"/>
            <w:noWrap/>
            <w:vAlign w:val="center"/>
            <w:hideMark/>
          </w:tcPr>
          <w:p w14:paraId="230F75E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cobalt2_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232C029B"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cobalt2_e</w:t>
            </w:r>
          </w:p>
        </w:tc>
        <w:tc>
          <w:tcPr>
            <w:tcW w:w="1402" w:type="dxa"/>
            <w:shd w:val="clear" w:color="auto" w:fill="auto"/>
            <w:noWrap/>
            <w:vAlign w:val="center"/>
            <w:hideMark/>
          </w:tcPr>
          <w:p w14:paraId="6A6CB14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66DAAB4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089F4D2F" w14:textId="77777777" w:rsidTr="00B87BD2">
        <w:trPr>
          <w:trHeight w:val="285"/>
        </w:trPr>
        <w:tc>
          <w:tcPr>
            <w:tcW w:w="1246" w:type="dxa"/>
            <w:shd w:val="clear" w:color="auto" w:fill="auto"/>
            <w:noWrap/>
            <w:vAlign w:val="center"/>
            <w:hideMark/>
          </w:tcPr>
          <w:p w14:paraId="26E8544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EX_h2o_e</w:t>
            </w:r>
          </w:p>
        </w:tc>
        <w:tc>
          <w:tcPr>
            <w:tcW w:w="1901" w:type="dxa"/>
            <w:shd w:val="clear" w:color="auto" w:fill="auto"/>
            <w:noWrap/>
            <w:vAlign w:val="center"/>
            <w:hideMark/>
          </w:tcPr>
          <w:p w14:paraId="39F600B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H2O exchange</w:t>
            </w:r>
          </w:p>
        </w:tc>
        <w:tc>
          <w:tcPr>
            <w:tcW w:w="1343" w:type="dxa"/>
            <w:shd w:val="clear" w:color="auto" w:fill="auto"/>
            <w:noWrap/>
            <w:vAlign w:val="center"/>
            <w:hideMark/>
          </w:tcPr>
          <w:p w14:paraId="2D86F71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h2o_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2DC1786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h2o_e</w:t>
            </w:r>
          </w:p>
        </w:tc>
        <w:tc>
          <w:tcPr>
            <w:tcW w:w="1402" w:type="dxa"/>
            <w:shd w:val="clear" w:color="auto" w:fill="auto"/>
            <w:noWrap/>
            <w:vAlign w:val="center"/>
            <w:hideMark/>
          </w:tcPr>
          <w:p w14:paraId="7234115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5289B98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42377FC6" w14:textId="77777777" w:rsidTr="00B87BD2">
        <w:trPr>
          <w:trHeight w:val="285"/>
        </w:trPr>
        <w:tc>
          <w:tcPr>
            <w:tcW w:w="1246" w:type="dxa"/>
            <w:shd w:val="clear" w:color="auto" w:fill="auto"/>
            <w:noWrap/>
            <w:vAlign w:val="center"/>
            <w:hideMark/>
          </w:tcPr>
          <w:p w14:paraId="6260AF15"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EX_mobd_e</w:t>
            </w:r>
            <w:proofErr w:type="spellEnd"/>
          </w:p>
        </w:tc>
        <w:tc>
          <w:tcPr>
            <w:tcW w:w="1901" w:type="dxa"/>
            <w:shd w:val="clear" w:color="auto" w:fill="auto"/>
            <w:noWrap/>
            <w:vAlign w:val="center"/>
            <w:hideMark/>
          </w:tcPr>
          <w:p w14:paraId="32299C8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Molybdate exchange</w:t>
            </w:r>
          </w:p>
        </w:tc>
        <w:tc>
          <w:tcPr>
            <w:tcW w:w="1343" w:type="dxa"/>
            <w:shd w:val="clear" w:color="auto" w:fill="auto"/>
            <w:noWrap/>
            <w:vAlign w:val="center"/>
            <w:hideMark/>
          </w:tcPr>
          <w:p w14:paraId="016605F1"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mobd_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023" w:type="dxa"/>
            <w:shd w:val="clear" w:color="auto" w:fill="auto"/>
            <w:noWrap/>
            <w:vAlign w:val="center"/>
            <w:hideMark/>
          </w:tcPr>
          <w:p w14:paraId="41FE9271"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mobd_e</w:t>
            </w:r>
            <w:proofErr w:type="spellEnd"/>
          </w:p>
        </w:tc>
        <w:tc>
          <w:tcPr>
            <w:tcW w:w="1402" w:type="dxa"/>
            <w:shd w:val="clear" w:color="auto" w:fill="auto"/>
            <w:noWrap/>
            <w:vAlign w:val="center"/>
            <w:hideMark/>
          </w:tcPr>
          <w:p w14:paraId="5E44D31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1163F19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4B4666EE" w14:textId="77777777" w:rsidTr="00B87BD2">
        <w:trPr>
          <w:trHeight w:val="285"/>
        </w:trPr>
        <w:tc>
          <w:tcPr>
            <w:tcW w:w="1246" w:type="dxa"/>
            <w:shd w:val="clear" w:color="auto" w:fill="auto"/>
            <w:noWrap/>
            <w:vAlign w:val="center"/>
            <w:hideMark/>
          </w:tcPr>
          <w:p w14:paraId="662DB3E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EX_so4_e</w:t>
            </w:r>
          </w:p>
        </w:tc>
        <w:tc>
          <w:tcPr>
            <w:tcW w:w="1901" w:type="dxa"/>
            <w:shd w:val="clear" w:color="auto" w:fill="auto"/>
            <w:noWrap/>
            <w:vAlign w:val="center"/>
            <w:hideMark/>
          </w:tcPr>
          <w:p w14:paraId="025CABF9"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Sulfate exchange</w:t>
            </w:r>
          </w:p>
        </w:tc>
        <w:tc>
          <w:tcPr>
            <w:tcW w:w="1343" w:type="dxa"/>
            <w:shd w:val="clear" w:color="auto" w:fill="auto"/>
            <w:noWrap/>
            <w:vAlign w:val="center"/>
            <w:hideMark/>
          </w:tcPr>
          <w:p w14:paraId="383E224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so4_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42B51DAA"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so4_e</w:t>
            </w:r>
          </w:p>
        </w:tc>
        <w:tc>
          <w:tcPr>
            <w:tcW w:w="1402" w:type="dxa"/>
            <w:shd w:val="clear" w:color="auto" w:fill="auto"/>
            <w:noWrap/>
            <w:vAlign w:val="center"/>
            <w:hideMark/>
          </w:tcPr>
          <w:p w14:paraId="393FCB8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5F6F48B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1BD8C6FE" w14:textId="77777777" w:rsidTr="00B87BD2">
        <w:trPr>
          <w:trHeight w:val="285"/>
        </w:trPr>
        <w:tc>
          <w:tcPr>
            <w:tcW w:w="1246" w:type="dxa"/>
            <w:shd w:val="clear" w:color="auto" w:fill="auto"/>
            <w:noWrap/>
            <w:vAlign w:val="center"/>
            <w:hideMark/>
          </w:tcPr>
          <w:p w14:paraId="66E7A45B"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EX_nh4_e</w:t>
            </w:r>
          </w:p>
        </w:tc>
        <w:tc>
          <w:tcPr>
            <w:tcW w:w="1901" w:type="dxa"/>
            <w:shd w:val="clear" w:color="auto" w:fill="auto"/>
            <w:noWrap/>
            <w:vAlign w:val="center"/>
            <w:hideMark/>
          </w:tcPr>
          <w:p w14:paraId="5F99267A"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Ammonia exchange</w:t>
            </w:r>
          </w:p>
        </w:tc>
        <w:tc>
          <w:tcPr>
            <w:tcW w:w="1343" w:type="dxa"/>
            <w:shd w:val="clear" w:color="auto" w:fill="auto"/>
            <w:noWrap/>
            <w:vAlign w:val="center"/>
            <w:hideMark/>
          </w:tcPr>
          <w:p w14:paraId="1165F3F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nh4_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0F4DBFF9"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nh4_e</w:t>
            </w:r>
          </w:p>
        </w:tc>
        <w:tc>
          <w:tcPr>
            <w:tcW w:w="1402" w:type="dxa"/>
            <w:shd w:val="clear" w:color="auto" w:fill="auto"/>
            <w:noWrap/>
            <w:vAlign w:val="center"/>
            <w:hideMark/>
          </w:tcPr>
          <w:p w14:paraId="34CA7A7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w:t>
            </w:r>
          </w:p>
        </w:tc>
        <w:tc>
          <w:tcPr>
            <w:tcW w:w="1402" w:type="dxa"/>
            <w:shd w:val="clear" w:color="auto" w:fill="auto"/>
            <w:noWrap/>
            <w:vAlign w:val="center"/>
            <w:hideMark/>
          </w:tcPr>
          <w:p w14:paraId="56C9EEB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07ACF776" w14:textId="77777777" w:rsidTr="00B87BD2">
        <w:trPr>
          <w:trHeight w:val="285"/>
        </w:trPr>
        <w:tc>
          <w:tcPr>
            <w:tcW w:w="1246" w:type="dxa"/>
            <w:shd w:val="clear" w:color="auto" w:fill="auto"/>
            <w:noWrap/>
            <w:vAlign w:val="center"/>
            <w:hideMark/>
          </w:tcPr>
          <w:p w14:paraId="6656BB30"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EX_k_e</w:t>
            </w:r>
            <w:proofErr w:type="spellEnd"/>
          </w:p>
        </w:tc>
        <w:tc>
          <w:tcPr>
            <w:tcW w:w="1901" w:type="dxa"/>
            <w:shd w:val="clear" w:color="auto" w:fill="auto"/>
            <w:noWrap/>
            <w:vAlign w:val="center"/>
            <w:hideMark/>
          </w:tcPr>
          <w:p w14:paraId="28581421"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K+ exchange</w:t>
            </w:r>
          </w:p>
        </w:tc>
        <w:tc>
          <w:tcPr>
            <w:tcW w:w="1343" w:type="dxa"/>
            <w:shd w:val="clear" w:color="auto" w:fill="auto"/>
            <w:noWrap/>
            <w:vAlign w:val="center"/>
            <w:hideMark/>
          </w:tcPr>
          <w:p w14:paraId="5608FAD9"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k_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023" w:type="dxa"/>
            <w:shd w:val="clear" w:color="auto" w:fill="auto"/>
            <w:noWrap/>
            <w:vAlign w:val="center"/>
            <w:hideMark/>
          </w:tcPr>
          <w:p w14:paraId="318C2DE6"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k_e</w:t>
            </w:r>
            <w:proofErr w:type="spellEnd"/>
          </w:p>
        </w:tc>
        <w:tc>
          <w:tcPr>
            <w:tcW w:w="1402" w:type="dxa"/>
            <w:shd w:val="clear" w:color="auto" w:fill="auto"/>
            <w:noWrap/>
            <w:vAlign w:val="center"/>
            <w:hideMark/>
          </w:tcPr>
          <w:p w14:paraId="69C9ACF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78FC71F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6F6BB883" w14:textId="77777777" w:rsidTr="00B87BD2">
        <w:trPr>
          <w:trHeight w:val="285"/>
        </w:trPr>
        <w:tc>
          <w:tcPr>
            <w:tcW w:w="1246" w:type="dxa"/>
            <w:shd w:val="clear" w:color="auto" w:fill="auto"/>
            <w:noWrap/>
            <w:vAlign w:val="center"/>
            <w:hideMark/>
          </w:tcPr>
          <w:p w14:paraId="119E1E8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EX_na1_e</w:t>
            </w:r>
          </w:p>
        </w:tc>
        <w:tc>
          <w:tcPr>
            <w:tcW w:w="1901" w:type="dxa"/>
            <w:shd w:val="clear" w:color="auto" w:fill="auto"/>
            <w:noWrap/>
            <w:vAlign w:val="center"/>
            <w:hideMark/>
          </w:tcPr>
          <w:p w14:paraId="7A068891"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Sodium exchange</w:t>
            </w:r>
          </w:p>
        </w:tc>
        <w:tc>
          <w:tcPr>
            <w:tcW w:w="1343" w:type="dxa"/>
            <w:shd w:val="clear" w:color="auto" w:fill="auto"/>
            <w:noWrap/>
            <w:vAlign w:val="center"/>
            <w:hideMark/>
          </w:tcPr>
          <w:p w14:paraId="67B22D3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na1_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397D91A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na1_e</w:t>
            </w:r>
          </w:p>
        </w:tc>
        <w:tc>
          <w:tcPr>
            <w:tcW w:w="1402" w:type="dxa"/>
            <w:shd w:val="clear" w:color="auto" w:fill="auto"/>
            <w:noWrap/>
            <w:vAlign w:val="center"/>
            <w:hideMark/>
          </w:tcPr>
          <w:p w14:paraId="2149015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08C457D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781E7290" w14:textId="77777777" w:rsidTr="00B87BD2">
        <w:trPr>
          <w:trHeight w:val="285"/>
        </w:trPr>
        <w:tc>
          <w:tcPr>
            <w:tcW w:w="1246" w:type="dxa"/>
            <w:shd w:val="clear" w:color="auto" w:fill="auto"/>
            <w:noWrap/>
            <w:vAlign w:val="center"/>
            <w:hideMark/>
          </w:tcPr>
          <w:p w14:paraId="129263C4"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EX_cl_e</w:t>
            </w:r>
            <w:proofErr w:type="spellEnd"/>
          </w:p>
        </w:tc>
        <w:tc>
          <w:tcPr>
            <w:tcW w:w="1901" w:type="dxa"/>
            <w:shd w:val="clear" w:color="auto" w:fill="auto"/>
            <w:noWrap/>
            <w:vAlign w:val="center"/>
            <w:hideMark/>
          </w:tcPr>
          <w:p w14:paraId="150A188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Chloride exchange</w:t>
            </w:r>
          </w:p>
        </w:tc>
        <w:tc>
          <w:tcPr>
            <w:tcW w:w="1343" w:type="dxa"/>
            <w:shd w:val="clear" w:color="auto" w:fill="auto"/>
            <w:noWrap/>
            <w:vAlign w:val="center"/>
            <w:hideMark/>
          </w:tcPr>
          <w:p w14:paraId="3F5B5047"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cl_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023" w:type="dxa"/>
            <w:shd w:val="clear" w:color="auto" w:fill="auto"/>
            <w:noWrap/>
            <w:vAlign w:val="center"/>
            <w:hideMark/>
          </w:tcPr>
          <w:p w14:paraId="2D2382D8"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cl_e</w:t>
            </w:r>
            <w:proofErr w:type="spellEnd"/>
          </w:p>
        </w:tc>
        <w:tc>
          <w:tcPr>
            <w:tcW w:w="1402" w:type="dxa"/>
            <w:shd w:val="clear" w:color="auto" w:fill="auto"/>
            <w:noWrap/>
            <w:vAlign w:val="center"/>
            <w:hideMark/>
          </w:tcPr>
          <w:p w14:paraId="465F642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5491CAD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47FBBA87" w14:textId="77777777" w:rsidTr="00B87BD2">
        <w:trPr>
          <w:trHeight w:val="285"/>
        </w:trPr>
        <w:tc>
          <w:tcPr>
            <w:tcW w:w="1246" w:type="dxa"/>
            <w:shd w:val="clear" w:color="auto" w:fill="auto"/>
            <w:noWrap/>
            <w:vAlign w:val="center"/>
            <w:hideMark/>
          </w:tcPr>
          <w:p w14:paraId="431DF8D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EX_o2_e</w:t>
            </w:r>
          </w:p>
        </w:tc>
        <w:tc>
          <w:tcPr>
            <w:tcW w:w="1901" w:type="dxa"/>
            <w:shd w:val="clear" w:color="auto" w:fill="auto"/>
            <w:noWrap/>
            <w:vAlign w:val="center"/>
            <w:hideMark/>
          </w:tcPr>
          <w:p w14:paraId="6FDF698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O2 exchange</w:t>
            </w:r>
          </w:p>
        </w:tc>
        <w:tc>
          <w:tcPr>
            <w:tcW w:w="1343" w:type="dxa"/>
            <w:shd w:val="clear" w:color="auto" w:fill="auto"/>
            <w:noWrap/>
            <w:vAlign w:val="center"/>
            <w:hideMark/>
          </w:tcPr>
          <w:p w14:paraId="68E046B1"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o2_</w:t>
            </w:r>
            <w:proofErr w:type="gramStart"/>
            <w:r w:rsidRPr="00275F80">
              <w:rPr>
                <w:rFonts w:ascii="Arial" w:hAnsi="Arial" w:cs="Arial"/>
                <w:color w:val="000000"/>
                <w:sz w:val="20"/>
              </w:rPr>
              <w:t>e  &lt;</w:t>
            </w:r>
            <w:proofErr w:type="gramEnd"/>
            <w:r w:rsidRPr="00275F80">
              <w:rPr>
                <w:rFonts w:ascii="Arial" w:hAnsi="Arial" w:cs="Arial"/>
                <w:color w:val="000000"/>
                <w:sz w:val="20"/>
              </w:rPr>
              <w:t>=&gt;</w:t>
            </w:r>
          </w:p>
        </w:tc>
        <w:tc>
          <w:tcPr>
            <w:tcW w:w="1023" w:type="dxa"/>
            <w:shd w:val="clear" w:color="auto" w:fill="auto"/>
            <w:noWrap/>
            <w:vAlign w:val="center"/>
            <w:hideMark/>
          </w:tcPr>
          <w:p w14:paraId="7F04EEC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o2_e</w:t>
            </w:r>
          </w:p>
        </w:tc>
        <w:tc>
          <w:tcPr>
            <w:tcW w:w="1402" w:type="dxa"/>
            <w:shd w:val="clear" w:color="auto" w:fill="auto"/>
            <w:noWrap/>
            <w:vAlign w:val="center"/>
            <w:hideMark/>
          </w:tcPr>
          <w:p w14:paraId="7B4A545C"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6D93539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64462327" w14:textId="77777777" w:rsidTr="00B87BD2">
        <w:trPr>
          <w:trHeight w:val="285"/>
        </w:trPr>
        <w:tc>
          <w:tcPr>
            <w:tcW w:w="1246" w:type="dxa"/>
            <w:shd w:val="clear" w:color="auto" w:fill="auto"/>
            <w:noWrap/>
            <w:vAlign w:val="center"/>
            <w:hideMark/>
          </w:tcPr>
          <w:p w14:paraId="1F2F96B3"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EX_tungs_e</w:t>
            </w:r>
            <w:proofErr w:type="spellEnd"/>
          </w:p>
        </w:tc>
        <w:tc>
          <w:tcPr>
            <w:tcW w:w="1901" w:type="dxa"/>
            <w:shd w:val="clear" w:color="auto" w:fill="auto"/>
            <w:noWrap/>
            <w:vAlign w:val="center"/>
            <w:hideMark/>
          </w:tcPr>
          <w:p w14:paraId="7FB519B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Tungstate exchange</w:t>
            </w:r>
          </w:p>
        </w:tc>
        <w:tc>
          <w:tcPr>
            <w:tcW w:w="1343" w:type="dxa"/>
            <w:shd w:val="clear" w:color="auto" w:fill="auto"/>
            <w:noWrap/>
            <w:vAlign w:val="center"/>
            <w:hideMark/>
          </w:tcPr>
          <w:p w14:paraId="61A815EF"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tungs_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023" w:type="dxa"/>
            <w:shd w:val="clear" w:color="auto" w:fill="auto"/>
            <w:noWrap/>
            <w:vAlign w:val="center"/>
            <w:hideMark/>
          </w:tcPr>
          <w:p w14:paraId="085E624C"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tungs_e</w:t>
            </w:r>
            <w:proofErr w:type="spellEnd"/>
          </w:p>
        </w:tc>
        <w:tc>
          <w:tcPr>
            <w:tcW w:w="1402" w:type="dxa"/>
            <w:shd w:val="clear" w:color="auto" w:fill="auto"/>
            <w:noWrap/>
            <w:vAlign w:val="center"/>
            <w:hideMark/>
          </w:tcPr>
          <w:p w14:paraId="27EDA360"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62A1625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r w:rsidR="00451D5E" w:rsidRPr="00275F80" w14:paraId="7EA5B16A" w14:textId="77777777" w:rsidTr="00B87BD2">
        <w:trPr>
          <w:trHeight w:val="285"/>
        </w:trPr>
        <w:tc>
          <w:tcPr>
            <w:tcW w:w="1246" w:type="dxa"/>
            <w:shd w:val="clear" w:color="auto" w:fill="auto"/>
            <w:noWrap/>
            <w:vAlign w:val="center"/>
            <w:hideMark/>
          </w:tcPr>
          <w:p w14:paraId="71BF8BEC"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EX_slnt_e</w:t>
            </w:r>
            <w:proofErr w:type="spellEnd"/>
          </w:p>
        </w:tc>
        <w:tc>
          <w:tcPr>
            <w:tcW w:w="1901" w:type="dxa"/>
            <w:shd w:val="clear" w:color="auto" w:fill="auto"/>
            <w:noWrap/>
            <w:vAlign w:val="center"/>
            <w:hideMark/>
          </w:tcPr>
          <w:p w14:paraId="5C67C72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Selenite exchange</w:t>
            </w:r>
          </w:p>
        </w:tc>
        <w:tc>
          <w:tcPr>
            <w:tcW w:w="1343" w:type="dxa"/>
            <w:shd w:val="clear" w:color="auto" w:fill="auto"/>
            <w:noWrap/>
            <w:vAlign w:val="center"/>
            <w:hideMark/>
          </w:tcPr>
          <w:p w14:paraId="144F3A7F"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slnt_</w:t>
            </w:r>
            <w:proofErr w:type="gramStart"/>
            <w:r w:rsidRPr="00275F80">
              <w:rPr>
                <w:rFonts w:ascii="Arial" w:hAnsi="Arial" w:cs="Arial"/>
                <w:color w:val="000000"/>
                <w:sz w:val="20"/>
              </w:rPr>
              <w:t>e</w:t>
            </w:r>
            <w:proofErr w:type="spellEnd"/>
            <w:r w:rsidRPr="00275F80">
              <w:rPr>
                <w:rFonts w:ascii="Arial" w:hAnsi="Arial" w:cs="Arial"/>
                <w:color w:val="000000"/>
                <w:sz w:val="20"/>
              </w:rPr>
              <w:t xml:space="preserve">  &lt;</w:t>
            </w:r>
            <w:proofErr w:type="gramEnd"/>
            <w:r w:rsidRPr="00275F80">
              <w:rPr>
                <w:rFonts w:ascii="Arial" w:hAnsi="Arial" w:cs="Arial"/>
                <w:color w:val="000000"/>
                <w:sz w:val="20"/>
              </w:rPr>
              <w:t>=&gt;</w:t>
            </w:r>
          </w:p>
        </w:tc>
        <w:tc>
          <w:tcPr>
            <w:tcW w:w="1023" w:type="dxa"/>
            <w:shd w:val="clear" w:color="auto" w:fill="auto"/>
            <w:noWrap/>
            <w:vAlign w:val="center"/>
            <w:hideMark/>
          </w:tcPr>
          <w:p w14:paraId="3E83D721" w14:textId="77777777" w:rsidR="00451D5E" w:rsidRPr="00275F80" w:rsidRDefault="00451D5E" w:rsidP="00B87BD2">
            <w:pPr>
              <w:spacing w:line="480" w:lineRule="auto"/>
              <w:rPr>
                <w:rFonts w:ascii="Arial" w:hAnsi="Arial" w:cs="Arial"/>
                <w:color w:val="000000"/>
                <w:sz w:val="20"/>
              </w:rPr>
            </w:pPr>
            <w:proofErr w:type="spellStart"/>
            <w:r w:rsidRPr="00275F80">
              <w:rPr>
                <w:rFonts w:ascii="Arial" w:hAnsi="Arial" w:cs="Arial"/>
                <w:color w:val="000000"/>
                <w:sz w:val="20"/>
              </w:rPr>
              <w:t>slnt_e</w:t>
            </w:r>
            <w:proofErr w:type="spellEnd"/>
          </w:p>
        </w:tc>
        <w:tc>
          <w:tcPr>
            <w:tcW w:w="1402" w:type="dxa"/>
            <w:shd w:val="clear" w:color="auto" w:fill="auto"/>
            <w:noWrap/>
            <w:vAlign w:val="center"/>
            <w:hideMark/>
          </w:tcPr>
          <w:p w14:paraId="62E0E148"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c>
          <w:tcPr>
            <w:tcW w:w="1402" w:type="dxa"/>
            <w:shd w:val="clear" w:color="auto" w:fill="auto"/>
            <w:noWrap/>
            <w:vAlign w:val="center"/>
            <w:hideMark/>
          </w:tcPr>
          <w:p w14:paraId="682F6E41"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1000</w:t>
            </w:r>
          </w:p>
        </w:tc>
      </w:tr>
    </w:tbl>
    <w:p w14:paraId="2C4B34FF" w14:textId="7F3DD4FA" w:rsidR="00451D5E" w:rsidRDefault="00451D5E" w:rsidP="00451D5E">
      <w:pPr>
        <w:pStyle w:val="SMcaption"/>
        <w:spacing w:line="480" w:lineRule="auto"/>
        <w:rPr>
          <w:rFonts w:ascii="Arial" w:hAnsi="Arial" w:cs="Arial"/>
          <w:sz w:val="20"/>
        </w:rPr>
      </w:pPr>
    </w:p>
    <w:p w14:paraId="0AFD3CDC" w14:textId="77777777" w:rsidR="00451D5E" w:rsidRPr="00275F80" w:rsidRDefault="00451D5E" w:rsidP="00451D5E">
      <w:pPr>
        <w:pStyle w:val="SMHeading"/>
        <w:spacing w:line="480" w:lineRule="auto"/>
        <w:rPr>
          <w:rFonts w:ascii="Arial" w:hAnsi="Arial" w:cs="Arial"/>
          <w:b w:val="0"/>
          <w:bCs w:val="0"/>
          <w:sz w:val="20"/>
          <w:szCs w:val="20"/>
        </w:rPr>
      </w:pPr>
      <w:r w:rsidRPr="00275F80">
        <w:rPr>
          <w:rFonts w:ascii="Arial" w:hAnsi="Arial" w:cs="Arial"/>
          <w:sz w:val="20"/>
          <w:szCs w:val="20"/>
        </w:rPr>
        <w:t>Table S</w:t>
      </w:r>
      <w:r>
        <w:rPr>
          <w:rFonts w:ascii="Arial" w:hAnsi="Arial" w:cs="Arial"/>
          <w:sz w:val="20"/>
          <w:szCs w:val="20"/>
        </w:rPr>
        <w:t>5</w:t>
      </w:r>
      <w:r w:rsidRPr="00275F80">
        <w:rPr>
          <w:rFonts w:ascii="Arial" w:hAnsi="Arial" w:cs="Arial"/>
          <w:sz w:val="20"/>
          <w:szCs w:val="20"/>
        </w:rPr>
        <w:t xml:space="preserve">. </w:t>
      </w:r>
      <w:r w:rsidRPr="00275F80">
        <w:rPr>
          <w:rFonts w:ascii="Arial" w:hAnsi="Arial" w:cs="Arial"/>
          <w:b w:val="0"/>
          <w:bCs w:val="0"/>
          <w:sz w:val="20"/>
          <w:szCs w:val="20"/>
        </w:rPr>
        <w:t xml:space="preserve">Presence or absence of denitrification enzymes in </w:t>
      </w:r>
      <w:r w:rsidRPr="00275F80">
        <w:rPr>
          <w:rFonts w:ascii="Arial" w:hAnsi="Arial" w:cs="Arial"/>
          <w:b w:val="0"/>
          <w:bCs w:val="0"/>
          <w:i/>
          <w:iCs/>
          <w:sz w:val="20"/>
          <w:szCs w:val="20"/>
        </w:rPr>
        <w:t xml:space="preserve">Ax </w:t>
      </w:r>
      <w:r w:rsidRPr="00275F80">
        <w:rPr>
          <w:rFonts w:ascii="Arial" w:hAnsi="Arial" w:cs="Arial"/>
          <w:b w:val="0"/>
          <w:bCs w:val="0"/>
          <w:sz w:val="20"/>
          <w:szCs w:val="20"/>
        </w:rPr>
        <w:t>strains obtained from clinical isolates of patients with cystic fibrosis</w:t>
      </w:r>
    </w:p>
    <w:tbl>
      <w:tblPr>
        <w:tblW w:w="7217" w:type="dxa"/>
        <w:tblLook w:val="04A0" w:firstRow="1" w:lastRow="0" w:firstColumn="1" w:lastColumn="0" w:noHBand="0" w:noVBand="1"/>
      </w:tblPr>
      <w:tblGrid>
        <w:gridCol w:w="3809"/>
        <w:gridCol w:w="1886"/>
        <w:gridCol w:w="1572"/>
      </w:tblGrid>
      <w:tr w:rsidR="00451D5E" w:rsidRPr="00275F80" w14:paraId="6650574D" w14:textId="77777777" w:rsidTr="00B87BD2">
        <w:trPr>
          <w:trHeight w:val="570"/>
        </w:trPr>
        <w:tc>
          <w:tcPr>
            <w:tcW w:w="380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0147FCA"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Compound </w:t>
            </w:r>
          </w:p>
        </w:tc>
        <w:tc>
          <w:tcPr>
            <w:tcW w:w="1886" w:type="dxa"/>
            <w:tcBorders>
              <w:top w:val="single" w:sz="4" w:space="0" w:color="000000"/>
              <w:left w:val="nil"/>
              <w:bottom w:val="single" w:sz="4" w:space="0" w:color="000000"/>
              <w:right w:val="single" w:sz="4" w:space="0" w:color="000000"/>
            </w:tcBorders>
            <w:shd w:val="clear" w:color="auto" w:fill="auto"/>
            <w:noWrap/>
            <w:vAlign w:val="center"/>
            <w:hideMark/>
          </w:tcPr>
          <w:p w14:paraId="1D77473F"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Formula</w:t>
            </w:r>
          </w:p>
        </w:tc>
        <w:tc>
          <w:tcPr>
            <w:tcW w:w="1522" w:type="dxa"/>
            <w:tcBorders>
              <w:top w:val="single" w:sz="4" w:space="0" w:color="000000"/>
              <w:left w:val="nil"/>
              <w:bottom w:val="single" w:sz="4" w:space="0" w:color="000000"/>
              <w:right w:val="single" w:sz="4" w:space="0" w:color="000000"/>
            </w:tcBorders>
            <w:shd w:val="clear" w:color="auto" w:fill="auto"/>
            <w:noWrap/>
            <w:vAlign w:val="center"/>
            <w:hideMark/>
          </w:tcPr>
          <w:p w14:paraId="03F4EDB8" w14:textId="77777777" w:rsidR="00451D5E" w:rsidRPr="00275F80" w:rsidRDefault="00451D5E" w:rsidP="00B87BD2">
            <w:pPr>
              <w:spacing w:line="480" w:lineRule="auto"/>
              <w:rPr>
                <w:rFonts w:ascii="Arial" w:hAnsi="Arial" w:cs="Arial"/>
                <w:b/>
                <w:bCs/>
                <w:color w:val="000000"/>
                <w:sz w:val="20"/>
              </w:rPr>
            </w:pPr>
            <w:r w:rsidRPr="00275F80">
              <w:rPr>
                <w:rFonts w:ascii="Arial" w:hAnsi="Arial" w:cs="Arial"/>
                <w:b/>
                <w:bCs/>
                <w:color w:val="000000"/>
                <w:sz w:val="20"/>
              </w:rPr>
              <w:t>Concentration (g/L)</w:t>
            </w:r>
          </w:p>
        </w:tc>
      </w:tr>
      <w:tr w:rsidR="00451D5E" w:rsidRPr="00275F80" w14:paraId="7C521A28" w14:textId="77777777" w:rsidTr="00B87BD2">
        <w:trPr>
          <w:trHeight w:val="285"/>
        </w:trPr>
        <w:tc>
          <w:tcPr>
            <w:tcW w:w="3809" w:type="dxa"/>
            <w:tcBorders>
              <w:top w:val="nil"/>
              <w:left w:val="single" w:sz="4" w:space="0" w:color="000000"/>
              <w:bottom w:val="single" w:sz="4" w:space="0" w:color="000000"/>
              <w:right w:val="single" w:sz="4" w:space="0" w:color="000000"/>
            </w:tcBorders>
            <w:shd w:val="clear" w:color="auto" w:fill="auto"/>
            <w:noWrap/>
            <w:vAlign w:val="center"/>
            <w:hideMark/>
          </w:tcPr>
          <w:p w14:paraId="33320C4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Ferrous sulfate heptahydrate</w:t>
            </w:r>
          </w:p>
        </w:tc>
        <w:tc>
          <w:tcPr>
            <w:tcW w:w="1886" w:type="dxa"/>
            <w:tcBorders>
              <w:top w:val="nil"/>
              <w:left w:val="nil"/>
              <w:bottom w:val="single" w:sz="4" w:space="0" w:color="000000"/>
              <w:right w:val="single" w:sz="4" w:space="0" w:color="000000"/>
            </w:tcBorders>
            <w:shd w:val="clear" w:color="auto" w:fill="auto"/>
            <w:noWrap/>
            <w:vAlign w:val="center"/>
            <w:hideMark/>
          </w:tcPr>
          <w:p w14:paraId="220EABF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FeSO</w:t>
            </w:r>
            <w:r w:rsidRPr="00275F80">
              <w:rPr>
                <w:rFonts w:ascii="Arial" w:hAnsi="Arial" w:cs="Arial"/>
                <w:color w:val="000000"/>
                <w:sz w:val="20"/>
                <w:vertAlign w:val="subscript"/>
              </w:rPr>
              <w:t>4</w:t>
            </w:r>
            <w:r w:rsidRPr="00275F80">
              <w:rPr>
                <w:rFonts w:ascii="Arial" w:hAnsi="Arial" w:cs="Arial"/>
                <w:color w:val="000000"/>
                <w:sz w:val="20"/>
              </w:rPr>
              <w:t xml:space="preserve"> · 7H</w:t>
            </w:r>
            <w:r w:rsidRPr="00275F80">
              <w:rPr>
                <w:rFonts w:ascii="Arial" w:hAnsi="Arial" w:cs="Arial"/>
                <w:color w:val="000000"/>
                <w:sz w:val="20"/>
                <w:vertAlign w:val="subscript"/>
              </w:rPr>
              <w:t>2</w:t>
            </w:r>
            <w:r w:rsidRPr="00275F80">
              <w:rPr>
                <w:rFonts w:ascii="Arial" w:hAnsi="Arial" w:cs="Arial"/>
                <w:color w:val="000000"/>
                <w:sz w:val="20"/>
              </w:rPr>
              <w:t>O</w:t>
            </w:r>
          </w:p>
        </w:tc>
        <w:tc>
          <w:tcPr>
            <w:tcW w:w="1522" w:type="dxa"/>
            <w:tcBorders>
              <w:top w:val="nil"/>
              <w:left w:val="nil"/>
              <w:bottom w:val="single" w:sz="4" w:space="0" w:color="000000"/>
              <w:right w:val="single" w:sz="4" w:space="0" w:color="000000"/>
            </w:tcBorders>
            <w:shd w:val="clear" w:color="auto" w:fill="auto"/>
            <w:noWrap/>
            <w:vAlign w:val="center"/>
            <w:hideMark/>
          </w:tcPr>
          <w:p w14:paraId="27E7A282"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9.13</w:t>
            </w:r>
          </w:p>
        </w:tc>
      </w:tr>
      <w:tr w:rsidR="00451D5E" w:rsidRPr="00275F80" w14:paraId="67FB2463" w14:textId="77777777" w:rsidTr="00B87BD2">
        <w:trPr>
          <w:trHeight w:val="285"/>
        </w:trPr>
        <w:tc>
          <w:tcPr>
            <w:tcW w:w="3809" w:type="dxa"/>
            <w:tcBorders>
              <w:top w:val="nil"/>
              <w:left w:val="single" w:sz="4" w:space="0" w:color="000000"/>
              <w:bottom w:val="single" w:sz="4" w:space="0" w:color="000000"/>
              <w:right w:val="single" w:sz="4" w:space="0" w:color="000000"/>
            </w:tcBorders>
            <w:shd w:val="clear" w:color="auto" w:fill="auto"/>
            <w:noWrap/>
            <w:vAlign w:val="center"/>
            <w:hideMark/>
          </w:tcPr>
          <w:p w14:paraId="74C274E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Calcium chloride dehydrate</w:t>
            </w:r>
          </w:p>
        </w:tc>
        <w:tc>
          <w:tcPr>
            <w:tcW w:w="1886" w:type="dxa"/>
            <w:tcBorders>
              <w:top w:val="nil"/>
              <w:left w:val="nil"/>
              <w:bottom w:val="single" w:sz="4" w:space="0" w:color="000000"/>
              <w:right w:val="single" w:sz="4" w:space="0" w:color="000000"/>
            </w:tcBorders>
            <w:shd w:val="clear" w:color="auto" w:fill="auto"/>
            <w:noWrap/>
            <w:vAlign w:val="center"/>
            <w:hideMark/>
          </w:tcPr>
          <w:p w14:paraId="630CA6C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CaCl</w:t>
            </w:r>
            <w:r w:rsidRPr="00275F80">
              <w:rPr>
                <w:rFonts w:ascii="Arial" w:hAnsi="Arial" w:cs="Arial"/>
                <w:color w:val="000000"/>
                <w:sz w:val="20"/>
                <w:vertAlign w:val="subscript"/>
              </w:rPr>
              <w:t>2</w:t>
            </w:r>
            <w:r w:rsidRPr="00275F80">
              <w:rPr>
                <w:rFonts w:ascii="Arial" w:hAnsi="Arial" w:cs="Arial"/>
                <w:color w:val="000000"/>
                <w:sz w:val="20"/>
              </w:rPr>
              <w:t xml:space="preserve"> · 2H</w:t>
            </w:r>
            <w:r w:rsidRPr="00275F80">
              <w:rPr>
                <w:rFonts w:ascii="Arial" w:hAnsi="Arial" w:cs="Arial"/>
                <w:color w:val="000000"/>
                <w:sz w:val="20"/>
                <w:vertAlign w:val="subscript"/>
              </w:rPr>
              <w:t>2</w:t>
            </w:r>
            <w:r w:rsidRPr="00275F80">
              <w:rPr>
                <w:rFonts w:ascii="Arial" w:hAnsi="Arial" w:cs="Arial"/>
                <w:color w:val="000000"/>
                <w:sz w:val="20"/>
              </w:rPr>
              <w:t>O</w:t>
            </w:r>
          </w:p>
        </w:tc>
        <w:tc>
          <w:tcPr>
            <w:tcW w:w="1522" w:type="dxa"/>
            <w:tcBorders>
              <w:top w:val="nil"/>
              <w:left w:val="nil"/>
              <w:bottom w:val="single" w:sz="4" w:space="0" w:color="000000"/>
              <w:right w:val="single" w:sz="4" w:space="0" w:color="000000"/>
            </w:tcBorders>
            <w:shd w:val="clear" w:color="auto" w:fill="auto"/>
            <w:noWrap/>
            <w:vAlign w:val="center"/>
            <w:hideMark/>
          </w:tcPr>
          <w:p w14:paraId="7767E64E"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7.33</w:t>
            </w:r>
          </w:p>
        </w:tc>
      </w:tr>
      <w:tr w:rsidR="00451D5E" w:rsidRPr="00275F80" w14:paraId="1E2EE811" w14:textId="77777777" w:rsidTr="00B87BD2">
        <w:trPr>
          <w:trHeight w:val="285"/>
        </w:trPr>
        <w:tc>
          <w:tcPr>
            <w:tcW w:w="3809" w:type="dxa"/>
            <w:tcBorders>
              <w:top w:val="nil"/>
              <w:left w:val="single" w:sz="4" w:space="0" w:color="000000"/>
              <w:bottom w:val="single" w:sz="4" w:space="0" w:color="000000"/>
              <w:right w:val="single" w:sz="4" w:space="0" w:color="000000"/>
            </w:tcBorders>
            <w:shd w:val="clear" w:color="auto" w:fill="auto"/>
            <w:noWrap/>
            <w:vAlign w:val="center"/>
            <w:hideMark/>
          </w:tcPr>
          <w:p w14:paraId="28AFD317" w14:textId="77777777" w:rsidR="00451D5E" w:rsidRPr="00275F80" w:rsidRDefault="00451D5E" w:rsidP="00B87BD2">
            <w:pPr>
              <w:spacing w:line="480" w:lineRule="auto"/>
              <w:rPr>
                <w:rFonts w:ascii="Arial" w:hAnsi="Arial" w:cs="Arial"/>
                <w:color w:val="000000"/>
                <w:sz w:val="20"/>
              </w:rPr>
            </w:pPr>
            <w:proofErr w:type="gramStart"/>
            <w:r w:rsidRPr="00275F80">
              <w:rPr>
                <w:rFonts w:ascii="Arial" w:hAnsi="Arial" w:cs="Arial"/>
                <w:color w:val="000000"/>
                <w:sz w:val="20"/>
              </w:rPr>
              <w:t>Manganese(</w:t>
            </w:r>
            <w:proofErr w:type="gramEnd"/>
            <w:r w:rsidRPr="00275F80">
              <w:rPr>
                <w:rFonts w:ascii="Arial" w:hAnsi="Arial" w:cs="Arial"/>
                <w:color w:val="000000"/>
                <w:sz w:val="20"/>
              </w:rPr>
              <w:t>II) chloride tetrahydrate</w:t>
            </w:r>
          </w:p>
        </w:tc>
        <w:tc>
          <w:tcPr>
            <w:tcW w:w="1886" w:type="dxa"/>
            <w:tcBorders>
              <w:top w:val="nil"/>
              <w:left w:val="nil"/>
              <w:bottom w:val="single" w:sz="4" w:space="0" w:color="000000"/>
              <w:right w:val="single" w:sz="4" w:space="0" w:color="000000"/>
            </w:tcBorders>
            <w:shd w:val="clear" w:color="auto" w:fill="auto"/>
            <w:noWrap/>
            <w:vAlign w:val="center"/>
            <w:hideMark/>
          </w:tcPr>
          <w:p w14:paraId="7C41ED1F"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MnCl</w:t>
            </w:r>
            <w:r w:rsidRPr="00275F80">
              <w:rPr>
                <w:rFonts w:ascii="Arial" w:hAnsi="Arial" w:cs="Arial"/>
                <w:color w:val="000000"/>
                <w:sz w:val="20"/>
                <w:vertAlign w:val="subscript"/>
              </w:rPr>
              <w:t>2</w:t>
            </w:r>
            <w:r w:rsidRPr="00275F80">
              <w:rPr>
                <w:rFonts w:ascii="Arial" w:hAnsi="Arial" w:cs="Arial"/>
                <w:color w:val="000000"/>
                <w:sz w:val="20"/>
              </w:rPr>
              <w:t>·4H</w:t>
            </w:r>
            <w:r w:rsidRPr="00275F80">
              <w:rPr>
                <w:rFonts w:ascii="Arial" w:hAnsi="Arial" w:cs="Arial"/>
                <w:color w:val="000000"/>
                <w:sz w:val="20"/>
                <w:vertAlign w:val="subscript"/>
              </w:rPr>
              <w:t>2</w:t>
            </w:r>
            <w:r w:rsidRPr="00275F80">
              <w:rPr>
                <w:rFonts w:ascii="Arial" w:hAnsi="Arial" w:cs="Arial"/>
                <w:color w:val="000000"/>
                <w:sz w:val="20"/>
              </w:rPr>
              <w:t>O</w:t>
            </w:r>
          </w:p>
        </w:tc>
        <w:tc>
          <w:tcPr>
            <w:tcW w:w="1522" w:type="dxa"/>
            <w:tcBorders>
              <w:top w:val="nil"/>
              <w:left w:val="nil"/>
              <w:bottom w:val="single" w:sz="4" w:space="0" w:color="000000"/>
              <w:right w:val="single" w:sz="4" w:space="0" w:color="000000"/>
            </w:tcBorders>
            <w:shd w:val="clear" w:color="auto" w:fill="auto"/>
            <w:noWrap/>
            <w:vAlign w:val="center"/>
            <w:hideMark/>
          </w:tcPr>
          <w:p w14:paraId="0832C151"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7.95</w:t>
            </w:r>
          </w:p>
        </w:tc>
      </w:tr>
      <w:tr w:rsidR="00451D5E" w:rsidRPr="00275F80" w14:paraId="29E672FD" w14:textId="77777777" w:rsidTr="00B87BD2">
        <w:trPr>
          <w:trHeight w:val="285"/>
        </w:trPr>
        <w:tc>
          <w:tcPr>
            <w:tcW w:w="3809" w:type="dxa"/>
            <w:tcBorders>
              <w:top w:val="nil"/>
              <w:left w:val="single" w:sz="4" w:space="0" w:color="000000"/>
              <w:bottom w:val="single" w:sz="4" w:space="0" w:color="000000"/>
              <w:right w:val="single" w:sz="4" w:space="0" w:color="000000"/>
            </w:tcBorders>
            <w:shd w:val="clear" w:color="auto" w:fill="auto"/>
            <w:noWrap/>
            <w:vAlign w:val="center"/>
            <w:hideMark/>
          </w:tcPr>
          <w:p w14:paraId="08898B0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Zinc sulfate heptahydrate</w:t>
            </w:r>
          </w:p>
        </w:tc>
        <w:tc>
          <w:tcPr>
            <w:tcW w:w="1886" w:type="dxa"/>
            <w:tcBorders>
              <w:top w:val="nil"/>
              <w:left w:val="nil"/>
              <w:bottom w:val="single" w:sz="4" w:space="0" w:color="000000"/>
              <w:right w:val="single" w:sz="4" w:space="0" w:color="000000"/>
            </w:tcBorders>
            <w:shd w:val="clear" w:color="auto" w:fill="auto"/>
            <w:noWrap/>
            <w:vAlign w:val="center"/>
            <w:hideMark/>
          </w:tcPr>
          <w:p w14:paraId="1FA73D86"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ZnSO</w:t>
            </w:r>
            <w:r w:rsidRPr="00275F80">
              <w:rPr>
                <w:rFonts w:ascii="Arial" w:hAnsi="Arial" w:cs="Arial"/>
                <w:color w:val="000000"/>
                <w:sz w:val="20"/>
                <w:vertAlign w:val="subscript"/>
              </w:rPr>
              <w:t>4</w:t>
            </w:r>
            <w:r w:rsidRPr="00275F80">
              <w:rPr>
                <w:rFonts w:ascii="Arial" w:hAnsi="Arial" w:cs="Arial"/>
                <w:color w:val="000000"/>
                <w:sz w:val="20"/>
              </w:rPr>
              <w:t xml:space="preserve"> · 7H</w:t>
            </w:r>
            <w:r w:rsidRPr="00275F80">
              <w:rPr>
                <w:rFonts w:ascii="Arial" w:hAnsi="Arial" w:cs="Arial"/>
                <w:color w:val="000000"/>
                <w:sz w:val="20"/>
                <w:vertAlign w:val="subscript"/>
              </w:rPr>
              <w:t>2</w:t>
            </w:r>
            <w:r w:rsidRPr="00275F80">
              <w:rPr>
                <w:rFonts w:ascii="Arial" w:hAnsi="Arial" w:cs="Arial"/>
                <w:color w:val="000000"/>
                <w:sz w:val="20"/>
              </w:rPr>
              <w:t>O</w:t>
            </w:r>
          </w:p>
        </w:tc>
        <w:tc>
          <w:tcPr>
            <w:tcW w:w="1522" w:type="dxa"/>
            <w:tcBorders>
              <w:top w:val="nil"/>
              <w:left w:val="nil"/>
              <w:bottom w:val="single" w:sz="4" w:space="0" w:color="000000"/>
              <w:right w:val="single" w:sz="4" w:space="0" w:color="000000"/>
            </w:tcBorders>
            <w:shd w:val="clear" w:color="auto" w:fill="auto"/>
            <w:noWrap/>
            <w:vAlign w:val="center"/>
            <w:hideMark/>
          </w:tcPr>
          <w:p w14:paraId="6DEFF713"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39.17</w:t>
            </w:r>
          </w:p>
        </w:tc>
      </w:tr>
      <w:tr w:rsidR="00451D5E" w:rsidRPr="00275F80" w14:paraId="45A28CD9" w14:textId="77777777" w:rsidTr="00B87BD2">
        <w:trPr>
          <w:trHeight w:val="285"/>
        </w:trPr>
        <w:tc>
          <w:tcPr>
            <w:tcW w:w="3809" w:type="dxa"/>
            <w:tcBorders>
              <w:top w:val="nil"/>
              <w:left w:val="single" w:sz="4" w:space="0" w:color="000000"/>
              <w:bottom w:val="single" w:sz="4" w:space="0" w:color="000000"/>
              <w:right w:val="single" w:sz="4" w:space="0" w:color="000000"/>
            </w:tcBorders>
            <w:shd w:val="clear" w:color="auto" w:fill="auto"/>
            <w:noWrap/>
            <w:vAlign w:val="center"/>
            <w:hideMark/>
          </w:tcPr>
          <w:p w14:paraId="08D61AB9" w14:textId="77777777" w:rsidR="00451D5E" w:rsidRPr="00275F80" w:rsidRDefault="00451D5E" w:rsidP="00B87BD2">
            <w:pPr>
              <w:spacing w:line="480" w:lineRule="auto"/>
              <w:rPr>
                <w:rFonts w:ascii="Arial" w:hAnsi="Arial" w:cs="Arial"/>
                <w:color w:val="000000"/>
                <w:sz w:val="20"/>
              </w:rPr>
            </w:pPr>
            <w:proofErr w:type="gramStart"/>
            <w:r w:rsidRPr="00275F80">
              <w:rPr>
                <w:rFonts w:ascii="Arial" w:hAnsi="Arial" w:cs="Arial"/>
                <w:color w:val="000000"/>
                <w:sz w:val="20"/>
              </w:rPr>
              <w:t>Copper(</w:t>
            </w:r>
            <w:proofErr w:type="gramEnd"/>
            <w:r w:rsidRPr="00275F80">
              <w:rPr>
                <w:rFonts w:ascii="Arial" w:hAnsi="Arial" w:cs="Arial"/>
                <w:color w:val="000000"/>
                <w:sz w:val="20"/>
              </w:rPr>
              <w:t>II) sulfate</w:t>
            </w:r>
          </w:p>
        </w:tc>
        <w:tc>
          <w:tcPr>
            <w:tcW w:w="1886" w:type="dxa"/>
            <w:tcBorders>
              <w:top w:val="nil"/>
              <w:left w:val="nil"/>
              <w:bottom w:val="single" w:sz="4" w:space="0" w:color="000000"/>
              <w:right w:val="single" w:sz="4" w:space="0" w:color="000000"/>
            </w:tcBorders>
            <w:shd w:val="clear" w:color="auto" w:fill="auto"/>
            <w:noWrap/>
            <w:vAlign w:val="center"/>
            <w:hideMark/>
          </w:tcPr>
          <w:p w14:paraId="18CBD146"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CuSO</w:t>
            </w:r>
            <w:r w:rsidRPr="00275F80">
              <w:rPr>
                <w:rFonts w:ascii="Arial" w:hAnsi="Arial" w:cs="Arial"/>
                <w:color w:val="000000"/>
                <w:sz w:val="20"/>
                <w:vertAlign w:val="subscript"/>
              </w:rPr>
              <w:t>4</w:t>
            </w:r>
          </w:p>
        </w:tc>
        <w:tc>
          <w:tcPr>
            <w:tcW w:w="1522" w:type="dxa"/>
            <w:tcBorders>
              <w:top w:val="nil"/>
              <w:left w:val="nil"/>
              <w:bottom w:val="single" w:sz="4" w:space="0" w:color="000000"/>
              <w:right w:val="single" w:sz="4" w:space="0" w:color="000000"/>
            </w:tcBorders>
            <w:shd w:val="clear" w:color="auto" w:fill="auto"/>
            <w:noWrap/>
            <w:vAlign w:val="center"/>
            <w:hideMark/>
          </w:tcPr>
          <w:p w14:paraId="5E282865"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1.57</w:t>
            </w:r>
          </w:p>
        </w:tc>
      </w:tr>
      <w:tr w:rsidR="00451D5E" w:rsidRPr="00275F80" w14:paraId="52129BB0" w14:textId="77777777" w:rsidTr="00B87BD2">
        <w:trPr>
          <w:trHeight w:val="285"/>
        </w:trPr>
        <w:tc>
          <w:tcPr>
            <w:tcW w:w="3809" w:type="dxa"/>
            <w:tcBorders>
              <w:top w:val="nil"/>
              <w:left w:val="single" w:sz="4" w:space="0" w:color="000000"/>
              <w:bottom w:val="single" w:sz="4" w:space="0" w:color="000000"/>
              <w:right w:val="single" w:sz="4" w:space="0" w:color="000000"/>
            </w:tcBorders>
            <w:shd w:val="clear" w:color="auto" w:fill="auto"/>
            <w:noWrap/>
            <w:vAlign w:val="center"/>
            <w:hideMark/>
          </w:tcPr>
          <w:p w14:paraId="080238BA" w14:textId="77777777" w:rsidR="00451D5E" w:rsidRPr="00275F80" w:rsidRDefault="00451D5E" w:rsidP="00B87BD2">
            <w:pPr>
              <w:spacing w:line="480" w:lineRule="auto"/>
              <w:rPr>
                <w:rFonts w:ascii="Arial" w:hAnsi="Arial" w:cs="Arial"/>
                <w:color w:val="000000"/>
                <w:sz w:val="20"/>
              </w:rPr>
            </w:pPr>
            <w:proofErr w:type="gramStart"/>
            <w:r w:rsidRPr="00275F80">
              <w:rPr>
                <w:rFonts w:ascii="Arial" w:hAnsi="Arial" w:cs="Arial"/>
                <w:color w:val="000000"/>
                <w:sz w:val="20"/>
              </w:rPr>
              <w:t>Cobalt(</w:t>
            </w:r>
            <w:proofErr w:type="gramEnd"/>
            <w:r w:rsidRPr="00275F80">
              <w:rPr>
                <w:rFonts w:ascii="Arial" w:hAnsi="Arial" w:cs="Arial"/>
                <w:color w:val="000000"/>
                <w:sz w:val="20"/>
              </w:rPr>
              <w:t>II) chloride hexahydrate</w:t>
            </w:r>
          </w:p>
        </w:tc>
        <w:tc>
          <w:tcPr>
            <w:tcW w:w="1886" w:type="dxa"/>
            <w:tcBorders>
              <w:top w:val="nil"/>
              <w:left w:val="nil"/>
              <w:bottom w:val="single" w:sz="4" w:space="0" w:color="000000"/>
              <w:right w:val="single" w:sz="4" w:space="0" w:color="000000"/>
            </w:tcBorders>
            <w:shd w:val="clear" w:color="auto" w:fill="auto"/>
            <w:noWrap/>
            <w:vAlign w:val="center"/>
            <w:hideMark/>
          </w:tcPr>
          <w:p w14:paraId="5846ED8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CoCl</w:t>
            </w:r>
            <w:r w:rsidRPr="00275F80">
              <w:rPr>
                <w:rFonts w:ascii="Arial" w:hAnsi="Arial" w:cs="Arial"/>
                <w:color w:val="000000"/>
                <w:sz w:val="20"/>
                <w:vertAlign w:val="subscript"/>
              </w:rPr>
              <w:t>2</w:t>
            </w:r>
            <w:r w:rsidRPr="00275F80">
              <w:rPr>
                <w:rFonts w:ascii="Arial" w:hAnsi="Arial" w:cs="Arial"/>
                <w:color w:val="000000"/>
                <w:sz w:val="20"/>
              </w:rPr>
              <w:t>·6H</w:t>
            </w:r>
            <w:r w:rsidRPr="00275F80">
              <w:rPr>
                <w:rFonts w:ascii="Arial" w:hAnsi="Arial" w:cs="Arial"/>
                <w:color w:val="000000"/>
                <w:sz w:val="20"/>
                <w:vertAlign w:val="subscript"/>
              </w:rPr>
              <w:t>2</w:t>
            </w:r>
            <w:r w:rsidRPr="00275F80">
              <w:rPr>
                <w:rFonts w:ascii="Arial" w:hAnsi="Arial" w:cs="Arial"/>
                <w:color w:val="000000"/>
                <w:sz w:val="20"/>
              </w:rPr>
              <w:t>O</w:t>
            </w:r>
          </w:p>
        </w:tc>
        <w:tc>
          <w:tcPr>
            <w:tcW w:w="1522" w:type="dxa"/>
            <w:tcBorders>
              <w:top w:val="nil"/>
              <w:left w:val="nil"/>
              <w:bottom w:val="single" w:sz="4" w:space="0" w:color="000000"/>
              <w:right w:val="single" w:sz="4" w:space="0" w:color="000000"/>
            </w:tcBorders>
            <w:shd w:val="clear" w:color="auto" w:fill="auto"/>
            <w:noWrap/>
            <w:vAlign w:val="center"/>
            <w:hideMark/>
          </w:tcPr>
          <w:p w14:paraId="3412D8C4"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2.95</w:t>
            </w:r>
          </w:p>
        </w:tc>
      </w:tr>
      <w:tr w:rsidR="00451D5E" w:rsidRPr="00275F80" w14:paraId="74A28183" w14:textId="77777777" w:rsidTr="00B87BD2">
        <w:trPr>
          <w:trHeight w:val="285"/>
        </w:trPr>
        <w:tc>
          <w:tcPr>
            <w:tcW w:w="3809" w:type="dxa"/>
            <w:tcBorders>
              <w:top w:val="nil"/>
              <w:left w:val="single" w:sz="4" w:space="0" w:color="000000"/>
              <w:bottom w:val="single" w:sz="4" w:space="0" w:color="000000"/>
              <w:right w:val="single" w:sz="4" w:space="0" w:color="000000"/>
            </w:tcBorders>
            <w:shd w:val="clear" w:color="auto" w:fill="auto"/>
            <w:noWrap/>
            <w:vAlign w:val="center"/>
            <w:hideMark/>
          </w:tcPr>
          <w:p w14:paraId="2EEB898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 xml:space="preserve">Ammonium </w:t>
            </w:r>
            <w:proofErr w:type="gramStart"/>
            <w:r w:rsidRPr="00275F80">
              <w:rPr>
                <w:rFonts w:ascii="Arial" w:hAnsi="Arial" w:cs="Arial"/>
                <w:color w:val="000000"/>
                <w:sz w:val="20"/>
              </w:rPr>
              <w:t>molybdate(</w:t>
            </w:r>
            <w:proofErr w:type="gramEnd"/>
            <w:r w:rsidRPr="00275F80">
              <w:rPr>
                <w:rFonts w:ascii="Arial" w:hAnsi="Arial" w:cs="Arial"/>
                <w:color w:val="000000"/>
                <w:sz w:val="20"/>
              </w:rPr>
              <w:t>IV) tetrahydrate</w:t>
            </w:r>
          </w:p>
        </w:tc>
        <w:tc>
          <w:tcPr>
            <w:tcW w:w="1886" w:type="dxa"/>
            <w:tcBorders>
              <w:top w:val="nil"/>
              <w:left w:val="nil"/>
              <w:bottom w:val="single" w:sz="4" w:space="0" w:color="000000"/>
              <w:right w:val="single" w:sz="4" w:space="0" w:color="000000"/>
            </w:tcBorders>
            <w:shd w:val="clear" w:color="auto" w:fill="auto"/>
            <w:noWrap/>
            <w:vAlign w:val="center"/>
            <w:hideMark/>
          </w:tcPr>
          <w:p w14:paraId="1D07CAAD"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(NH</w:t>
            </w:r>
            <w:r w:rsidRPr="00275F80">
              <w:rPr>
                <w:rFonts w:ascii="Arial" w:hAnsi="Arial" w:cs="Arial"/>
                <w:color w:val="000000"/>
                <w:sz w:val="20"/>
                <w:vertAlign w:val="subscript"/>
              </w:rPr>
              <w:t>4</w:t>
            </w:r>
            <w:r w:rsidRPr="00275F80">
              <w:rPr>
                <w:rFonts w:ascii="Arial" w:hAnsi="Arial" w:cs="Arial"/>
                <w:color w:val="000000"/>
                <w:sz w:val="20"/>
              </w:rPr>
              <w:t>)</w:t>
            </w:r>
            <w:r w:rsidRPr="00275F80">
              <w:rPr>
                <w:rFonts w:ascii="Arial" w:hAnsi="Arial" w:cs="Arial"/>
                <w:color w:val="000000"/>
                <w:sz w:val="20"/>
                <w:vertAlign w:val="subscript"/>
              </w:rPr>
              <w:t>6</w:t>
            </w:r>
            <w:r w:rsidRPr="00275F80">
              <w:rPr>
                <w:rFonts w:ascii="Arial" w:hAnsi="Arial" w:cs="Arial"/>
                <w:color w:val="000000"/>
                <w:sz w:val="20"/>
              </w:rPr>
              <w:t>Mo</w:t>
            </w:r>
            <w:r w:rsidRPr="00275F80">
              <w:rPr>
                <w:rFonts w:ascii="Arial" w:hAnsi="Arial" w:cs="Arial"/>
                <w:color w:val="000000"/>
                <w:sz w:val="20"/>
                <w:vertAlign w:val="subscript"/>
              </w:rPr>
              <w:t>7</w:t>
            </w:r>
            <w:r w:rsidRPr="00275F80">
              <w:rPr>
                <w:rFonts w:ascii="Arial" w:hAnsi="Arial" w:cs="Arial"/>
                <w:color w:val="000000"/>
                <w:sz w:val="20"/>
              </w:rPr>
              <w:t>O</w:t>
            </w:r>
            <w:r w:rsidRPr="00275F80">
              <w:rPr>
                <w:rFonts w:ascii="Arial" w:hAnsi="Arial" w:cs="Arial"/>
                <w:color w:val="000000"/>
                <w:sz w:val="20"/>
                <w:vertAlign w:val="subscript"/>
              </w:rPr>
              <w:t>24</w:t>
            </w:r>
            <w:r w:rsidRPr="00275F80">
              <w:rPr>
                <w:rFonts w:ascii="Arial" w:hAnsi="Arial" w:cs="Arial"/>
                <w:color w:val="000000"/>
                <w:sz w:val="20"/>
              </w:rPr>
              <w:t xml:space="preserve"> · 4H</w:t>
            </w:r>
            <w:r w:rsidRPr="00275F80">
              <w:rPr>
                <w:rFonts w:ascii="Arial" w:hAnsi="Arial" w:cs="Arial"/>
                <w:color w:val="000000"/>
                <w:sz w:val="20"/>
                <w:vertAlign w:val="subscript"/>
              </w:rPr>
              <w:t>2</w:t>
            </w:r>
            <w:r w:rsidRPr="00275F80">
              <w:rPr>
                <w:rFonts w:ascii="Arial" w:hAnsi="Arial" w:cs="Arial"/>
                <w:color w:val="000000"/>
                <w:sz w:val="20"/>
              </w:rPr>
              <w:t>O</w:t>
            </w:r>
          </w:p>
        </w:tc>
        <w:tc>
          <w:tcPr>
            <w:tcW w:w="1522" w:type="dxa"/>
            <w:tcBorders>
              <w:top w:val="nil"/>
              <w:left w:val="nil"/>
              <w:bottom w:val="single" w:sz="4" w:space="0" w:color="000000"/>
              <w:right w:val="single" w:sz="4" w:space="0" w:color="000000"/>
            </w:tcBorders>
            <w:shd w:val="clear" w:color="auto" w:fill="auto"/>
            <w:noWrap/>
            <w:vAlign w:val="center"/>
            <w:hideMark/>
          </w:tcPr>
          <w:p w14:paraId="4EF6FF07" w14:textId="77777777" w:rsidR="00451D5E" w:rsidRPr="00275F80" w:rsidRDefault="00451D5E" w:rsidP="00B87BD2">
            <w:pPr>
              <w:spacing w:line="480" w:lineRule="auto"/>
              <w:rPr>
                <w:rFonts w:ascii="Arial" w:hAnsi="Arial" w:cs="Arial"/>
                <w:color w:val="000000"/>
                <w:sz w:val="20"/>
              </w:rPr>
            </w:pPr>
            <w:r w:rsidRPr="00275F80">
              <w:rPr>
                <w:rFonts w:ascii="Arial" w:hAnsi="Arial" w:cs="Arial"/>
                <w:color w:val="000000"/>
                <w:sz w:val="20"/>
              </w:rPr>
              <w:t>1.16</w:t>
            </w:r>
          </w:p>
        </w:tc>
      </w:tr>
    </w:tbl>
    <w:p w14:paraId="626ADD9B" w14:textId="0AFA75FB" w:rsidR="00F83A06" w:rsidRPr="00275F80" w:rsidRDefault="00F83A06" w:rsidP="006D6457">
      <w:pPr>
        <w:spacing w:line="480" w:lineRule="auto"/>
        <w:rPr>
          <w:rFonts w:ascii="Arial" w:hAnsi="Arial" w:cs="Arial"/>
          <w:sz w:val="20"/>
        </w:rPr>
      </w:pPr>
    </w:p>
    <w:p w14:paraId="38C45C53" w14:textId="169D2374" w:rsidR="00F83A06" w:rsidRPr="00275F80" w:rsidRDefault="00F83A06" w:rsidP="006D6457">
      <w:pPr>
        <w:pStyle w:val="SMHeading"/>
        <w:spacing w:line="480" w:lineRule="auto"/>
        <w:rPr>
          <w:rFonts w:ascii="Arial" w:hAnsi="Arial" w:cs="Arial"/>
          <w:b w:val="0"/>
          <w:bCs w:val="0"/>
          <w:sz w:val="20"/>
          <w:szCs w:val="20"/>
        </w:rPr>
      </w:pPr>
      <w:r w:rsidRPr="00275F80">
        <w:rPr>
          <w:rFonts w:ascii="Arial" w:hAnsi="Arial" w:cs="Arial"/>
          <w:sz w:val="20"/>
          <w:szCs w:val="20"/>
        </w:rPr>
        <w:t>Table S</w:t>
      </w:r>
      <w:r w:rsidR="00451D5E">
        <w:rPr>
          <w:rFonts w:ascii="Arial" w:hAnsi="Arial" w:cs="Arial"/>
          <w:sz w:val="20"/>
          <w:szCs w:val="20"/>
        </w:rPr>
        <w:t>6</w:t>
      </w:r>
      <w:r w:rsidRPr="00275F80">
        <w:rPr>
          <w:rFonts w:ascii="Arial" w:hAnsi="Arial" w:cs="Arial"/>
          <w:sz w:val="20"/>
          <w:szCs w:val="20"/>
        </w:rPr>
        <w:t xml:space="preserve">. </w:t>
      </w:r>
      <w:r w:rsidRPr="00275F80">
        <w:rPr>
          <w:rFonts w:ascii="Arial" w:hAnsi="Arial" w:cs="Arial"/>
          <w:b w:val="0"/>
          <w:bCs w:val="0"/>
          <w:sz w:val="20"/>
          <w:szCs w:val="20"/>
        </w:rPr>
        <w:t xml:space="preserve">Details of isolated </w:t>
      </w:r>
      <w:r w:rsidRPr="00275F80">
        <w:rPr>
          <w:rFonts w:ascii="Arial" w:hAnsi="Arial" w:cs="Arial"/>
          <w:b w:val="0"/>
          <w:bCs w:val="0"/>
          <w:i/>
          <w:iCs/>
          <w:sz w:val="20"/>
          <w:szCs w:val="20"/>
        </w:rPr>
        <w:t xml:space="preserve">Ax </w:t>
      </w:r>
      <w:r w:rsidRPr="00275F80">
        <w:rPr>
          <w:rFonts w:ascii="Arial" w:hAnsi="Arial" w:cs="Arial"/>
          <w:b w:val="0"/>
          <w:bCs w:val="0"/>
          <w:sz w:val="20"/>
          <w:szCs w:val="20"/>
        </w:rPr>
        <w:t>strains obtained from patients with cystic fibrosis.</w:t>
      </w:r>
    </w:p>
    <w:tbl>
      <w:tblPr>
        <w:tblW w:w="5000" w:type="pct"/>
        <w:tblLook w:val="04A0" w:firstRow="1" w:lastRow="0" w:firstColumn="1" w:lastColumn="0" w:noHBand="0" w:noVBand="1"/>
      </w:tblPr>
      <w:tblGrid>
        <w:gridCol w:w="2489"/>
        <w:gridCol w:w="2772"/>
        <w:gridCol w:w="3369"/>
      </w:tblGrid>
      <w:tr w:rsidR="00847FAE" w:rsidRPr="00275F80" w14:paraId="78FD3936" w14:textId="77777777" w:rsidTr="00373357">
        <w:trPr>
          <w:trHeight w:val="660"/>
        </w:trPr>
        <w:tc>
          <w:tcPr>
            <w:tcW w:w="1442" w:type="pct"/>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6016ADE6" w14:textId="75A93713" w:rsidR="00847FAE" w:rsidRPr="00275F80" w:rsidRDefault="00847FAE" w:rsidP="006D6457">
            <w:pPr>
              <w:spacing w:line="480" w:lineRule="auto"/>
              <w:rPr>
                <w:rFonts w:ascii="Arial" w:hAnsi="Arial" w:cs="Arial"/>
                <w:b/>
                <w:bCs/>
                <w:color w:val="000000"/>
                <w:sz w:val="20"/>
              </w:rPr>
            </w:pPr>
            <w:r w:rsidRPr="00275F80">
              <w:rPr>
                <w:rFonts w:ascii="Arial" w:hAnsi="Arial" w:cs="Arial"/>
                <w:b/>
                <w:bCs/>
                <w:color w:val="000000"/>
                <w:sz w:val="20"/>
              </w:rPr>
              <w:t xml:space="preserve">Strain </w:t>
            </w:r>
            <w:r w:rsidR="00D84DC7">
              <w:rPr>
                <w:rFonts w:ascii="Arial" w:hAnsi="Arial" w:cs="Arial"/>
                <w:b/>
                <w:bCs/>
                <w:color w:val="000000"/>
                <w:sz w:val="20"/>
              </w:rPr>
              <w:t>number</w:t>
            </w:r>
          </w:p>
        </w:tc>
        <w:tc>
          <w:tcPr>
            <w:tcW w:w="1606" w:type="pct"/>
            <w:tcBorders>
              <w:top w:val="single" w:sz="4" w:space="0" w:color="000000"/>
              <w:left w:val="nil"/>
              <w:bottom w:val="single" w:sz="4" w:space="0" w:color="000000"/>
              <w:right w:val="single" w:sz="4" w:space="0" w:color="000000"/>
            </w:tcBorders>
            <w:shd w:val="clear" w:color="FFFFFF" w:fill="FFFFFF"/>
            <w:noWrap/>
            <w:vAlign w:val="center"/>
            <w:hideMark/>
          </w:tcPr>
          <w:p w14:paraId="44D34B1D" w14:textId="183F74D6" w:rsidR="00847FAE" w:rsidRPr="00275F80" w:rsidRDefault="00847FAE" w:rsidP="006D6457">
            <w:pPr>
              <w:spacing w:line="480" w:lineRule="auto"/>
              <w:rPr>
                <w:rFonts w:ascii="Arial" w:hAnsi="Arial" w:cs="Arial"/>
                <w:b/>
                <w:bCs/>
                <w:color w:val="000000"/>
                <w:sz w:val="20"/>
              </w:rPr>
            </w:pPr>
            <w:r>
              <w:rPr>
                <w:rFonts w:ascii="Arial" w:hAnsi="Arial" w:cs="Arial"/>
                <w:b/>
                <w:bCs/>
                <w:color w:val="000000"/>
                <w:sz w:val="20"/>
              </w:rPr>
              <w:t>Sample</w:t>
            </w:r>
            <w:r w:rsidRPr="00275F80">
              <w:rPr>
                <w:rFonts w:ascii="Arial" w:hAnsi="Arial" w:cs="Arial"/>
                <w:b/>
                <w:bCs/>
                <w:color w:val="000000"/>
                <w:sz w:val="20"/>
              </w:rPr>
              <w:t xml:space="preserve"> location</w:t>
            </w:r>
          </w:p>
        </w:tc>
        <w:tc>
          <w:tcPr>
            <w:tcW w:w="1952" w:type="pct"/>
            <w:tcBorders>
              <w:top w:val="single" w:sz="4" w:space="0" w:color="000000"/>
              <w:left w:val="nil"/>
              <w:bottom w:val="single" w:sz="4" w:space="0" w:color="000000"/>
              <w:right w:val="single" w:sz="4" w:space="0" w:color="000000"/>
            </w:tcBorders>
            <w:shd w:val="clear" w:color="FFFFFF" w:fill="FFFFFF"/>
            <w:noWrap/>
            <w:vAlign w:val="center"/>
            <w:hideMark/>
          </w:tcPr>
          <w:p w14:paraId="78F563A9" w14:textId="77777777" w:rsidR="00847FAE" w:rsidRPr="00275F80" w:rsidRDefault="00847FAE" w:rsidP="006D6457">
            <w:pPr>
              <w:spacing w:line="480" w:lineRule="auto"/>
              <w:rPr>
                <w:rFonts w:ascii="Arial" w:hAnsi="Arial" w:cs="Arial"/>
                <w:b/>
                <w:bCs/>
                <w:color w:val="000000"/>
                <w:sz w:val="20"/>
              </w:rPr>
            </w:pPr>
            <w:r w:rsidRPr="00275F80">
              <w:rPr>
                <w:rFonts w:ascii="Arial" w:hAnsi="Arial" w:cs="Arial"/>
                <w:b/>
                <w:bCs/>
                <w:color w:val="000000"/>
                <w:sz w:val="20"/>
              </w:rPr>
              <w:t>Sequencing method</w:t>
            </w:r>
          </w:p>
        </w:tc>
      </w:tr>
      <w:tr w:rsidR="00847FAE" w:rsidRPr="00275F80" w14:paraId="5CE0E5ED"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2588BF56"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G1318</w:t>
            </w:r>
          </w:p>
        </w:tc>
        <w:tc>
          <w:tcPr>
            <w:tcW w:w="1606" w:type="pct"/>
            <w:tcBorders>
              <w:top w:val="nil"/>
              <w:left w:val="nil"/>
              <w:bottom w:val="single" w:sz="4" w:space="0" w:color="000000"/>
              <w:right w:val="single" w:sz="4" w:space="0" w:color="000000"/>
            </w:tcBorders>
            <w:shd w:val="clear" w:color="FFFFFF" w:fill="FFFFFF"/>
            <w:noWrap/>
            <w:vAlign w:val="center"/>
            <w:hideMark/>
          </w:tcPr>
          <w:p w14:paraId="2EA2D34F"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San Diego CA</w:t>
            </w:r>
          </w:p>
        </w:tc>
        <w:tc>
          <w:tcPr>
            <w:tcW w:w="1952" w:type="pct"/>
            <w:tcBorders>
              <w:top w:val="nil"/>
              <w:left w:val="nil"/>
              <w:bottom w:val="single" w:sz="4" w:space="0" w:color="000000"/>
              <w:right w:val="single" w:sz="4" w:space="0" w:color="000000"/>
            </w:tcBorders>
            <w:shd w:val="clear" w:color="FFFFFF" w:fill="FFFFFF"/>
            <w:noWrap/>
            <w:vAlign w:val="center"/>
            <w:hideMark/>
          </w:tcPr>
          <w:p w14:paraId="37915118"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Short read / Illumina</w:t>
            </w:r>
          </w:p>
        </w:tc>
      </w:tr>
      <w:tr w:rsidR="00847FAE" w:rsidRPr="00275F80" w14:paraId="49E1074F"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3AE197A1"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G1323</w:t>
            </w:r>
          </w:p>
        </w:tc>
        <w:tc>
          <w:tcPr>
            <w:tcW w:w="1606" w:type="pct"/>
            <w:tcBorders>
              <w:top w:val="nil"/>
              <w:left w:val="nil"/>
              <w:bottom w:val="single" w:sz="4" w:space="0" w:color="000000"/>
              <w:right w:val="single" w:sz="4" w:space="0" w:color="000000"/>
            </w:tcBorders>
            <w:shd w:val="clear" w:color="FFFFFF" w:fill="FFFFFF"/>
            <w:noWrap/>
            <w:vAlign w:val="center"/>
            <w:hideMark/>
          </w:tcPr>
          <w:p w14:paraId="646CF2A0"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San Diego CA</w:t>
            </w:r>
          </w:p>
        </w:tc>
        <w:tc>
          <w:tcPr>
            <w:tcW w:w="1952" w:type="pct"/>
            <w:tcBorders>
              <w:top w:val="nil"/>
              <w:left w:val="nil"/>
              <w:bottom w:val="single" w:sz="4" w:space="0" w:color="000000"/>
              <w:right w:val="single" w:sz="4" w:space="0" w:color="000000"/>
            </w:tcBorders>
            <w:shd w:val="clear" w:color="FFFFFF" w:fill="FFFFFF"/>
            <w:noWrap/>
            <w:vAlign w:val="center"/>
            <w:hideMark/>
          </w:tcPr>
          <w:p w14:paraId="42A4DDE2"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Short read / Illumina</w:t>
            </w:r>
          </w:p>
        </w:tc>
      </w:tr>
      <w:tr w:rsidR="00847FAE" w:rsidRPr="00275F80" w14:paraId="5E1FE709"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58E2443B"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G1324</w:t>
            </w:r>
          </w:p>
        </w:tc>
        <w:tc>
          <w:tcPr>
            <w:tcW w:w="1606" w:type="pct"/>
            <w:tcBorders>
              <w:top w:val="nil"/>
              <w:left w:val="nil"/>
              <w:bottom w:val="single" w:sz="4" w:space="0" w:color="000000"/>
              <w:right w:val="single" w:sz="4" w:space="0" w:color="000000"/>
            </w:tcBorders>
            <w:shd w:val="clear" w:color="FFFFFF" w:fill="FFFFFF"/>
            <w:noWrap/>
            <w:vAlign w:val="center"/>
            <w:hideMark/>
          </w:tcPr>
          <w:p w14:paraId="3B48298B"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San Diego CA</w:t>
            </w:r>
          </w:p>
        </w:tc>
        <w:tc>
          <w:tcPr>
            <w:tcW w:w="1952" w:type="pct"/>
            <w:tcBorders>
              <w:top w:val="nil"/>
              <w:left w:val="nil"/>
              <w:bottom w:val="single" w:sz="4" w:space="0" w:color="000000"/>
              <w:right w:val="single" w:sz="4" w:space="0" w:color="000000"/>
            </w:tcBorders>
            <w:shd w:val="clear" w:color="FFFFFF" w:fill="FFFFFF"/>
            <w:noWrap/>
            <w:vAlign w:val="center"/>
            <w:hideMark/>
          </w:tcPr>
          <w:p w14:paraId="5A6E8CE4"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Long read/ ONT*</w:t>
            </w:r>
          </w:p>
        </w:tc>
      </w:tr>
      <w:tr w:rsidR="00847FAE" w:rsidRPr="00275F80" w14:paraId="130ABE5D"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08EF26CE"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G1325</w:t>
            </w:r>
          </w:p>
        </w:tc>
        <w:tc>
          <w:tcPr>
            <w:tcW w:w="1606" w:type="pct"/>
            <w:tcBorders>
              <w:top w:val="nil"/>
              <w:left w:val="nil"/>
              <w:bottom w:val="single" w:sz="4" w:space="0" w:color="000000"/>
              <w:right w:val="single" w:sz="4" w:space="0" w:color="000000"/>
            </w:tcBorders>
            <w:shd w:val="clear" w:color="FFFFFF" w:fill="FFFFFF"/>
            <w:noWrap/>
            <w:vAlign w:val="center"/>
            <w:hideMark/>
          </w:tcPr>
          <w:p w14:paraId="5D99D82C"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San Diego CA</w:t>
            </w:r>
          </w:p>
        </w:tc>
        <w:tc>
          <w:tcPr>
            <w:tcW w:w="1952" w:type="pct"/>
            <w:tcBorders>
              <w:top w:val="nil"/>
              <w:left w:val="nil"/>
              <w:bottom w:val="single" w:sz="4" w:space="0" w:color="000000"/>
              <w:right w:val="single" w:sz="4" w:space="0" w:color="000000"/>
            </w:tcBorders>
            <w:shd w:val="clear" w:color="FFFFFF" w:fill="FFFFFF"/>
            <w:noWrap/>
            <w:vAlign w:val="center"/>
            <w:hideMark/>
          </w:tcPr>
          <w:p w14:paraId="720709AA"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Short read / Illumina</w:t>
            </w:r>
          </w:p>
        </w:tc>
      </w:tr>
      <w:tr w:rsidR="00847FAE" w:rsidRPr="00275F80" w14:paraId="672E26DD"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1E35B627"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G1387</w:t>
            </w:r>
          </w:p>
        </w:tc>
        <w:tc>
          <w:tcPr>
            <w:tcW w:w="1606" w:type="pct"/>
            <w:tcBorders>
              <w:top w:val="nil"/>
              <w:left w:val="nil"/>
              <w:bottom w:val="single" w:sz="4" w:space="0" w:color="000000"/>
              <w:right w:val="single" w:sz="4" w:space="0" w:color="000000"/>
            </w:tcBorders>
            <w:shd w:val="clear" w:color="FFFFFF" w:fill="FFFFFF"/>
            <w:noWrap/>
            <w:vAlign w:val="center"/>
            <w:hideMark/>
          </w:tcPr>
          <w:p w14:paraId="5B390EAC"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Rhode Island</w:t>
            </w:r>
          </w:p>
        </w:tc>
        <w:tc>
          <w:tcPr>
            <w:tcW w:w="1952" w:type="pct"/>
            <w:tcBorders>
              <w:top w:val="nil"/>
              <w:left w:val="nil"/>
              <w:bottom w:val="single" w:sz="4" w:space="0" w:color="000000"/>
              <w:right w:val="single" w:sz="4" w:space="0" w:color="000000"/>
            </w:tcBorders>
            <w:shd w:val="clear" w:color="FFFFFF" w:fill="FFFFFF"/>
            <w:noWrap/>
            <w:vAlign w:val="center"/>
            <w:hideMark/>
          </w:tcPr>
          <w:p w14:paraId="36F4C4C9"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Long read/ ONT</w:t>
            </w:r>
          </w:p>
        </w:tc>
      </w:tr>
      <w:tr w:rsidR="00847FAE" w:rsidRPr="00275F80" w14:paraId="73E68E0D"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7095CFF0"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G1388</w:t>
            </w:r>
          </w:p>
        </w:tc>
        <w:tc>
          <w:tcPr>
            <w:tcW w:w="1606" w:type="pct"/>
            <w:tcBorders>
              <w:top w:val="nil"/>
              <w:left w:val="nil"/>
              <w:bottom w:val="single" w:sz="4" w:space="0" w:color="000000"/>
              <w:right w:val="single" w:sz="4" w:space="0" w:color="000000"/>
            </w:tcBorders>
            <w:shd w:val="clear" w:color="FFFFFF" w:fill="FFFFFF"/>
            <w:noWrap/>
            <w:vAlign w:val="center"/>
            <w:hideMark/>
          </w:tcPr>
          <w:p w14:paraId="2E9AEBC1"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Rhode Island</w:t>
            </w:r>
          </w:p>
        </w:tc>
        <w:tc>
          <w:tcPr>
            <w:tcW w:w="1952" w:type="pct"/>
            <w:tcBorders>
              <w:top w:val="nil"/>
              <w:left w:val="nil"/>
              <w:bottom w:val="single" w:sz="4" w:space="0" w:color="000000"/>
              <w:right w:val="single" w:sz="4" w:space="0" w:color="000000"/>
            </w:tcBorders>
            <w:shd w:val="clear" w:color="FFFFFF" w:fill="FFFFFF"/>
            <w:noWrap/>
            <w:vAlign w:val="center"/>
            <w:hideMark/>
          </w:tcPr>
          <w:p w14:paraId="085304A9"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Short read / Illumina</w:t>
            </w:r>
          </w:p>
        </w:tc>
      </w:tr>
      <w:tr w:rsidR="00847FAE" w:rsidRPr="00275F80" w14:paraId="69AB6BCC"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6EE46D93"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G1394</w:t>
            </w:r>
          </w:p>
        </w:tc>
        <w:tc>
          <w:tcPr>
            <w:tcW w:w="1606" w:type="pct"/>
            <w:tcBorders>
              <w:top w:val="nil"/>
              <w:left w:val="nil"/>
              <w:bottom w:val="single" w:sz="4" w:space="0" w:color="000000"/>
              <w:right w:val="single" w:sz="4" w:space="0" w:color="000000"/>
            </w:tcBorders>
            <w:shd w:val="clear" w:color="FFFFFF" w:fill="FFFFFF"/>
            <w:noWrap/>
            <w:vAlign w:val="center"/>
            <w:hideMark/>
          </w:tcPr>
          <w:p w14:paraId="2FCECDAE"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San Diego CA</w:t>
            </w:r>
          </w:p>
        </w:tc>
        <w:tc>
          <w:tcPr>
            <w:tcW w:w="1952" w:type="pct"/>
            <w:tcBorders>
              <w:top w:val="nil"/>
              <w:left w:val="nil"/>
              <w:bottom w:val="single" w:sz="4" w:space="0" w:color="000000"/>
              <w:right w:val="single" w:sz="4" w:space="0" w:color="000000"/>
            </w:tcBorders>
            <w:shd w:val="clear" w:color="FFFFFF" w:fill="FFFFFF"/>
            <w:noWrap/>
            <w:vAlign w:val="center"/>
            <w:hideMark/>
          </w:tcPr>
          <w:p w14:paraId="2BB569DF"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Hybrid</w:t>
            </w:r>
          </w:p>
        </w:tc>
      </w:tr>
      <w:tr w:rsidR="00847FAE" w:rsidRPr="00275F80" w14:paraId="279E4149"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70535E81"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G1401</w:t>
            </w:r>
          </w:p>
        </w:tc>
        <w:tc>
          <w:tcPr>
            <w:tcW w:w="1606" w:type="pct"/>
            <w:tcBorders>
              <w:top w:val="nil"/>
              <w:left w:val="nil"/>
              <w:bottom w:val="single" w:sz="4" w:space="0" w:color="000000"/>
              <w:right w:val="single" w:sz="4" w:space="0" w:color="000000"/>
            </w:tcBorders>
            <w:shd w:val="clear" w:color="FFFFFF" w:fill="FFFFFF"/>
            <w:noWrap/>
            <w:vAlign w:val="center"/>
            <w:hideMark/>
          </w:tcPr>
          <w:p w14:paraId="1DA6C235"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Rhode Island</w:t>
            </w:r>
          </w:p>
        </w:tc>
        <w:tc>
          <w:tcPr>
            <w:tcW w:w="1952" w:type="pct"/>
            <w:tcBorders>
              <w:top w:val="nil"/>
              <w:left w:val="nil"/>
              <w:bottom w:val="single" w:sz="4" w:space="0" w:color="000000"/>
              <w:right w:val="single" w:sz="4" w:space="0" w:color="000000"/>
            </w:tcBorders>
            <w:shd w:val="clear" w:color="FFFFFF" w:fill="FFFFFF"/>
            <w:noWrap/>
            <w:vAlign w:val="center"/>
            <w:hideMark/>
          </w:tcPr>
          <w:p w14:paraId="21752F24"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Long read/ ONT</w:t>
            </w:r>
          </w:p>
        </w:tc>
      </w:tr>
      <w:tr w:rsidR="00847FAE" w:rsidRPr="00275F80" w14:paraId="4D68C460"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7D3B52C0"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G1407</w:t>
            </w:r>
          </w:p>
        </w:tc>
        <w:tc>
          <w:tcPr>
            <w:tcW w:w="1606" w:type="pct"/>
            <w:tcBorders>
              <w:top w:val="nil"/>
              <w:left w:val="nil"/>
              <w:bottom w:val="single" w:sz="4" w:space="0" w:color="000000"/>
              <w:right w:val="single" w:sz="4" w:space="0" w:color="000000"/>
            </w:tcBorders>
            <w:shd w:val="clear" w:color="FFFFFF" w:fill="FFFFFF"/>
            <w:noWrap/>
            <w:vAlign w:val="center"/>
            <w:hideMark/>
          </w:tcPr>
          <w:p w14:paraId="78C7E03F"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Atlanta GA</w:t>
            </w:r>
          </w:p>
        </w:tc>
        <w:tc>
          <w:tcPr>
            <w:tcW w:w="1952" w:type="pct"/>
            <w:tcBorders>
              <w:top w:val="nil"/>
              <w:left w:val="nil"/>
              <w:bottom w:val="single" w:sz="4" w:space="0" w:color="000000"/>
              <w:right w:val="single" w:sz="4" w:space="0" w:color="000000"/>
            </w:tcBorders>
            <w:shd w:val="clear" w:color="FFFFFF" w:fill="FFFFFF"/>
            <w:noWrap/>
            <w:vAlign w:val="center"/>
            <w:hideMark/>
          </w:tcPr>
          <w:p w14:paraId="26F2D882"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Short read / Illumina</w:t>
            </w:r>
          </w:p>
        </w:tc>
      </w:tr>
      <w:tr w:rsidR="00847FAE" w:rsidRPr="00275F80" w14:paraId="6231F898"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474265D9"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G1408</w:t>
            </w:r>
          </w:p>
        </w:tc>
        <w:tc>
          <w:tcPr>
            <w:tcW w:w="1606" w:type="pct"/>
            <w:tcBorders>
              <w:top w:val="nil"/>
              <w:left w:val="nil"/>
              <w:bottom w:val="single" w:sz="4" w:space="0" w:color="000000"/>
              <w:right w:val="single" w:sz="4" w:space="0" w:color="000000"/>
            </w:tcBorders>
            <w:shd w:val="clear" w:color="FFFFFF" w:fill="FFFFFF"/>
            <w:noWrap/>
            <w:vAlign w:val="center"/>
            <w:hideMark/>
          </w:tcPr>
          <w:p w14:paraId="0BDD2D6A"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Atlanta GA</w:t>
            </w:r>
          </w:p>
        </w:tc>
        <w:tc>
          <w:tcPr>
            <w:tcW w:w="1952" w:type="pct"/>
            <w:tcBorders>
              <w:top w:val="nil"/>
              <w:left w:val="nil"/>
              <w:bottom w:val="single" w:sz="4" w:space="0" w:color="000000"/>
              <w:right w:val="single" w:sz="4" w:space="0" w:color="000000"/>
            </w:tcBorders>
            <w:shd w:val="clear" w:color="FFFFFF" w:fill="FFFFFF"/>
            <w:noWrap/>
            <w:vAlign w:val="center"/>
            <w:hideMark/>
          </w:tcPr>
          <w:p w14:paraId="3F23F9C6"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Short read / Illumina</w:t>
            </w:r>
          </w:p>
        </w:tc>
      </w:tr>
      <w:tr w:rsidR="00847FAE" w:rsidRPr="00275F80" w14:paraId="3D1A3519"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321ACCFD"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G1409</w:t>
            </w:r>
          </w:p>
        </w:tc>
        <w:tc>
          <w:tcPr>
            <w:tcW w:w="1606" w:type="pct"/>
            <w:tcBorders>
              <w:top w:val="nil"/>
              <w:left w:val="nil"/>
              <w:bottom w:val="single" w:sz="4" w:space="0" w:color="000000"/>
              <w:right w:val="single" w:sz="4" w:space="0" w:color="000000"/>
            </w:tcBorders>
            <w:shd w:val="clear" w:color="FFFFFF" w:fill="FFFFFF"/>
            <w:noWrap/>
            <w:vAlign w:val="center"/>
            <w:hideMark/>
          </w:tcPr>
          <w:p w14:paraId="59CAF391"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Atlanta GA</w:t>
            </w:r>
          </w:p>
        </w:tc>
        <w:tc>
          <w:tcPr>
            <w:tcW w:w="1952" w:type="pct"/>
            <w:tcBorders>
              <w:top w:val="nil"/>
              <w:left w:val="nil"/>
              <w:bottom w:val="single" w:sz="4" w:space="0" w:color="000000"/>
              <w:right w:val="single" w:sz="4" w:space="0" w:color="000000"/>
            </w:tcBorders>
            <w:shd w:val="clear" w:color="FFFFFF" w:fill="FFFFFF"/>
            <w:noWrap/>
            <w:vAlign w:val="center"/>
            <w:hideMark/>
          </w:tcPr>
          <w:p w14:paraId="59EEE6D4"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Short read / Illumina</w:t>
            </w:r>
          </w:p>
        </w:tc>
      </w:tr>
      <w:tr w:rsidR="00847FAE" w:rsidRPr="00275F80" w14:paraId="5B530F75"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3173D101"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G1410</w:t>
            </w:r>
          </w:p>
        </w:tc>
        <w:tc>
          <w:tcPr>
            <w:tcW w:w="1606" w:type="pct"/>
            <w:tcBorders>
              <w:top w:val="nil"/>
              <w:left w:val="nil"/>
              <w:bottom w:val="single" w:sz="4" w:space="0" w:color="000000"/>
              <w:right w:val="single" w:sz="4" w:space="0" w:color="000000"/>
            </w:tcBorders>
            <w:shd w:val="clear" w:color="FFFFFF" w:fill="FFFFFF"/>
            <w:noWrap/>
            <w:vAlign w:val="center"/>
            <w:hideMark/>
          </w:tcPr>
          <w:p w14:paraId="2206AA2F"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Atlanta GA</w:t>
            </w:r>
          </w:p>
        </w:tc>
        <w:tc>
          <w:tcPr>
            <w:tcW w:w="1952" w:type="pct"/>
            <w:tcBorders>
              <w:top w:val="nil"/>
              <w:left w:val="nil"/>
              <w:bottom w:val="single" w:sz="4" w:space="0" w:color="000000"/>
              <w:right w:val="single" w:sz="4" w:space="0" w:color="000000"/>
            </w:tcBorders>
            <w:shd w:val="clear" w:color="FFFFFF" w:fill="FFFFFF"/>
            <w:noWrap/>
            <w:vAlign w:val="center"/>
            <w:hideMark/>
          </w:tcPr>
          <w:p w14:paraId="74BB9514"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Short read / Illumina</w:t>
            </w:r>
          </w:p>
        </w:tc>
      </w:tr>
      <w:tr w:rsidR="00847FAE" w:rsidRPr="00275F80" w14:paraId="4C0BD056"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1C84EAA0"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G1412</w:t>
            </w:r>
          </w:p>
        </w:tc>
        <w:tc>
          <w:tcPr>
            <w:tcW w:w="1606" w:type="pct"/>
            <w:tcBorders>
              <w:top w:val="nil"/>
              <w:left w:val="nil"/>
              <w:bottom w:val="single" w:sz="4" w:space="0" w:color="000000"/>
              <w:right w:val="single" w:sz="4" w:space="0" w:color="000000"/>
            </w:tcBorders>
            <w:shd w:val="clear" w:color="FFFFFF" w:fill="FFFFFF"/>
            <w:noWrap/>
            <w:vAlign w:val="center"/>
            <w:hideMark/>
          </w:tcPr>
          <w:p w14:paraId="06677FEB"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South Carolina</w:t>
            </w:r>
          </w:p>
        </w:tc>
        <w:tc>
          <w:tcPr>
            <w:tcW w:w="1952" w:type="pct"/>
            <w:tcBorders>
              <w:top w:val="nil"/>
              <w:left w:val="nil"/>
              <w:bottom w:val="single" w:sz="4" w:space="0" w:color="000000"/>
              <w:right w:val="single" w:sz="4" w:space="0" w:color="000000"/>
            </w:tcBorders>
            <w:shd w:val="clear" w:color="FFFFFF" w:fill="FFFFFF"/>
            <w:noWrap/>
            <w:vAlign w:val="center"/>
            <w:hideMark/>
          </w:tcPr>
          <w:p w14:paraId="4BA31FE7"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Long read/ ONT</w:t>
            </w:r>
          </w:p>
        </w:tc>
      </w:tr>
      <w:tr w:rsidR="00847FAE" w:rsidRPr="00275F80" w14:paraId="748C018D"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7C4450E6"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G1413</w:t>
            </w:r>
          </w:p>
        </w:tc>
        <w:tc>
          <w:tcPr>
            <w:tcW w:w="1606" w:type="pct"/>
            <w:tcBorders>
              <w:top w:val="nil"/>
              <w:left w:val="nil"/>
              <w:bottom w:val="single" w:sz="4" w:space="0" w:color="000000"/>
              <w:right w:val="single" w:sz="4" w:space="0" w:color="000000"/>
            </w:tcBorders>
            <w:shd w:val="clear" w:color="FFFFFF" w:fill="FFFFFF"/>
            <w:noWrap/>
            <w:vAlign w:val="center"/>
            <w:hideMark/>
          </w:tcPr>
          <w:p w14:paraId="380FABDD"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South Carolina</w:t>
            </w:r>
          </w:p>
        </w:tc>
        <w:tc>
          <w:tcPr>
            <w:tcW w:w="1952" w:type="pct"/>
            <w:tcBorders>
              <w:top w:val="nil"/>
              <w:left w:val="nil"/>
              <w:bottom w:val="single" w:sz="4" w:space="0" w:color="000000"/>
              <w:right w:val="single" w:sz="4" w:space="0" w:color="000000"/>
            </w:tcBorders>
            <w:shd w:val="clear" w:color="FFFFFF" w:fill="FFFFFF"/>
            <w:noWrap/>
            <w:vAlign w:val="center"/>
            <w:hideMark/>
          </w:tcPr>
          <w:p w14:paraId="4C40FF39"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Long read/ ONT</w:t>
            </w:r>
          </w:p>
        </w:tc>
      </w:tr>
      <w:tr w:rsidR="00847FAE" w:rsidRPr="00275F80" w14:paraId="2C557981"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3A2461E1"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G1414</w:t>
            </w:r>
          </w:p>
        </w:tc>
        <w:tc>
          <w:tcPr>
            <w:tcW w:w="1606" w:type="pct"/>
            <w:tcBorders>
              <w:top w:val="nil"/>
              <w:left w:val="nil"/>
              <w:bottom w:val="single" w:sz="4" w:space="0" w:color="000000"/>
              <w:right w:val="single" w:sz="4" w:space="0" w:color="000000"/>
            </w:tcBorders>
            <w:shd w:val="clear" w:color="FFFFFF" w:fill="FFFFFF"/>
            <w:noWrap/>
            <w:vAlign w:val="center"/>
            <w:hideMark/>
          </w:tcPr>
          <w:p w14:paraId="435F70DB"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South Carolina</w:t>
            </w:r>
          </w:p>
        </w:tc>
        <w:tc>
          <w:tcPr>
            <w:tcW w:w="1952" w:type="pct"/>
            <w:tcBorders>
              <w:top w:val="nil"/>
              <w:left w:val="nil"/>
              <w:bottom w:val="single" w:sz="4" w:space="0" w:color="000000"/>
              <w:right w:val="single" w:sz="4" w:space="0" w:color="000000"/>
            </w:tcBorders>
            <w:shd w:val="clear" w:color="FFFFFF" w:fill="FFFFFF"/>
            <w:noWrap/>
            <w:vAlign w:val="center"/>
            <w:hideMark/>
          </w:tcPr>
          <w:p w14:paraId="3F795242"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Long read/ ONT</w:t>
            </w:r>
          </w:p>
        </w:tc>
      </w:tr>
      <w:tr w:rsidR="00847FAE" w:rsidRPr="00275F80" w14:paraId="150D223D"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6623274C"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G1417</w:t>
            </w:r>
          </w:p>
        </w:tc>
        <w:tc>
          <w:tcPr>
            <w:tcW w:w="1606" w:type="pct"/>
            <w:tcBorders>
              <w:top w:val="nil"/>
              <w:left w:val="nil"/>
              <w:bottom w:val="single" w:sz="4" w:space="0" w:color="000000"/>
              <w:right w:val="single" w:sz="4" w:space="0" w:color="000000"/>
            </w:tcBorders>
            <w:shd w:val="clear" w:color="FFFFFF" w:fill="FFFFFF"/>
            <w:noWrap/>
            <w:vAlign w:val="center"/>
            <w:hideMark/>
          </w:tcPr>
          <w:p w14:paraId="4D4753F4"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Rhode Island</w:t>
            </w:r>
          </w:p>
        </w:tc>
        <w:tc>
          <w:tcPr>
            <w:tcW w:w="1952" w:type="pct"/>
            <w:tcBorders>
              <w:top w:val="nil"/>
              <w:left w:val="nil"/>
              <w:bottom w:val="single" w:sz="4" w:space="0" w:color="000000"/>
              <w:right w:val="single" w:sz="4" w:space="0" w:color="000000"/>
            </w:tcBorders>
            <w:shd w:val="clear" w:color="FFFFFF" w:fill="FFFFFF"/>
            <w:noWrap/>
            <w:vAlign w:val="center"/>
            <w:hideMark/>
          </w:tcPr>
          <w:p w14:paraId="446C97EC"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Hybrid</w:t>
            </w:r>
          </w:p>
        </w:tc>
      </w:tr>
      <w:tr w:rsidR="00847FAE" w:rsidRPr="00275F80" w14:paraId="0280BA8B"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33E7280C"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G1418</w:t>
            </w:r>
          </w:p>
        </w:tc>
        <w:tc>
          <w:tcPr>
            <w:tcW w:w="1606" w:type="pct"/>
            <w:tcBorders>
              <w:top w:val="nil"/>
              <w:left w:val="nil"/>
              <w:bottom w:val="single" w:sz="4" w:space="0" w:color="000000"/>
              <w:right w:val="single" w:sz="4" w:space="0" w:color="000000"/>
            </w:tcBorders>
            <w:shd w:val="clear" w:color="FFFFFF" w:fill="FFFFFF"/>
            <w:noWrap/>
            <w:vAlign w:val="center"/>
            <w:hideMark/>
          </w:tcPr>
          <w:p w14:paraId="5A67EAD9"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Rhode Island</w:t>
            </w:r>
          </w:p>
        </w:tc>
        <w:tc>
          <w:tcPr>
            <w:tcW w:w="1952" w:type="pct"/>
            <w:tcBorders>
              <w:top w:val="nil"/>
              <w:left w:val="nil"/>
              <w:bottom w:val="single" w:sz="4" w:space="0" w:color="000000"/>
              <w:right w:val="single" w:sz="4" w:space="0" w:color="000000"/>
            </w:tcBorders>
            <w:shd w:val="clear" w:color="FFFFFF" w:fill="FFFFFF"/>
            <w:noWrap/>
            <w:vAlign w:val="center"/>
            <w:hideMark/>
          </w:tcPr>
          <w:p w14:paraId="5FA971D4"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Hybrid</w:t>
            </w:r>
          </w:p>
        </w:tc>
      </w:tr>
      <w:tr w:rsidR="00847FAE" w:rsidRPr="00275F80" w14:paraId="434618D9" w14:textId="77777777" w:rsidTr="00373357">
        <w:trPr>
          <w:trHeight w:val="660"/>
        </w:trPr>
        <w:tc>
          <w:tcPr>
            <w:tcW w:w="1442" w:type="pct"/>
            <w:tcBorders>
              <w:top w:val="nil"/>
              <w:left w:val="single" w:sz="4" w:space="0" w:color="000000"/>
              <w:bottom w:val="single" w:sz="4" w:space="0" w:color="000000"/>
              <w:right w:val="single" w:sz="4" w:space="0" w:color="000000"/>
            </w:tcBorders>
            <w:shd w:val="clear" w:color="FFFFFF" w:fill="FFFFFF"/>
            <w:noWrap/>
            <w:vAlign w:val="center"/>
            <w:hideMark/>
          </w:tcPr>
          <w:p w14:paraId="1F8128E3"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G1423</w:t>
            </w:r>
          </w:p>
        </w:tc>
        <w:tc>
          <w:tcPr>
            <w:tcW w:w="1606" w:type="pct"/>
            <w:tcBorders>
              <w:top w:val="nil"/>
              <w:left w:val="nil"/>
              <w:bottom w:val="single" w:sz="4" w:space="0" w:color="000000"/>
              <w:right w:val="single" w:sz="4" w:space="0" w:color="000000"/>
            </w:tcBorders>
            <w:shd w:val="clear" w:color="FFFFFF" w:fill="FFFFFF"/>
            <w:noWrap/>
            <w:vAlign w:val="center"/>
            <w:hideMark/>
          </w:tcPr>
          <w:p w14:paraId="58E22D9F"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Rhode Island</w:t>
            </w:r>
          </w:p>
        </w:tc>
        <w:tc>
          <w:tcPr>
            <w:tcW w:w="1952" w:type="pct"/>
            <w:tcBorders>
              <w:top w:val="nil"/>
              <w:left w:val="nil"/>
              <w:bottom w:val="single" w:sz="4" w:space="0" w:color="000000"/>
              <w:right w:val="single" w:sz="4" w:space="0" w:color="000000"/>
            </w:tcBorders>
            <w:shd w:val="clear" w:color="FFFFFF" w:fill="FFFFFF"/>
            <w:noWrap/>
            <w:vAlign w:val="center"/>
            <w:hideMark/>
          </w:tcPr>
          <w:p w14:paraId="77FD161C" w14:textId="77777777" w:rsidR="00847FAE" w:rsidRPr="00275F80" w:rsidRDefault="00847FAE" w:rsidP="006D6457">
            <w:pPr>
              <w:spacing w:line="480" w:lineRule="auto"/>
              <w:rPr>
                <w:rFonts w:ascii="Arial" w:hAnsi="Arial" w:cs="Arial"/>
                <w:color w:val="000000"/>
                <w:sz w:val="20"/>
              </w:rPr>
            </w:pPr>
            <w:r w:rsidRPr="00275F80">
              <w:rPr>
                <w:rFonts w:ascii="Arial" w:hAnsi="Arial" w:cs="Arial"/>
                <w:color w:val="000000"/>
                <w:sz w:val="20"/>
              </w:rPr>
              <w:t>Long read/ ONT</w:t>
            </w:r>
          </w:p>
        </w:tc>
      </w:tr>
    </w:tbl>
    <w:p w14:paraId="32CCA44C" w14:textId="77777777" w:rsidR="00451D5E" w:rsidRDefault="00451D5E" w:rsidP="006D6457">
      <w:pPr>
        <w:pStyle w:val="SMHeading"/>
        <w:spacing w:line="480" w:lineRule="auto"/>
        <w:rPr>
          <w:rFonts w:ascii="Arial" w:hAnsi="Arial" w:cs="Arial"/>
          <w:sz w:val="20"/>
          <w:szCs w:val="20"/>
        </w:rPr>
      </w:pPr>
    </w:p>
    <w:p w14:paraId="2EEC6674" w14:textId="785D6A87" w:rsidR="00F83A06" w:rsidRPr="00275F80" w:rsidRDefault="00F83A06" w:rsidP="006D6457">
      <w:pPr>
        <w:pStyle w:val="SMHeading"/>
        <w:spacing w:line="480" w:lineRule="auto"/>
        <w:rPr>
          <w:rFonts w:ascii="Arial" w:hAnsi="Arial" w:cs="Arial"/>
          <w:b w:val="0"/>
          <w:bCs w:val="0"/>
          <w:sz w:val="20"/>
          <w:szCs w:val="20"/>
        </w:rPr>
      </w:pPr>
      <w:r w:rsidRPr="00275F80">
        <w:rPr>
          <w:rFonts w:ascii="Arial" w:hAnsi="Arial" w:cs="Arial"/>
          <w:sz w:val="20"/>
          <w:szCs w:val="20"/>
        </w:rPr>
        <w:t>Table S</w:t>
      </w:r>
      <w:r w:rsidR="00451D5E">
        <w:rPr>
          <w:rFonts w:ascii="Arial" w:hAnsi="Arial" w:cs="Arial"/>
          <w:sz w:val="20"/>
          <w:szCs w:val="20"/>
        </w:rPr>
        <w:t>7</w:t>
      </w:r>
      <w:r w:rsidRPr="00275F80">
        <w:rPr>
          <w:rFonts w:ascii="Arial" w:hAnsi="Arial" w:cs="Arial"/>
          <w:sz w:val="20"/>
          <w:szCs w:val="20"/>
        </w:rPr>
        <w:t xml:space="preserve">. </w:t>
      </w:r>
      <w:r w:rsidRPr="00275F80">
        <w:rPr>
          <w:rFonts w:ascii="Arial" w:hAnsi="Arial" w:cs="Arial"/>
          <w:b w:val="0"/>
          <w:bCs w:val="0"/>
          <w:sz w:val="20"/>
          <w:szCs w:val="20"/>
        </w:rPr>
        <w:t>Results of BUSCO analysis in genomes of isolates obtained from clinical isolates of patients with cystic fibrosis</w:t>
      </w:r>
    </w:p>
    <w:tbl>
      <w:tblPr>
        <w:tblW w:w="7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1537"/>
        <w:gridCol w:w="796"/>
        <w:gridCol w:w="1204"/>
        <w:gridCol w:w="1321"/>
        <w:gridCol w:w="935"/>
        <w:gridCol w:w="1739"/>
      </w:tblGrid>
      <w:tr w:rsidR="00F83A06" w:rsidRPr="00275F80" w14:paraId="7C38EE38" w14:textId="77777777" w:rsidTr="00EC0BD3">
        <w:trPr>
          <w:trHeight w:val="287"/>
        </w:trPr>
        <w:tc>
          <w:tcPr>
            <w:tcW w:w="1129" w:type="dxa"/>
            <w:shd w:val="clear" w:color="auto" w:fill="auto"/>
            <w:noWrap/>
            <w:vAlign w:val="center"/>
            <w:hideMark/>
          </w:tcPr>
          <w:p w14:paraId="3E2337B3"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Isolate</w:t>
            </w:r>
          </w:p>
        </w:tc>
        <w:tc>
          <w:tcPr>
            <w:tcW w:w="1367" w:type="dxa"/>
            <w:shd w:val="clear" w:color="auto" w:fill="auto"/>
            <w:noWrap/>
            <w:vAlign w:val="center"/>
            <w:hideMark/>
          </w:tcPr>
          <w:p w14:paraId="681C9369"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Completeness</w:t>
            </w:r>
          </w:p>
        </w:tc>
        <w:tc>
          <w:tcPr>
            <w:tcW w:w="717" w:type="dxa"/>
            <w:shd w:val="clear" w:color="auto" w:fill="auto"/>
            <w:noWrap/>
            <w:vAlign w:val="center"/>
            <w:hideMark/>
          </w:tcPr>
          <w:p w14:paraId="2B5004A1"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Single</w:t>
            </w:r>
          </w:p>
        </w:tc>
        <w:tc>
          <w:tcPr>
            <w:tcW w:w="1067" w:type="dxa"/>
            <w:shd w:val="clear" w:color="auto" w:fill="auto"/>
            <w:noWrap/>
            <w:vAlign w:val="center"/>
            <w:hideMark/>
          </w:tcPr>
          <w:p w14:paraId="37CE5407"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Duplicated</w:t>
            </w:r>
          </w:p>
        </w:tc>
        <w:tc>
          <w:tcPr>
            <w:tcW w:w="1187" w:type="dxa"/>
            <w:shd w:val="clear" w:color="auto" w:fill="auto"/>
            <w:noWrap/>
            <w:vAlign w:val="center"/>
            <w:hideMark/>
          </w:tcPr>
          <w:p w14:paraId="017A6B96"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Fragmented</w:t>
            </w:r>
          </w:p>
        </w:tc>
        <w:tc>
          <w:tcPr>
            <w:tcW w:w="827" w:type="dxa"/>
            <w:shd w:val="clear" w:color="auto" w:fill="auto"/>
            <w:noWrap/>
            <w:vAlign w:val="center"/>
            <w:hideMark/>
          </w:tcPr>
          <w:p w14:paraId="507E0134"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Missing</w:t>
            </w:r>
          </w:p>
        </w:tc>
        <w:tc>
          <w:tcPr>
            <w:tcW w:w="1577" w:type="dxa"/>
            <w:shd w:val="clear" w:color="auto" w:fill="auto"/>
            <w:noWrap/>
            <w:vAlign w:val="center"/>
            <w:hideMark/>
          </w:tcPr>
          <w:p w14:paraId="0D010C13" w14:textId="77777777" w:rsidR="00F83A06" w:rsidRPr="00275F80" w:rsidRDefault="00F83A06" w:rsidP="006D6457">
            <w:pPr>
              <w:spacing w:line="480" w:lineRule="auto"/>
              <w:rPr>
                <w:rFonts w:ascii="Arial" w:hAnsi="Arial" w:cs="Arial"/>
                <w:b/>
                <w:bCs/>
                <w:color w:val="000000"/>
                <w:sz w:val="20"/>
              </w:rPr>
            </w:pPr>
            <w:proofErr w:type="spellStart"/>
            <w:r w:rsidRPr="00275F80">
              <w:rPr>
                <w:rFonts w:ascii="Arial" w:hAnsi="Arial" w:cs="Arial"/>
                <w:b/>
                <w:bCs/>
                <w:color w:val="000000"/>
                <w:sz w:val="20"/>
              </w:rPr>
              <w:t>GenomeSize</w:t>
            </w:r>
            <w:proofErr w:type="spellEnd"/>
            <w:r w:rsidRPr="00275F80">
              <w:rPr>
                <w:rFonts w:ascii="Arial" w:hAnsi="Arial" w:cs="Arial"/>
                <w:b/>
                <w:bCs/>
                <w:color w:val="000000"/>
                <w:sz w:val="20"/>
              </w:rPr>
              <w:t>(pb)</w:t>
            </w:r>
          </w:p>
        </w:tc>
      </w:tr>
      <w:tr w:rsidR="00F83A06" w:rsidRPr="00275F80" w14:paraId="06EDC5AA" w14:textId="77777777" w:rsidTr="00EC0BD3">
        <w:trPr>
          <w:trHeight w:val="287"/>
        </w:trPr>
        <w:tc>
          <w:tcPr>
            <w:tcW w:w="1129" w:type="dxa"/>
            <w:shd w:val="clear" w:color="auto" w:fill="auto"/>
            <w:noWrap/>
            <w:vAlign w:val="center"/>
            <w:hideMark/>
          </w:tcPr>
          <w:p w14:paraId="2F17D8D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G1410</w:t>
            </w:r>
          </w:p>
        </w:tc>
        <w:tc>
          <w:tcPr>
            <w:tcW w:w="1367" w:type="dxa"/>
            <w:shd w:val="clear" w:color="auto" w:fill="auto"/>
            <w:noWrap/>
            <w:vAlign w:val="center"/>
            <w:hideMark/>
          </w:tcPr>
          <w:p w14:paraId="40E5E18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99.2</w:t>
            </w:r>
          </w:p>
        </w:tc>
        <w:tc>
          <w:tcPr>
            <w:tcW w:w="717" w:type="dxa"/>
            <w:shd w:val="clear" w:color="auto" w:fill="auto"/>
            <w:noWrap/>
            <w:vAlign w:val="center"/>
            <w:hideMark/>
          </w:tcPr>
          <w:p w14:paraId="4E08FD4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98.5</w:t>
            </w:r>
          </w:p>
        </w:tc>
        <w:tc>
          <w:tcPr>
            <w:tcW w:w="1067" w:type="dxa"/>
            <w:shd w:val="clear" w:color="auto" w:fill="auto"/>
            <w:noWrap/>
            <w:vAlign w:val="center"/>
            <w:hideMark/>
          </w:tcPr>
          <w:p w14:paraId="49EAABAC"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0.7</w:t>
            </w:r>
          </w:p>
        </w:tc>
        <w:tc>
          <w:tcPr>
            <w:tcW w:w="1187" w:type="dxa"/>
            <w:shd w:val="clear" w:color="auto" w:fill="auto"/>
            <w:noWrap/>
            <w:vAlign w:val="center"/>
            <w:hideMark/>
          </w:tcPr>
          <w:p w14:paraId="4AC8B58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0.4</w:t>
            </w:r>
          </w:p>
        </w:tc>
        <w:tc>
          <w:tcPr>
            <w:tcW w:w="827" w:type="dxa"/>
            <w:shd w:val="clear" w:color="auto" w:fill="auto"/>
            <w:noWrap/>
            <w:vAlign w:val="center"/>
            <w:hideMark/>
          </w:tcPr>
          <w:p w14:paraId="10E815C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0.4</w:t>
            </w:r>
          </w:p>
        </w:tc>
        <w:tc>
          <w:tcPr>
            <w:tcW w:w="1577" w:type="dxa"/>
            <w:shd w:val="clear" w:color="auto" w:fill="auto"/>
            <w:noWrap/>
            <w:vAlign w:val="center"/>
            <w:hideMark/>
          </w:tcPr>
          <w:p w14:paraId="3297DC5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6324016</w:t>
            </w:r>
          </w:p>
        </w:tc>
      </w:tr>
      <w:tr w:rsidR="00F83A06" w:rsidRPr="00275F80" w14:paraId="73BDC394" w14:textId="77777777" w:rsidTr="00EC0BD3">
        <w:trPr>
          <w:trHeight w:val="287"/>
        </w:trPr>
        <w:tc>
          <w:tcPr>
            <w:tcW w:w="1129" w:type="dxa"/>
            <w:shd w:val="clear" w:color="auto" w:fill="auto"/>
            <w:noWrap/>
            <w:vAlign w:val="center"/>
            <w:hideMark/>
          </w:tcPr>
          <w:p w14:paraId="6AC4B11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G1432</w:t>
            </w:r>
          </w:p>
        </w:tc>
        <w:tc>
          <w:tcPr>
            <w:tcW w:w="1367" w:type="dxa"/>
            <w:shd w:val="clear" w:color="auto" w:fill="auto"/>
            <w:noWrap/>
            <w:vAlign w:val="center"/>
            <w:hideMark/>
          </w:tcPr>
          <w:p w14:paraId="16CBCC1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77.7</w:t>
            </w:r>
          </w:p>
        </w:tc>
        <w:tc>
          <w:tcPr>
            <w:tcW w:w="717" w:type="dxa"/>
            <w:shd w:val="clear" w:color="auto" w:fill="auto"/>
            <w:noWrap/>
            <w:vAlign w:val="center"/>
            <w:hideMark/>
          </w:tcPr>
          <w:p w14:paraId="2361D33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77.6</w:t>
            </w:r>
          </w:p>
        </w:tc>
        <w:tc>
          <w:tcPr>
            <w:tcW w:w="1067" w:type="dxa"/>
            <w:shd w:val="clear" w:color="auto" w:fill="auto"/>
            <w:noWrap/>
            <w:vAlign w:val="center"/>
            <w:hideMark/>
          </w:tcPr>
          <w:p w14:paraId="7AEFDF2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0.1</w:t>
            </w:r>
          </w:p>
        </w:tc>
        <w:tc>
          <w:tcPr>
            <w:tcW w:w="1187" w:type="dxa"/>
            <w:shd w:val="clear" w:color="auto" w:fill="auto"/>
            <w:noWrap/>
            <w:vAlign w:val="center"/>
            <w:hideMark/>
          </w:tcPr>
          <w:p w14:paraId="5F50F1F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15</w:t>
            </w:r>
          </w:p>
        </w:tc>
        <w:tc>
          <w:tcPr>
            <w:tcW w:w="827" w:type="dxa"/>
            <w:shd w:val="clear" w:color="auto" w:fill="auto"/>
            <w:noWrap/>
            <w:vAlign w:val="center"/>
            <w:hideMark/>
          </w:tcPr>
          <w:p w14:paraId="3F60B63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7.3</w:t>
            </w:r>
          </w:p>
        </w:tc>
        <w:tc>
          <w:tcPr>
            <w:tcW w:w="1577" w:type="dxa"/>
            <w:shd w:val="clear" w:color="auto" w:fill="auto"/>
            <w:noWrap/>
            <w:vAlign w:val="center"/>
            <w:hideMark/>
          </w:tcPr>
          <w:p w14:paraId="7C3AB85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6749065</w:t>
            </w:r>
          </w:p>
        </w:tc>
      </w:tr>
      <w:tr w:rsidR="00F83A06" w:rsidRPr="00275F80" w14:paraId="1586B8DA" w14:textId="77777777" w:rsidTr="00EC0BD3">
        <w:trPr>
          <w:trHeight w:val="287"/>
        </w:trPr>
        <w:tc>
          <w:tcPr>
            <w:tcW w:w="1129" w:type="dxa"/>
            <w:shd w:val="clear" w:color="auto" w:fill="auto"/>
            <w:noWrap/>
            <w:vAlign w:val="center"/>
            <w:hideMark/>
          </w:tcPr>
          <w:p w14:paraId="520501F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G1413</w:t>
            </w:r>
          </w:p>
        </w:tc>
        <w:tc>
          <w:tcPr>
            <w:tcW w:w="1367" w:type="dxa"/>
            <w:shd w:val="clear" w:color="auto" w:fill="auto"/>
            <w:noWrap/>
            <w:vAlign w:val="center"/>
            <w:hideMark/>
          </w:tcPr>
          <w:p w14:paraId="2529750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74.4</w:t>
            </w:r>
          </w:p>
        </w:tc>
        <w:tc>
          <w:tcPr>
            <w:tcW w:w="717" w:type="dxa"/>
            <w:shd w:val="clear" w:color="auto" w:fill="auto"/>
            <w:noWrap/>
            <w:vAlign w:val="center"/>
            <w:hideMark/>
          </w:tcPr>
          <w:p w14:paraId="427ADFD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73.8</w:t>
            </w:r>
          </w:p>
        </w:tc>
        <w:tc>
          <w:tcPr>
            <w:tcW w:w="1067" w:type="dxa"/>
            <w:shd w:val="clear" w:color="auto" w:fill="auto"/>
            <w:noWrap/>
            <w:vAlign w:val="center"/>
            <w:hideMark/>
          </w:tcPr>
          <w:p w14:paraId="7EE9F63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0.6</w:t>
            </w:r>
          </w:p>
        </w:tc>
        <w:tc>
          <w:tcPr>
            <w:tcW w:w="1187" w:type="dxa"/>
            <w:shd w:val="clear" w:color="auto" w:fill="auto"/>
            <w:noWrap/>
            <w:vAlign w:val="center"/>
            <w:hideMark/>
          </w:tcPr>
          <w:p w14:paraId="7097CE9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16</w:t>
            </w:r>
          </w:p>
        </w:tc>
        <w:tc>
          <w:tcPr>
            <w:tcW w:w="827" w:type="dxa"/>
            <w:shd w:val="clear" w:color="auto" w:fill="auto"/>
            <w:noWrap/>
            <w:vAlign w:val="center"/>
            <w:hideMark/>
          </w:tcPr>
          <w:p w14:paraId="0ADE11B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9.6</w:t>
            </w:r>
          </w:p>
        </w:tc>
        <w:tc>
          <w:tcPr>
            <w:tcW w:w="1577" w:type="dxa"/>
            <w:shd w:val="clear" w:color="auto" w:fill="auto"/>
            <w:noWrap/>
            <w:vAlign w:val="center"/>
            <w:hideMark/>
          </w:tcPr>
          <w:p w14:paraId="045A414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6206895</w:t>
            </w:r>
          </w:p>
        </w:tc>
      </w:tr>
      <w:tr w:rsidR="00F83A06" w:rsidRPr="00275F80" w14:paraId="253DC625" w14:textId="77777777" w:rsidTr="00EC0BD3">
        <w:trPr>
          <w:trHeight w:val="287"/>
        </w:trPr>
        <w:tc>
          <w:tcPr>
            <w:tcW w:w="1129" w:type="dxa"/>
            <w:shd w:val="clear" w:color="auto" w:fill="auto"/>
            <w:noWrap/>
            <w:vAlign w:val="center"/>
            <w:hideMark/>
          </w:tcPr>
          <w:p w14:paraId="6C6E534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G1388</w:t>
            </w:r>
          </w:p>
        </w:tc>
        <w:tc>
          <w:tcPr>
            <w:tcW w:w="1367" w:type="dxa"/>
            <w:shd w:val="clear" w:color="auto" w:fill="auto"/>
            <w:noWrap/>
            <w:vAlign w:val="center"/>
            <w:hideMark/>
          </w:tcPr>
          <w:p w14:paraId="5F7E44C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98.6</w:t>
            </w:r>
          </w:p>
        </w:tc>
        <w:tc>
          <w:tcPr>
            <w:tcW w:w="717" w:type="dxa"/>
            <w:shd w:val="clear" w:color="auto" w:fill="auto"/>
            <w:noWrap/>
            <w:vAlign w:val="center"/>
            <w:hideMark/>
          </w:tcPr>
          <w:p w14:paraId="0A20782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w:t>
            </w:r>
          </w:p>
        </w:tc>
        <w:tc>
          <w:tcPr>
            <w:tcW w:w="1067" w:type="dxa"/>
            <w:shd w:val="clear" w:color="auto" w:fill="auto"/>
            <w:noWrap/>
            <w:vAlign w:val="center"/>
            <w:hideMark/>
          </w:tcPr>
          <w:p w14:paraId="1AAE5A6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0.6</w:t>
            </w:r>
          </w:p>
        </w:tc>
        <w:tc>
          <w:tcPr>
            <w:tcW w:w="1187" w:type="dxa"/>
            <w:shd w:val="clear" w:color="auto" w:fill="auto"/>
            <w:noWrap/>
            <w:vAlign w:val="center"/>
            <w:hideMark/>
          </w:tcPr>
          <w:p w14:paraId="2DCF841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0.4</w:t>
            </w:r>
          </w:p>
        </w:tc>
        <w:tc>
          <w:tcPr>
            <w:tcW w:w="827" w:type="dxa"/>
            <w:shd w:val="clear" w:color="auto" w:fill="auto"/>
            <w:noWrap/>
            <w:vAlign w:val="center"/>
            <w:hideMark/>
          </w:tcPr>
          <w:p w14:paraId="0D0AB88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1</w:t>
            </w:r>
          </w:p>
        </w:tc>
        <w:tc>
          <w:tcPr>
            <w:tcW w:w="1577" w:type="dxa"/>
            <w:shd w:val="clear" w:color="auto" w:fill="auto"/>
            <w:noWrap/>
            <w:vAlign w:val="center"/>
            <w:hideMark/>
          </w:tcPr>
          <w:p w14:paraId="6F54DA0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6284599</w:t>
            </w:r>
          </w:p>
        </w:tc>
      </w:tr>
      <w:tr w:rsidR="00F83A06" w:rsidRPr="00275F80" w14:paraId="05C0C912" w14:textId="77777777" w:rsidTr="00EC0BD3">
        <w:trPr>
          <w:trHeight w:val="287"/>
        </w:trPr>
        <w:tc>
          <w:tcPr>
            <w:tcW w:w="1129" w:type="dxa"/>
            <w:shd w:val="clear" w:color="auto" w:fill="auto"/>
            <w:noWrap/>
            <w:vAlign w:val="center"/>
            <w:hideMark/>
          </w:tcPr>
          <w:p w14:paraId="4DE72D8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G1408</w:t>
            </w:r>
          </w:p>
        </w:tc>
        <w:tc>
          <w:tcPr>
            <w:tcW w:w="1367" w:type="dxa"/>
            <w:shd w:val="clear" w:color="auto" w:fill="auto"/>
            <w:noWrap/>
            <w:vAlign w:val="center"/>
            <w:hideMark/>
          </w:tcPr>
          <w:p w14:paraId="38CA040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99.2</w:t>
            </w:r>
          </w:p>
        </w:tc>
        <w:tc>
          <w:tcPr>
            <w:tcW w:w="717" w:type="dxa"/>
            <w:shd w:val="clear" w:color="auto" w:fill="auto"/>
            <w:noWrap/>
            <w:vAlign w:val="center"/>
            <w:hideMark/>
          </w:tcPr>
          <w:p w14:paraId="39089F8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98.5</w:t>
            </w:r>
          </w:p>
        </w:tc>
        <w:tc>
          <w:tcPr>
            <w:tcW w:w="1067" w:type="dxa"/>
            <w:shd w:val="clear" w:color="auto" w:fill="auto"/>
            <w:noWrap/>
            <w:vAlign w:val="center"/>
            <w:hideMark/>
          </w:tcPr>
          <w:p w14:paraId="1ADC35D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0.7</w:t>
            </w:r>
          </w:p>
        </w:tc>
        <w:tc>
          <w:tcPr>
            <w:tcW w:w="1187" w:type="dxa"/>
            <w:shd w:val="clear" w:color="auto" w:fill="auto"/>
            <w:noWrap/>
            <w:vAlign w:val="center"/>
            <w:hideMark/>
          </w:tcPr>
          <w:p w14:paraId="0D09428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0.4</w:t>
            </w:r>
          </w:p>
        </w:tc>
        <w:tc>
          <w:tcPr>
            <w:tcW w:w="827" w:type="dxa"/>
            <w:shd w:val="clear" w:color="auto" w:fill="auto"/>
            <w:noWrap/>
            <w:vAlign w:val="center"/>
            <w:hideMark/>
          </w:tcPr>
          <w:p w14:paraId="374935D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0.4</w:t>
            </w:r>
          </w:p>
        </w:tc>
        <w:tc>
          <w:tcPr>
            <w:tcW w:w="1577" w:type="dxa"/>
            <w:shd w:val="clear" w:color="auto" w:fill="auto"/>
            <w:noWrap/>
            <w:vAlign w:val="center"/>
            <w:hideMark/>
          </w:tcPr>
          <w:p w14:paraId="0EA25C6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6321513</w:t>
            </w:r>
          </w:p>
        </w:tc>
      </w:tr>
      <w:tr w:rsidR="00F83A06" w:rsidRPr="00275F80" w14:paraId="1E47707C" w14:textId="77777777" w:rsidTr="00EC0BD3">
        <w:trPr>
          <w:trHeight w:val="287"/>
        </w:trPr>
        <w:tc>
          <w:tcPr>
            <w:tcW w:w="1129" w:type="dxa"/>
            <w:shd w:val="clear" w:color="auto" w:fill="auto"/>
            <w:noWrap/>
            <w:vAlign w:val="center"/>
            <w:hideMark/>
          </w:tcPr>
          <w:p w14:paraId="4FEE7A9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G1407</w:t>
            </w:r>
          </w:p>
        </w:tc>
        <w:tc>
          <w:tcPr>
            <w:tcW w:w="1367" w:type="dxa"/>
            <w:shd w:val="clear" w:color="auto" w:fill="auto"/>
            <w:noWrap/>
            <w:vAlign w:val="center"/>
            <w:hideMark/>
          </w:tcPr>
          <w:p w14:paraId="0AE22F3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99.2</w:t>
            </w:r>
          </w:p>
        </w:tc>
        <w:tc>
          <w:tcPr>
            <w:tcW w:w="717" w:type="dxa"/>
            <w:shd w:val="clear" w:color="auto" w:fill="auto"/>
            <w:noWrap/>
            <w:vAlign w:val="center"/>
            <w:hideMark/>
          </w:tcPr>
          <w:p w14:paraId="223A904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98.5</w:t>
            </w:r>
          </w:p>
        </w:tc>
        <w:tc>
          <w:tcPr>
            <w:tcW w:w="1067" w:type="dxa"/>
            <w:shd w:val="clear" w:color="auto" w:fill="auto"/>
            <w:noWrap/>
            <w:vAlign w:val="center"/>
            <w:hideMark/>
          </w:tcPr>
          <w:p w14:paraId="3BBD9CD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0.7</w:t>
            </w:r>
          </w:p>
        </w:tc>
        <w:tc>
          <w:tcPr>
            <w:tcW w:w="1187" w:type="dxa"/>
            <w:shd w:val="clear" w:color="auto" w:fill="auto"/>
            <w:noWrap/>
            <w:vAlign w:val="center"/>
            <w:hideMark/>
          </w:tcPr>
          <w:p w14:paraId="743745B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0.4</w:t>
            </w:r>
          </w:p>
        </w:tc>
        <w:tc>
          <w:tcPr>
            <w:tcW w:w="827" w:type="dxa"/>
            <w:shd w:val="clear" w:color="auto" w:fill="auto"/>
            <w:noWrap/>
            <w:vAlign w:val="center"/>
            <w:hideMark/>
          </w:tcPr>
          <w:p w14:paraId="077A544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0.4</w:t>
            </w:r>
          </w:p>
        </w:tc>
        <w:tc>
          <w:tcPr>
            <w:tcW w:w="1577" w:type="dxa"/>
            <w:shd w:val="clear" w:color="auto" w:fill="auto"/>
            <w:noWrap/>
            <w:vAlign w:val="center"/>
            <w:hideMark/>
          </w:tcPr>
          <w:p w14:paraId="7AFEDBE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6319065</w:t>
            </w:r>
          </w:p>
        </w:tc>
      </w:tr>
      <w:tr w:rsidR="00F83A06" w:rsidRPr="00275F80" w14:paraId="1C01AE7B" w14:textId="77777777" w:rsidTr="00EC0BD3">
        <w:trPr>
          <w:trHeight w:val="287"/>
        </w:trPr>
        <w:tc>
          <w:tcPr>
            <w:tcW w:w="1129" w:type="dxa"/>
            <w:shd w:val="clear" w:color="auto" w:fill="auto"/>
            <w:noWrap/>
            <w:vAlign w:val="center"/>
            <w:hideMark/>
          </w:tcPr>
          <w:p w14:paraId="35B2FBD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G1409</w:t>
            </w:r>
          </w:p>
        </w:tc>
        <w:tc>
          <w:tcPr>
            <w:tcW w:w="1367" w:type="dxa"/>
            <w:shd w:val="clear" w:color="auto" w:fill="auto"/>
            <w:noWrap/>
            <w:vAlign w:val="center"/>
            <w:hideMark/>
          </w:tcPr>
          <w:p w14:paraId="2E7378A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99.2</w:t>
            </w:r>
          </w:p>
        </w:tc>
        <w:tc>
          <w:tcPr>
            <w:tcW w:w="717" w:type="dxa"/>
            <w:shd w:val="clear" w:color="auto" w:fill="auto"/>
            <w:noWrap/>
            <w:vAlign w:val="center"/>
            <w:hideMark/>
          </w:tcPr>
          <w:p w14:paraId="1EE8CF4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98.5</w:t>
            </w:r>
          </w:p>
        </w:tc>
        <w:tc>
          <w:tcPr>
            <w:tcW w:w="1067" w:type="dxa"/>
            <w:shd w:val="clear" w:color="auto" w:fill="auto"/>
            <w:noWrap/>
            <w:vAlign w:val="center"/>
            <w:hideMark/>
          </w:tcPr>
          <w:p w14:paraId="64648F2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0.7</w:t>
            </w:r>
          </w:p>
        </w:tc>
        <w:tc>
          <w:tcPr>
            <w:tcW w:w="1187" w:type="dxa"/>
            <w:shd w:val="clear" w:color="auto" w:fill="auto"/>
            <w:noWrap/>
            <w:vAlign w:val="center"/>
            <w:hideMark/>
          </w:tcPr>
          <w:p w14:paraId="00D4225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0.4</w:t>
            </w:r>
          </w:p>
        </w:tc>
        <w:tc>
          <w:tcPr>
            <w:tcW w:w="827" w:type="dxa"/>
            <w:shd w:val="clear" w:color="auto" w:fill="auto"/>
            <w:noWrap/>
            <w:vAlign w:val="center"/>
            <w:hideMark/>
          </w:tcPr>
          <w:p w14:paraId="6535F0F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0.4</w:t>
            </w:r>
          </w:p>
        </w:tc>
        <w:tc>
          <w:tcPr>
            <w:tcW w:w="1577" w:type="dxa"/>
            <w:shd w:val="clear" w:color="auto" w:fill="auto"/>
            <w:noWrap/>
            <w:vAlign w:val="center"/>
            <w:hideMark/>
          </w:tcPr>
          <w:p w14:paraId="6169342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6334465</w:t>
            </w:r>
          </w:p>
        </w:tc>
      </w:tr>
      <w:tr w:rsidR="00F83A06" w:rsidRPr="00275F80" w14:paraId="0DA11065" w14:textId="77777777" w:rsidTr="00EC0BD3">
        <w:trPr>
          <w:trHeight w:val="287"/>
        </w:trPr>
        <w:tc>
          <w:tcPr>
            <w:tcW w:w="1129" w:type="dxa"/>
            <w:shd w:val="clear" w:color="auto" w:fill="auto"/>
            <w:noWrap/>
            <w:vAlign w:val="center"/>
            <w:hideMark/>
          </w:tcPr>
          <w:p w14:paraId="078F6C0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G1418</w:t>
            </w:r>
          </w:p>
        </w:tc>
        <w:tc>
          <w:tcPr>
            <w:tcW w:w="1367" w:type="dxa"/>
            <w:shd w:val="clear" w:color="auto" w:fill="auto"/>
            <w:noWrap/>
            <w:vAlign w:val="center"/>
            <w:hideMark/>
          </w:tcPr>
          <w:p w14:paraId="242FAC4C"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99.3</w:t>
            </w:r>
          </w:p>
        </w:tc>
        <w:tc>
          <w:tcPr>
            <w:tcW w:w="717" w:type="dxa"/>
            <w:shd w:val="clear" w:color="auto" w:fill="auto"/>
            <w:noWrap/>
            <w:vAlign w:val="center"/>
            <w:hideMark/>
          </w:tcPr>
          <w:p w14:paraId="53F1A71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98.7</w:t>
            </w:r>
          </w:p>
        </w:tc>
        <w:tc>
          <w:tcPr>
            <w:tcW w:w="1067" w:type="dxa"/>
            <w:shd w:val="clear" w:color="auto" w:fill="auto"/>
            <w:noWrap/>
            <w:vAlign w:val="center"/>
            <w:hideMark/>
          </w:tcPr>
          <w:p w14:paraId="78A4022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0.6</w:t>
            </w:r>
          </w:p>
        </w:tc>
        <w:tc>
          <w:tcPr>
            <w:tcW w:w="1187" w:type="dxa"/>
            <w:shd w:val="clear" w:color="auto" w:fill="auto"/>
            <w:noWrap/>
            <w:vAlign w:val="center"/>
            <w:hideMark/>
          </w:tcPr>
          <w:p w14:paraId="46F2B7F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0.3</w:t>
            </w:r>
          </w:p>
        </w:tc>
        <w:tc>
          <w:tcPr>
            <w:tcW w:w="827" w:type="dxa"/>
            <w:shd w:val="clear" w:color="auto" w:fill="auto"/>
            <w:noWrap/>
            <w:vAlign w:val="center"/>
            <w:hideMark/>
          </w:tcPr>
          <w:p w14:paraId="6887F12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0.4</w:t>
            </w:r>
          </w:p>
        </w:tc>
        <w:tc>
          <w:tcPr>
            <w:tcW w:w="1577" w:type="dxa"/>
            <w:shd w:val="clear" w:color="auto" w:fill="auto"/>
            <w:noWrap/>
            <w:vAlign w:val="center"/>
            <w:hideMark/>
          </w:tcPr>
          <w:p w14:paraId="423BDD2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6290280</w:t>
            </w:r>
          </w:p>
        </w:tc>
      </w:tr>
      <w:tr w:rsidR="00F83A06" w:rsidRPr="00275F80" w14:paraId="14ECAB27" w14:textId="77777777" w:rsidTr="00EC0BD3">
        <w:trPr>
          <w:trHeight w:val="287"/>
        </w:trPr>
        <w:tc>
          <w:tcPr>
            <w:tcW w:w="1129" w:type="dxa"/>
            <w:shd w:val="clear" w:color="auto" w:fill="auto"/>
            <w:noWrap/>
            <w:vAlign w:val="center"/>
            <w:hideMark/>
          </w:tcPr>
          <w:p w14:paraId="76FEAEA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G1414</w:t>
            </w:r>
          </w:p>
        </w:tc>
        <w:tc>
          <w:tcPr>
            <w:tcW w:w="1367" w:type="dxa"/>
            <w:shd w:val="clear" w:color="auto" w:fill="auto"/>
            <w:noWrap/>
            <w:vAlign w:val="center"/>
            <w:hideMark/>
          </w:tcPr>
          <w:p w14:paraId="237E62A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85</w:t>
            </w:r>
          </w:p>
        </w:tc>
        <w:tc>
          <w:tcPr>
            <w:tcW w:w="717" w:type="dxa"/>
            <w:shd w:val="clear" w:color="auto" w:fill="auto"/>
            <w:noWrap/>
            <w:vAlign w:val="center"/>
            <w:hideMark/>
          </w:tcPr>
          <w:p w14:paraId="429C815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84</w:t>
            </w:r>
          </w:p>
        </w:tc>
        <w:tc>
          <w:tcPr>
            <w:tcW w:w="1067" w:type="dxa"/>
            <w:shd w:val="clear" w:color="auto" w:fill="auto"/>
            <w:noWrap/>
            <w:vAlign w:val="center"/>
            <w:hideMark/>
          </w:tcPr>
          <w:p w14:paraId="091B593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1</w:t>
            </w:r>
          </w:p>
        </w:tc>
        <w:tc>
          <w:tcPr>
            <w:tcW w:w="1187" w:type="dxa"/>
            <w:shd w:val="clear" w:color="auto" w:fill="auto"/>
            <w:noWrap/>
            <w:vAlign w:val="center"/>
            <w:hideMark/>
          </w:tcPr>
          <w:p w14:paraId="793ABF6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9.6</w:t>
            </w:r>
          </w:p>
        </w:tc>
        <w:tc>
          <w:tcPr>
            <w:tcW w:w="827" w:type="dxa"/>
            <w:shd w:val="clear" w:color="auto" w:fill="auto"/>
            <w:noWrap/>
            <w:vAlign w:val="center"/>
            <w:hideMark/>
          </w:tcPr>
          <w:p w14:paraId="5DCD377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5.4</w:t>
            </w:r>
          </w:p>
        </w:tc>
        <w:tc>
          <w:tcPr>
            <w:tcW w:w="1577" w:type="dxa"/>
            <w:shd w:val="clear" w:color="auto" w:fill="auto"/>
            <w:noWrap/>
            <w:vAlign w:val="center"/>
            <w:hideMark/>
          </w:tcPr>
          <w:p w14:paraId="24D4DB4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6207369</w:t>
            </w:r>
          </w:p>
        </w:tc>
      </w:tr>
      <w:tr w:rsidR="00F83A06" w:rsidRPr="00275F80" w14:paraId="2F2C3A7C" w14:textId="77777777" w:rsidTr="00EC0BD3">
        <w:trPr>
          <w:trHeight w:val="287"/>
        </w:trPr>
        <w:tc>
          <w:tcPr>
            <w:tcW w:w="1129" w:type="dxa"/>
            <w:shd w:val="clear" w:color="auto" w:fill="auto"/>
            <w:noWrap/>
            <w:vAlign w:val="center"/>
            <w:hideMark/>
          </w:tcPr>
          <w:p w14:paraId="566EBCC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G1325</w:t>
            </w:r>
          </w:p>
        </w:tc>
        <w:tc>
          <w:tcPr>
            <w:tcW w:w="1367" w:type="dxa"/>
            <w:shd w:val="clear" w:color="auto" w:fill="auto"/>
            <w:noWrap/>
            <w:vAlign w:val="center"/>
            <w:hideMark/>
          </w:tcPr>
          <w:p w14:paraId="714CEE5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98.5</w:t>
            </w:r>
          </w:p>
        </w:tc>
        <w:tc>
          <w:tcPr>
            <w:tcW w:w="717" w:type="dxa"/>
            <w:shd w:val="clear" w:color="auto" w:fill="auto"/>
            <w:noWrap/>
            <w:vAlign w:val="center"/>
            <w:hideMark/>
          </w:tcPr>
          <w:p w14:paraId="2F5F72F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98.1</w:t>
            </w:r>
          </w:p>
        </w:tc>
        <w:tc>
          <w:tcPr>
            <w:tcW w:w="1067" w:type="dxa"/>
            <w:shd w:val="clear" w:color="auto" w:fill="auto"/>
            <w:noWrap/>
            <w:vAlign w:val="center"/>
            <w:hideMark/>
          </w:tcPr>
          <w:p w14:paraId="7BCA49F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0.4</w:t>
            </w:r>
          </w:p>
        </w:tc>
        <w:tc>
          <w:tcPr>
            <w:tcW w:w="1187" w:type="dxa"/>
            <w:shd w:val="clear" w:color="auto" w:fill="auto"/>
            <w:noWrap/>
            <w:vAlign w:val="center"/>
            <w:hideMark/>
          </w:tcPr>
          <w:p w14:paraId="1A84799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0.6</w:t>
            </w:r>
          </w:p>
        </w:tc>
        <w:tc>
          <w:tcPr>
            <w:tcW w:w="827" w:type="dxa"/>
            <w:shd w:val="clear" w:color="auto" w:fill="auto"/>
            <w:noWrap/>
            <w:vAlign w:val="center"/>
            <w:hideMark/>
          </w:tcPr>
          <w:p w14:paraId="6738C52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0.9</w:t>
            </w:r>
          </w:p>
        </w:tc>
        <w:tc>
          <w:tcPr>
            <w:tcW w:w="1577" w:type="dxa"/>
            <w:shd w:val="clear" w:color="auto" w:fill="auto"/>
            <w:noWrap/>
            <w:vAlign w:val="center"/>
            <w:hideMark/>
          </w:tcPr>
          <w:p w14:paraId="07F077A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6449526</w:t>
            </w:r>
          </w:p>
        </w:tc>
      </w:tr>
      <w:tr w:rsidR="00F83A06" w:rsidRPr="00275F80" w14:paraId="4364BEDE" w14:textId="77777777" w:rsidTr="00EC0BD3">
        <w:trPr>
          <w:trHeight w:val="287"/>
        </w:trPr>
        <w:tc>
          <w:tcPr>
            <w:tcW w:w="1129" w:type="dxa"/>
            <w:shd w:val="clear" w:color="auto" w:fill="auto"/>
            <w:noWrap/>
            <w:vAlign w:val="center"/>
            <w:hideMark/>
          </w:tcPr>
          <w:p w14:paraId="4ECC6C9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G1412</w:t>
            </w:r>
          </w:p>
        </w:tc>
        <w:tc>
          <w:tcPr>
            <w:tcW w:w="1367" w:type="dxa"/>
            <w:shd w:val="clear" w:color="auto" w:fill="auto"/>
            <w:noWrap/>
            <w:vAlign w:val="center"/>
            <w:hideMark/>
          </w:tcPr>
          <w:p w14:paraId="136E593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76.3</w:t>
            </w:r>
          </w:p>
        </w:tc>
        <w:tc>
          <w:tcPr>
            <w:tcW w:w="717" w:type="dxa"/>
            <w:shd w:val="clear" w:color="auto" w:fill="auto"/>
            <w:noWrap/>
            <w:vAlign w:val="center"/>
            <w:hideMark/>
          </w:tcPr>
          <w:p w14:paraId="0B603DB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76</w:t>
            </w:r>
          </w:p>
        </w:tc>
        <w:tc>
          <w:tcPr>
            <w:tcW w:w="1067" w:type="dxa"/>
            <w:shd w:val="clear" w:color="auto" w:fill="auto"/>
            <w:noWrap/>
            <w:vAlign w:val="center"/>
            <w:hideMark/>
          </w:tcPr>
          <w:p w14:paraId="062D311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0.3</w:t>
            </w:r>
          </w:p>
        </w:tc>
        <w:tc>
          <w:tcPr>
            <w:tcW w:w="1187" w:type="dxa"/>
            <w:shd w:val="clear" w:color="auto" w:fill="auto"/>
            <w:noWrap/>
            <w:vAlign w:val="center"/>
            <w:hideMark/>
          </w:tcPr>
          <w:p w14:paraId="0EC0E00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13.5</w:t>
            </w:r>
          </w:p>
        </w:tc>
        <w:tc>
          <w:tcPr>
            <w:tcW w:w="827" w:type="dxa"/>
            <w:shd w:val="clear" w:color="auto" w:fill="auto"/>
            <w:noWrap/>
            <w:vAlign w:val="center"/>
            <w:hideMark/>
          </w:tcPr>
          <w:p w14:paraId="185F278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10.2</w:t>
            </w:r>
          </w:p>
        </w:tc>
        <w:tc>
          <w:tcPr>
            <w:tcW w:w="1577" w:type="dxa"/>
            <w:shd w:val="clear" w:color="auto" w:fill="auto"/>
            <w:noWrap/>
            <w:vAlign w:val="center"/>
            <w:hideMark/>
          </w:tcPr>
          <w:p w14:paraId="157BA48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6206928</w:t>
            </w:r>
          </w:p>
        </w:tc>
      </w:tr>
      <w:tr w:rsidR="00F83A06" w:rsidRPr="00275F80" w14:paraId="0D12F081" w14:textId="77777777" w:rsidTr="00EC0BD3">
        <w:trPr>
          <w:trHeight w:val="287"/>
        </w:trPr>
        <w:tc>
          <w:tcPr>
            <w:tcW w:w="1129" w:type="dxa"/>
            <w:shd w:val="clear" w:color="auto" w:fill="auto"/>
            <w:noWrap/>
            <w:vAlign w:val="center"/>
            <w:hideMark/>
          </w:tcPr>
          <w:p w14:paraId="0AFB17F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G1401</w:t>
            </w:r>
          </w:p>
        </w:tc>
        <w:tc>
          <w:tcPr>
            <w:tcW w:w="1367" w:type="dxa"/>
            <w:shd w:val="clear" w:color="auto" w:fill="auto"/>
            <w:noWrap/>
            <w:vAlign w:val="center"/>
            <w:hideMark/>
          </w:tcPr>
          <w:p w14:paraId="5DD396A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93.8</w:t>
            </w:r>
          </w:p>
        </w:tc>
        <w:tc>
          <w:tcPr>
            <w:tcW w:w="717" w:type="dxa"/>
            <w:shd w:val="clear" w:color="auto" w:fill="auto"/>
            <w:noWrap/>
            <w:vAlign w:val="center"/>
            <w:hideMark/>
          </w:tcPr>
          <w:p w14:paraId="1948684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93.2</w:t>
            </w:r>
          </w:p>
        </w:tc>
        <w:tc>
          <w:tcPr>
            <w:tcW w:w="1067" w:type="dxa"/>
            <w:shd w:val="clear" w:color="auto" w:fill="auto"/>
            <w:noWrap/>
            <w:vAlign w:val="center"/>
            <w:hideMark/>
          </w:tcPr>
          <w:p w14:paraId="09D5482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0.6</w:t>
            </w:r>
          </w:p>
        </w:tc>
        <w:tc>
          <w:tcPr>
            <w:tcW w:w="1187" w:type="dxa"/>
            <w:shd w:val="clear" w:color="auto" w:fill="auto"/>
            <w:noWrap/>
            <w:vAlign w:val="center"/>
            <w:hideMark/>
          </w:tcPr>
          <w:p w14:paraId="563EE52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3.9</w:t>
            </w:r>
          </w:p>
        </w:tc>
        <w:tc>
          <w:tcPr>
            <w:tcW w:w="827" w:type="dxa"/>
            <w:shd w:val="clear" w:color="auto" w:fill="auto"/>
            <w:noWrap/>
            <w:vAlign w:val="center"/>
            <w:hideMark/>
          </w:tcPr>
          <w:p w14:paraId="45E8E35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2.3</w:t>
            </w:r>
          </w:p>
        </w:tc>
        <w:tc>
          <w:tcPr>
            <w:tcW w:w="1577" w:type="dxa"/>
            <w:shd w:val="clear" w:color="auto" w:fill="auto"/>
            <w:noWrap/>
            <w:vAlign w:val="center"/>
            <w:hideMark/>
          </w:tcPr>
          <w:p w14:paraId="1266CEA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6293570</w:t>
            </w:r>
          </w:p>
        </w:tc>
      </w:tr>
      <w:tr w:rsidR="00F83A06" w:rsidRPr="00275F80" w14:paraId="4ADE03B3" w14:textId="77777777" w:rsidTr="00EC0BD3">
        <w:trPr>
          <w:trHeight w:val="287"/>
        </w:trPr>
        <w:tc>
          <w:tcPr>
            <w:tcW w:w="1129" w:type="dxa"/>
            <w:shd w:val="clear" w:color="auto" w:fill="auto"/>
            <w:noWrap/>
            <w:vAlign w:val="center"/>
            <w:hideMark/>
          </w:tcPr>
          <w:p w14:paraId="2AA146C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G1324</w:t>
            </w:r>
          </w:p>
        </w:tc>
        <w:tc>
          <w:tcPr>
            <w:tcW w:w="1367" w:type="dxa"/>
            <w:shd w:val="clear" w:color="auto" w:fill="auto"/>
            <w:noWrap/>
            <w:vAlign w:val="center"/>
            <w:hideMark/>
          </w:tcPr>
          <w:p w14:paraId="0825FA5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66.8</w:t>
            </w:r>
          </w:p>
        </w:tc>
        <w:tc>
          <w:tcPr>
            <w:tcW w:w="717" w:type="dxa"/>
            <w:shd w:val="clear" w:color="auto" w:fill="auto"/>
            <w:noWrap/>
            <w:vAlign w:val="center"/>
            <w:hideMark/>
          </w:tcPr>
          <w:p w14:paraId="3400D91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66.7</w:t>
            </w:r>
          </w:p>
        </w:tc>
        <w:tc>
          <w:tcPr>
            <w:tcW w:w="1067" w:type="dxa"/>
            <w:shd w:val="clear" w:color="auto" w:fill="auto"/>
            <w:noWrap/>
            <w:vAlign w:val="center"/>
            <w:hideMark/>
          </w:tcPr>
          <w:p w14:paraId="1F94C47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0.1</w:t>
            </w:r>
          </w:p>
        </w:tc>
        <w:tc>
          <w:tcPr>
            <w:tcW w:w="1187" w:type="dxa"/>
            <w:shd w:val="clear" w:color="auto" w:fill="auto"/>
            <w:noWrap/>
            <w:vAlign w:val="center"/>
            <w:hideMark/>
          </w:tcPr>
          <w:p w14:paraId="2940ACF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20.9</w:t>
            </w:r>
          </w:p>
        </w:tc>
        <w:tc>
          <w:tcPr>
            <w:tcW w:w="827" w:type="dxa"/>
            <w:shd w:val="clear" w:color="auto" w:fill="auto"/>
            <w:noWrap/>
            <w:vAlign w:val="center"/>
            <w:hideMark/>
          </w:tcPr>
          <w:p w14:paraId="3137727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12.3</w:t>
            </w:r>
          </w:p>
        </w:tc>
        <w:tc>
          <w:tcPr>
            <w:tcW w:w="1577" w:type="dxa"/>
            <w:shd w:val="clear" w:color="auto" w:fill="auto"/>
            <w:noWrap/>
            <w:vAlign w:val="center"/>
            <w:hideMark/>
          </w:tcPr>
          <w:p w14:paraId="3730168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6414488</w:t>
            </w:r>
          </w:p>
        </w:tc>
      </w:tr>
      <w:tr w:rsidR="00F83A06" w:rsidRPr="00275F80" w14:paraId="57E15EC7" w14:textId="77777777" w:rsidTr="00EC0BD3">
        <w:trPr>
          <w:trHeight w:val="287"/>
        </w:trPr>
        <w:tc>
          <w:tcPr>
            <w:tcW w:w="1129" w:type="dxa"/>
            <w:shd w:val="clear" w:color="auto" w:fill="auto"/>
            <w:noWrap/>
            <w:vAlign w:val="center"/>
            <w:hideMark/>
          </w:tcPr>
          <w:p w14:paraId="4240DA1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G1323</w:t>
            </w:r>
          </w:p>
        </w:tc>
        <w:tc>
          <w:tcPr>
            <w:tcW w:w="1367" w:type="dxa"/>
            <w:shd w:val="clear" w:color="auto" w:fill="auto"/>
            <w:noWrap/>
            <w:vAlign w:val="center"/>
            <w:hideMark/>
          </w:tcPr>
          <w:p w14:paraId="4CFCA6E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98.7</w:t>
            </w:r>
          </w:p>
        </w:tc>
        <w:tc>
          <w:tcPr>
            <w:tcW w:w="717" w:type="dxa"/>
            <w:shd w:val="clear" w:color="auto" w:fill="auto"/>
            <w:noWrap/>
            <w:vAlign w:val="center"/>
            <w:hideMark/>
          </w:tcPr>
          <w:p w14:paraId="139C15B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97.8</w:t>
            </w:r>
          </w:p>
        </w:tc>
        <w:tc>
          <w:tcPr>
            <w:tcW w:w="1067" w:type="dxa"/>
            <w:shd w:val="clear" w:color="auto" w:fill="auto"/>
            <w:noWrap/>
            <w:vAlign w:val="center"/>
            <w:hideMark/>
          </w:tcPr>
          <w:p w14:paraId="65F98B2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0.9</w:t>
            </w:r>
          </w:p>
        </w:tc>
        <w:tc>
          <w:tcPr>
            <w:tcW w:w="1187" w:type="dxa"/>
            <w:shd w:val="clear" w:color="auto" w:fill="auto"/>
            <w:noWrap/>
            <w:vAlign w:val="center"/>
            <w:hideMark/>
          </w:tcPr>
          <w:p w14:paraId="315C658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w:t>
            </w:r>
          </w:p>
        </w:tc>
        <w:tc>
          <w:tcPr>
            <w:tcW w:w="827" w:type="dxa"/>
            <w:shd w:val="clear" w:color="auto" w:fill="auto"/>
            <w:noWrap/>
            <w:vAlign w:val="center"/>
            <w:hideMark/>
          </w:tcPr>
          <w:p w14:paraId="40AFF0B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1.3</w:t>
            </w:r>
          </w:p>
        </w:tc>
        <w:tc>
          <w:tcPr>
            <w:tcW w:w="1577" w:type="dxa"/>
            <w:shd w:val="clear" w:color="auto" w:fill="auto"/>
            <w:noWrap/>
            <w:vAlign w:val="center"/>
            <w:hideMark/>
          </w:tcPr>
          <w:p w14:paraId="38B376C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6625099</w:t>
            </w:r>
          </w:p>
        </w:tc>
      </w:tr>
      <w:tr w:rsidR="00F83A06" w:rsidRPr="00275F80" w14:paraId="2F7ABD5C" w14:textId="77777777" w:rsidTr="00EC0BD3">
        <w:trPr>
          <w:trHeight w:val="287"/>
        </w:trPr>
        <w:tc>
          <w:tcPr>
            <w:tcW w:w="1129" w:type="dxa"/>
            <w:shd w:val="clear" w:color="auto" w:fill="auto"/>
            <w:noWrap/>
            <w:vAlign w:val="center"/>
            <w:hideMark/>
          </w:tcPr>
          <w:p w14:paraId="7BFDDCF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G1387</w:t>
            </w:r>
          </w:p>
        </w:tc>
        <w:tc>
          <w:tcPr>
            <w:tcW w:w="1367" w:type="dxa"/>
            <w:shd w:val="clear" w:color="auto" w:fill="auto"/>
            <w:noWrap/>
            <w:vAlign w:val="center"/>
            <w:hideMark/>
          </w:tcPr>
          <w:p w14:paraId="5514014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98.6</w:t>
            </w:r>
          </w:p>
        </w:tc>
        <w:tc>
          <w:tcPr>
            <w:tcW w:w="717" w:type="dxa"/>
            <w:shd w:val="clear" w:color="auto" w:fill="auto"/>
            <w:noWrap/>
            <w:vAlign w:val="center"/>
            <w:hideMark/>
          </w:tcPr>
          <w:p w14:paraId="7B819DC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w:t>
            </w:r>
          </w:p>
        </w:tc>
        <w:tc>
          <w:tcPr>
            <w:tcW w:w="1067" w:type="dxa"/>
            <w:shd w:val="clear" w:color="auto" w:fill="auto"/>
            <w:noWrap/>
            <w:vAlign w:val="center"/>
            <w:hideMark/>
          </w:tcPr>
          <w:p w14:paraId="368F338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0.6</w:t>
            </w:r>
          </w:p>
        </w:tc>
        <w:tc>
          <w:tcPr>
            <w:tcW w:w="1187" w:type="dxa"/>
            <w:shd w:val="clear" w:color="auto" w:fill="auto"/>
            <w:noWrap/>
            <w:vAlign w:val="center"/>
            <w:hideMark/>
          </w:tcPr>
          <w:p w14:paraId="2EB8F10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0.6</w:t>
            </w:r>
          </w:p>
        </w:tc>
        <w:tc>
          <w:tcPr>
            <w:tcW w:w="827" w:type="dxa"/>
            <w:shd w:val="clear" w:color="auto" w:fill="auto"/>
            <w:noWrap/>
            <w:vAlign w:val="center"/>
            <w:hideMark/>
          </w:tcPr>
          <w:p w14:paraId="08026BD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0.8</w:t>
            </w:r>
          </w:p>
        </w:tc>
        <w:tc>
          <w:tcPr>
            <w:tcW w:w="1577" w:type="dxa"/>
            <w:shd w:val="clear" w:color="auto" w:fill="auto"/>
            <w:noWrap/>
            <w:vAlign w:val="center"/>
            <w:hideMark/>
          </w:tcPr>
          <w:p w14:paraId="5FF0AF1C"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6227005</w:t>
            </w:r>
          </w:p>
        </w:tc>
      </w:tr>
      <w:tr w:rsidR="00F83A06" w:rsidRPr="00275F80" w14:paraId="7055D96E" w14:textId="77777777" w:rsidTr="00EC0BD3">
        <w:trPr>
          <w:trHeight w:val="287"/>
        </w:trPr>
        <w:tc>
          <w:tcPr>
            <w:tcW w:w="1129" w:type="dxa"/>
            <w:shd w:val="clear" w:color="auto" w:fill="auto"/>
            <w:noWrap/>
            <w:vAlign w:val="center"/>
            <w:hideMark/>
          </w:tcPr>
          <w:p w14:paraId="12BF336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G1433</w:t>
            </w:r>
          </w:p>
        </w:tc>
        <w:tc>
          <w:tcPr>
            <w:tcW w:w="1367" w:type="dxa"/>
            <w:shd w:val="clear" w:color="auto" w:fill="auto"/>
            <w:noWrap/>
            <w:vAlign w:val="center"/>
            <w:hideMark/>
          </w:tcPr>
          <w:p w14:paraId="4C2322F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78</w:t>
            </w:r>
          </w:p>
        </w:tc>
        <w:tc>
          <w:tcPr>
            <w:tcW w:w="717" w:type="dxa"/>
            <w:shd w:val="clear" w:color="auto" w:fill="auto"/>
            <w:noWrap/>
            <w:vAlign w:val="center"/>
            <w:hideMark/>
          </w:tcPr>
          <w:p w14:paraId="7B0090C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77.9</w:t>
            </w:r>
          </w:p>
        </w:tc>
        <w:tc>
          <w:tcPr>
            <w:tcW w:w="1067" w:type="dxa"/>
            <w:shd w:val="clear" w:color="auto" w:fill="auto"/>
            <w:noWrap/>
            <w:vAlign w:val="center"/>
            <w:hideMark/>
          </w:tcPr>
          <w:p w14:paraId="5FBF0D9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0.1</w:t>
            </w:r>
          </w:p>
        </w:tc>
        <w:tc>
          <w:tcPr>
            <w:tcW w:w="1187" w:type="dxa"/>
            <w:shd w:val="clear" w:color="auto" w:fill="auto"/>
            <w:noWrap/>
            <w:vAlign w:val="center"/>
            <w:hideMark/>
          </w:tcPr>
          <w:p w14:paraId="3F7937E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14.8</w:t>
            </w:r>
          </w:p>
        </w:tc>
        <w:tc>
          <w:tcPr>
            <w:tcW w:w="827" w:type="dxa"/>
            <w:shd w:val="clear" w:color="auto" w:fill="auto"/>
            <w:noWrap/>
            <w:vAlign w:val="center"/>
            <w:hideMark/>
          </w:tcPr>
          <w:p w14:paraId="2861FE1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7.2</w:t>
            </w:r>
          </w:p>
        </w:tc>
        <w:tc>
          <w:tcPr>
            <w:tcW w:w="1577" w:type="dxa"/>
            <w:shd w:val="clear" w:color="auto" w:fill="auto"/>
            <w:noWrap/>
            <w:vAlign w:val="center"/>
            <w:hideMark/>
          </w:tcPr>
          <w:p w14:paraId="525DB78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6749792</w:t>
            </w:r>
          </w:p>
        </w:tc>
      </w:tr>
      <w:tr w:rsidR="00F83A06" w:rsidRPr="00275F80" w14:paraId="44373C34" w14:textId="77777777" w:rsidTr="00EC0BD3">
        <w:trPr>
          <w:trHeight w:val="287"/>
        </w:trPr>
        <w:tc>
          <w:tcPr>
            <w:tcW w:w="1129" w:type="dxa"/>
            <w:shd w:val="clear" w:color="auto" w:fill="auto"/>
            <w:noWrap/>
            <w:vAlign w:val="center"/>
            <w:hideMark/>
          </w:tcPr>
          <w:p w14:paraId="28833DA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G1434</w:t>
            </w:r>
          </w:p>
        </w:tc>
        <w:tc>
          <w:tcPr>
            <w:tcW w:w="1367" w:type="dxa"/>
            <w:shd w:val="clear" w:color="auto" w:fill="auto"/>
            <w:noWrap/>
            <w:vAlign w:val="center"/>
            <w:hideMark/>
          </w:tcPr>
          <w:p w14:paraId="4DE22BA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74.5</w:t>
            </w:r>
          </w:p>
        </w:tc>
        <w:tc>
          <w:tcPr>
            <w:tcW w:w="717" w:type="dxa"/>
            <w:shd w:val="clear" w:color="auto" w:fill="auto"/>
            <w:noWrap/>
            <w:vAlign w:val="center"/>
            <w:hideMark/>
          </w:tcPr>
          <w:p w14:paraId="78B09D2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74.4</w:t>
            </w:r>
          </w:p>
        </w:tc>
        <w:tc>
          <w:tcPr>
            <w:tcW w:w="1067" w:type="dxa"/>
            <w:shd w:val="clear" w:color="auto" w:fill="auto"/>
            <w:noWrap/>
            <w:vAlign w:val="center"/>
            <w:hideMark/>
          </w:tcPr>
          <w:p w14:paraId="2A89969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0.1</w:t>
            </w:r>
          </w:p>
        </w:tc>
        <w:tc>
          <w:tcPr>
            <w:tcW w:w="1187" w:type="dxa"/>
            <w:shd w:val="clear" w:color="auto" w:fill="auto"/>
            <w:noWrap/>
            <w:vAlign w:val="center"/>
            <w:hideMark/>
          </w:tcPr>
          <w:p w14:paraId="7B630C5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17.6</w:t>
            </w:r>
          </w:p>
        </w:tc>
        <w:tc>
          <w:tcPr>
            <w:tcW w:w="827" w:type="dxa"/>
            <w:shd w:val="clear" w:color="auto" w:fill="auto"/>
            <w:noWrap/>
            <w:vAlign w:val="center"/>
            <w:hideMark/>
          </w:tcPr>
          <w:p w14:paraId="21DCB47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7.9</w:t>
            </w:r>
          </w:p>
        </w:tc>
        <w:tc>
          <w:tcPr>
            <w:tcW w:w="1577" w:type="dxa"/>
            <w:shd w:val="clear" w:color="auto" w:fill="auto"/>
            <w:noWrap/>
            <w:vAlign w:val="center"/>
            <w:hideMark/>
          </w:tcPr>
          <w:p w14:paraId="2B0399F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6748899</w:t>
            </w:r>
          </w:p>
        </w:tc>
      </w:tr>
      <w:tr w:rsidR="00F83A06" w:rsidRPr="00275F80" w14:paraId="60399433" w14:textId="77777777" w:rsidTr="00EC0BD3">
        <w:trPr>
          <w:trHeight w:val="287"/>
        </w:trPr>
        <w:tc>
          <w:tcPr>
            <w:tcW w:w="1129" w:type="dxa"/>
            <w:shd w:val="clear" w:color="auto" w:fill="auto"/>
            <w:noWrap/>
            <w:vAlign w:val="center"/>
            <w:hideMark/>
          </w:tcPr>
          <w:p w14:paraId="160D60B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G1394</w:t>
            </w:r>
          </w:p>
        </w:tc>
        <w:tc>
          <w:tcPr>
            <w:tcW w:w="1367" w:type="dxa"/>
            <w:shd w:val="clear" w:color="auto" w:fill="auto"/>
            <w:noWrap/>
            <w:vAlign w:val="center"/>
            <w:hideMark/>
          </w:tcPr>
          <w:p w14:paraId="1A43634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98.7</w:t>
            </w:r>
          </w:p>
        </w:tc>
        <w:tc>
          <w:tcPr>
            <w:tcW w:w="717" w:type="dxa"/>
            <w:shd w:val="clear" w:color="auto" w:fill="auto"/>
            <w:noWrap/>
            <w:vAlign w:val="center"/>
            <w:hideMark/>
          </w:tcPr>
          <w:p w14:paraId="26449A1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98.4</w:t>
            </w:r>
          </w:p>
        </w:tc>
        <w:tc>
          <w:tcPr>
            <w:tcW w:w="1067" w:type="dxa"/>
            <w:shd w:val="clear" w:color="auto" w:fill="auto"/>
            <w:noWrap/>
            <w:vAlign w:val="center"/>
            <w:hideMark/>
          </w:tcPr>
          <w:p w14:paraId="30D87BD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0.3</w:t>
            </w:r>
          </w:p>
        </w:tc>
        <w:tc>
          <w:tcPr>
            <w:tcW w:w="1187" w:type="dxa"/>
            <w:shd w:val="clear" w:color="auto" w:fill="auto"/>
            <w:noWrap/>
            <w:vAlign w:val="center"/>
            <w:hideMark/>
          </w:tcPr>
          <w:p w14:paraId="7C148B6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0.6</w:t>
            </w:r>
          </w:p>
        </w:tc>
        <w:tc>
          <w:tcPr>
            <w:tcW w:w="827" w:type="dxa"/>
            <w:shd w:val="clear" w:color="auto" w:fill="auto"/>
            <w:noWrap/>
            <w:vAlign w:val="center"/>
            <w:hideMark/>
          </w:tcPr>
          <w:p w14:paraId="3B34B82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0.7</w:t>
            </w:r>
          </w:p>
        </w:tc>
        <w:tc>
          <w:tcPr>
            <w:tcW w:w="1577" w:type="dxa"/>
            <w:shd w:val="clear" w:color="auto" w:fill="auto"/>
            <w:noWrap/>
            <w:vAlign w:val="center"/>
            <w:hideMark/>
          </w:tcPr>
          <w:p w14:paraId="7089597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6513437</w:t>
            </w:r>
          </w:p>
        </w:tc>
      </w:tr>
      <w:tr w:rsidR="00F83A06" w:rsidRPr="00275F80" w14:paraId="053084CE" w14:textId="77777777" w:rsidTr="00EC0BD3">
        <w:trPr>
          <w:trHeight w:val="287"/>
        </w:trPr>
        <w:tc>
          <w:tcPr>
            <w:tcW w:w="1129" w:type="dxa"/>
            <w:shd w:val="clear" w:color="auto" w:fill="auto"/>
            <w:noWrap/>
            <w:vAlign w:val="center"/>
            <w:hideMark/>
          </w:tcPr>
          <w:p w14:paraId="1BF7597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G1417</w:t>
            </w:r>
          </w:p>
        </w:tc>
        <w:tc>
          <w:tcPr>
            <w:tcW w:w="1367" w:type="dxa"/>
            <w:shd w:val="clear" w:color="auto" w:fill="auto"/>
            <w:noWrap/>
            <w:vAlign w:val="center"/>
            <w:hideMark/>
          </w:tcPr>
          <w:p w14:paraId="7B2F39FC"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99</w:t>
            </w:r>
          </w:p>
        </w:tc>
        <w:tc>
          <w:tcPr>
            <w:tcW w:w="717" w:type="dxa"/>
            <w:shd w:val="clear" w:color="auto" w:fill="auto"/>
            <w:noWrap/>
            <w:vAlign w:val="center"/>
            <w:hideMark/>
          </w:tcPr>
          <w:p w14:paraId="5DD0750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98.4</w:t>
            </w:r>
          </w:p>
        </w:tc>
        <w:tc>
          <w:tcPr>
            <w:tcW w:w="1067" w:type="dxa"/>
            <w:shd w:val="clear" w:color="auto" w:fill="auto"/>
            <w:noWrap/>
            <w:vAlign w:val="center"/>
            <w:hideMark/>
          </w:tcPr>
          <w:p w14:paraId="212575F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0.6</w:t>
            </w:r>
          </w:p>
        </w:tc>
        <w:tc>
          <w:tcPr>
            <w:tcW w:w="1187" w:type="dxa"/>
            <w:shd w:val="clear" w:color="auto" w:fill="auto"/>
            <w:noWrap/>
            <w:vAlign w:val="center"/>
            <w:hideMark/>
          </w:tcPr>
          <w:p w14:paraId="352B4CF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0.4</w:t>
            </w:r>
          </w:p>
        </w:tc>
        <w:tc>
          <w:tcPr>
            <w:tcW w:w="827" w:type="dxa"/>
            <w:shd w:val="clear" w:color="auto" w:fill="auto"/>
            <w:noWrap/>
            <w:vAlign w:val="center"/>
            <w:hideMark/>
          </w:tcPr>
          <w:p w14:paraId="5934571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0.6</w:t>
            </w:r>
          </w:p>
        </w:tc>
        <w:tc>
          <w:tcPr>
            <w:tcW w:w="1577" w:type="dxa"/>
            <w:shd w:val="clear" w:color="auto" w:fill="auto"/>
            <w:noWrap/>
            <w:vAlign w:val="center"/>
            <w:hideMark/>
          </w:tcPr>
          <w:p w14:paraId="47FE633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6289541</w:t>
            </w:r>
          </w:p>
        </w:tc>
      </w:tr>
      <w:tr w:rsidR="00F83A06" w:rsidRPr="00275F80" w14:paraId="5EFACF0B" w14:textId="77777777" w:rsidTr="00EC0BD3">
        <w:trPr>
          <w:trHeight w:val="287"/>
        </w:trPr>
        <w:tc>
          <w:tcPr>
            <w:tcW w:w="1129" w:type="dxa"/>
            <w:shd w:val="clear" w:color="auto" w:fill="auto"/>
            <w:noWrap/>
            <w:vAlign w:val="center"/>
            <w:hideMark/>
          </w:tcPr>
          <w:p w14:paraId="31638E2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G1423</w:t>
            </w:r>
          </w:p>
        </w:tc>
        <w:tc>
          <w:tcPr>
            <w:tcW w:w="1367" w:type="dxa"/>
            <w:shd w:val="clear" w:color="auto" w:fill="auto"/>
            <w:noWrap/>
            <w:vAlign w:val="center"/>
            <w:hideMark/>
          </w:tcPr>
          <w:p w14:paraId="53524F2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79.2</w:t>
            </w:r>
          </w:p>
        </w:tc>
        <w:tc>
          <w:tcPr>
            <w:tcW w:w="717" w:type="dxa"/>
            <w:shd w:val="clear" w:color="auto" w:fill="auto"/>
            <w:noWrap/>
            <w:vAlign w:val="center"/>
            <w:hideMark/>
          </w:tcPr>
          <w:p w14:paraId="17B3803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78.6</w:t>
            </w:r>
          </w:p>
        </w:tc>
        <w:tc>
          <w:tcPr>
            <w:tcW w:w="1067" w:type="dxa"/>
            <w:shd w:val="clear" w:color="auto" w:fill="auto"/>
            <w:noWrap/>
            <w:vAlign w:val="center"/>
            <w:hideMark/>
          </w:tcPr>
          <w:p w14:paraId="5C4A407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0.6</w:t>
            </w:r>
          </w:p>
        </w:tc>
        <w:tc>
          <w:tcPr>
            <w:tcW w:w="1187" w:type="dxa"/>
            <w:shd w:val="clear" w:color="auto" w:fill="auto"/>
            <w:noWrap/>
            <w:vAlign w:val="center"/>
            <w:hideMark/>
          </w:tcPr>
          <w:p w14:paraId="27977BC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13.5</w:t>
            </w:r>
          </w:p>
        </w:tc>
        <w:tc>
          <w:tcPr>
            <w:tcW w:w="827" w:type="dxa"/>
            <w:shd w:val="clear" w:color="auto" w:fill="auto"/>
            <w:noWrap/>
            <w:vAlign w:val="center"/>
            <w:hideMark/>
          </w:tcPr>
          <w:p w14:paraId="79737E3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7.3</w:t>
            </w:r>
          </w:p>
        </w:tc>
        <w:tc>
          <w:tcPr>
            <w:tcW w:w="1577" w:type="dxa"/>
            <w:shd w:val="clear" w:color="auto" w:fill="auto"/>
            <w:noWrap/>
            <w:vAlign w:val="center"/>
            <w:hideMark/>
          </w:tcPr>
          <w:p w14:paraId="5EBEF64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6277991</w:t>
            </w:r>
          </w:p>
        </w:tc>
      </w:tr>
      <w:tr w:rsidR="00F83A06" w:rsidRPr="00275F80" w14:paraId="4F7DA724" w14:textId="77777777" w:rsidTr="00EC0BD3">
        <w:trPr>
          <w:trHeight w:val="287"/>
        </w:trPr>
        <w:tc>
          <w:tcPr>
            <w:tcW w:w="1129" w:type="dxa"/>
            <w:shd w:val="clear" w:color="auto" w:fill="auto"/>
            <w:noWrap/>
            <w:vAlign w:val="center"/>
            <w:hideMark/>
          </w:tcPr>
          <w:p w14:paraId="56E5BD4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G1318</w:t>
            </w:r>
          </w:p>
        </w:tc>
        <w:tc>
          <w:tcPr>
            <w:tcW w:w="1367" w:type="dxa"/>
            <w:shd w:val="clear" w:color="auto" w:fill="auto"/>
            <w:noWrap/>
            <w:vAlign w:val="center"/>
            <w:hideMark/>
          </w:tcPr>
          <w:p w14:paraId="469A1B7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98.7</w:t>
            </w:r>
          </w:p>
        </w:tc>
        <w:tc>
          <w:tcPr>
            <w:tcW w:w="717" w:type="dxa"/>
            <w:shd w:val="clear" w:color="auto" w:fill="auto"/>
            <w:noWrap/>
            <w:vAlign w:val="center"/>
            <w:hideMark/>
          </w:tcPr>
          <w:p w14:paraId="211B73B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98.3</w:t>
            </w:r>
          </w:p>
        </w:tc>
        <w:tc>
          <w:tcPr>
            <w:tcW w:w="1067" w:type="dxa"/>
            <w:shd w:val="clear" w:color="auto" w:fill="auto"/>
            <w:noWrap/>
            <w:vAlign w:val="center"/>
            <w:hideMark/>
          </w:tcPr>
          <w:p w14:paraId="353275F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0.4</w:t>
            </w:r>
          </w:p>
        </w:tc>
        <w:tc>
          <w:tcPr>
            <w:tcW w:w="1187" w:type="dxa"/>
            <w:shd w:val="clear" w:color="auto" w:fill="auto"/>
            <w:noWrap/>
            <w:vAlign w:val="center"/>
            <w:hideMark/>
          </w:tcPr>
          <w:p w14:paraId="6BE459B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0.7</w:t>
            </w:r>
          </w:p>
        </w:tc>
        <w:tc>
          <w:tcPr>
            <w:tcW w:w="827" w:type="dxa"/>
            <w:shd w:val="clear" w:color="auto" w:fill="auto"/>
            <w:noWrap/>
            <w:vAlign w:val="center"/>
            <w:hideMark/>
          </w:tcPr>
          <w:p w14:paraId="3252011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0.6</w:t>
            </w:r>
          </w:p>
        </w:tc>
        <w:tc>
          <w:tcPr>
            <w:tcW w:w="1577" w:type="dxa"/>
            <w:shd w:val="clear" w:color="auto" w:fill="auto"/>
            <w:noWrap/>
            <w:vAlign w:val="center"/>
            <w:hideMark/>
          </w:tcPr>
          <w:p w14:paraId="0F01B4B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6465045</w:t>
            </w:r>
          </w:p>
        </w:tc>
      </w:tr>
    </w:tbl>
    <w:p w14:paraId="234EC89F" w14:textId="77777777" w:rsidR="00451D5E" w:rsidRDefault="00451D5E" w:rsidP="006D6457">
      <w:pPr>
        <w:pStyle w:val="SMHeading"/>
        <w:spacing w:line="480" w:lineRule="auto"/>
        <w:rPr>
          <w:rFonts w:ascii="Arial" w:hAnsi="Arial" w:cs="Arial"/>
          <w:sz w:val="20"/>
          <w:szCs w:val="20"/>
        </w:rPr>
      </w:pPr>
    </w:p>
    <w:p w14:paraId="6FCC0D73" w14:textId="3EFA4C52" w:rsidR="00F83A06" w:rsidRPr="00275F80" w:rsidRDefault="00F83A06" w:rsidP="006D6457">
      <w:pPr>
        <w:pStyle w:val="SMHeading"/>
        <w:spacing w:line="480" w:lineRule="auto"/>
        <w:rPr>
          <w:rFonts w:ascii="Arial" w:hAnsi="Arial" w:cs="Arial"/>
          <w:b w:val="0"/>
          <w:bCs w:val="0"/>
          <w:sz w:val="20"/>
          <w:szCs w:val="20"/>
        </w:rPr>
      </w:pPr>
      <w:r w:rsidRPr="00275F80">
        <w:rPr>
          <w:rFonts w:ascii="Arial" w:hAnsi="Arial" w:cs="Arial"/>
          <w:sz w:val="20"/>
          <w:szCs w:val="20"/>
        </w:rPr>
        <w:t>Table S</w:t>
      </w:r>
      <w:r w:rsidR="00451D5E">
        <w:rPr>
          <w:rFonts w:ascii="Arial" w:hAnsi="Arial" w:cs="Arial"/>
          <w:sz w:val="20"/>
          <w:szCs w:val="20"/>
        </w:rPr>
        <w:t>8</w:t>
      </w:r>
      <w:r w:rsidRPr="00275F80">
        <w:rPr>
          <w:rFonts w:ascii="Arial" w:hAnsi="Arial" w:cs="Arial"/>
          <w:sz w:val="20"/>
          <w:szCs w:val="20"/>
        </w:rPr>
        <w:t xml:space="preserve">. </w:t>
      </w:r>
      <w:r w:rsidRPr="00275F80">
        <w:rPr>
          <w:rFonts w:ascii="Arial" w:hAnsi="Arial" w:cs="Arial"/>
          <w:b w:val="0"/>
          <w:bCs w:val="0"/>
          <w:sz w:val="20"/>
          <w:szCs w:val="20"/>
        </w:rPr>
        <w:t xml:space="preserve">Nitrifying reactions in </w:t>
      </w:r>
      <w:r w:rsidRPr="00275F80">
        <w:rPr>
          <w:rFonts w:ascii="Arial" w:hAnsi="Arial" w:cs="Arial"/>
          <w:b w:val="0"/>
          <w:bCs w:val="0"/>
          <w:i/>
          <w:iCs/>
          <w:sz w:val="20"/>
          <w:szCs w:val="20"/>
        </w:rPr>
        <w:t>i</w:t>
      </w:r>
      <w:r w:rsidRPr="00275F80">
        <w:rPr>
          <w:rFonts w:ascii="Arial" w:hAnsi="Arial" w:cs="Arial"/>
          <w:b w:val="0"/>
          <w:bCs w:val="0"/>
          <w:sz w:val="20"/>
          <w:szCs w:val="20"/>
        </w:rPr>
        <w:t xml:space="preserve">GC1310 with their associated </w:t>
      </w:r>
      <w:proofErr w:type="spellStart"/>
      <w:proofErr w:type="gramStart"/>
      <w:r w:rsidRPr="00275F80">
        <w:rPr>
          <w:rFonts w:ascii="Arial" w:hAnsi="Arial" w:cs="Arial"/>
          <w:b w:val="0"/>
          <w:bCs w:val="0"/>
          <w:sz w:val="20"/>
          <w:szCs w:val="20"/>
        </w:rPr>
        <w:t>genes.</w:t>
      </w:r>
      <w:r w:rsidRPr="00275F80">
        <w:rPr>
          <w:rFonts w:ascii="Arial" w:hAnsi="Arial" w:cs="Arial"/>
          <w:sz w:val="20"/>
          <w:szCs w:val="20"/>
        </w:rPr>
        <w:t>Table</w:t>
      </w:r>
      <w:proofErr w:type="spellEnd"/>
      <w:proofErr w:type="gramEnd"/>
      <w:r w:rsidRPr="00275F80">
        <w:rPr>
          <w:rFonts w:ascii="Arial" w:hAnsi="Arial" w:cs="Arial"/>
          <w:sz w:val="20"/>
          <w:szCs w:val="20"/>
        </w:rPr>
        <w:t xml:space="preserve"> S2. </w:t>
      </w:r>
      <w:r w:rsidRPr="00275F80">
        <w:rPr>
          <w:rFonts w:ascii="Arial" w:hAnsi="Arial" w:cs="Arial"/>
          <w:b w:val="0"/>
          <w:bCs w:val="0"/>
          <w:sz w:val="20"/>
          <w:szCs w:val="20"/>
        </w:rPr>
        <w:t xml:space="preserve">Details of isolated </w:t>
      </w:r>
      <w:r w:rsidRPr="00275F80">
        <w:rPr>
          <w:rFonts w:ascii="Arial" w:hAnsi="Arial" w:cs="Arial"/>
          <w:b w:val="0"/>
          <w:bCs w:val="0"/>
          <w:i/>
          <w:iCs/>
          <w:sz w:val="20"/>
          <w:szCs w:val="20"/>
        </w:rPr>
        <w:t xml:space="preserve">Ax </w:t>
      </w:r>
      <w:r w:rsidRPr="00275F80">
        <w:rPr>
          <w:rFonts w:ascii="Arial" w:hAnsi="Arial" w:cs="Arial"/>
          <w:b w:val="0"/>
          <w:bCs w:val="0"/>
          <w:sz w:val="20"/>
          <w:szCs w:val="20"/>
        </w:rPr>
        <w:t>strains obtained from patients with cystic fibrosis.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1684"/>
        <w:gridCol w:w="1597"/>
        <w:gridCol w:w="2628"/>
        <w:gridCol w:w="2515"/>
      </w:tblGrid>
      <w:tr w:rsidR="00F83A06" w:rsidRPr="00275F80" w14:paraId="06C7EF1D" w14:textId="77777777" w:rsidTr="00EC0BD3">
        <w:trPr>
          <w:trHeight w:val="285"/>
        </w:trPr>
        <w:tc>
          <w:tcPr>
            <w:tcW w:w="1127" w:type="dxa"/>
            <w:shd w:val="clear" w:color="auto" w:fill="auto"/>
            <w:noWrap/>
            <w:vAlign w:val="center"/>
            <w:hideMark/>
          </w:tcPr>
          <w:p w14:paraId="022CF1D6" w14:textId="6F915954"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Re</w:t>
            </w:r>
            <w:r w:rsidR="0030568F">
              <w:rPr>
                <w:rFonts w:ascii="Arial" w:hAnsi="Arial" w:cs="Arial"/>
                <w:b/>
                <w:bCs/>
                <w:color w:val="000000"/>
                <w:sz w:val="20"/>
              </w:rPr>
              <w:t>a</w:t>
            </w:r>
            <w:r w:rsidRPr="00275F80">
              <w:rPr>
                <w:rFonts w:ascii="Arial" w:hAnsi="Arial" w:cs="Arial"/>
                <w:b/>
                <w:bCs/>
                <w:color w:val="000000"/>
                <w:sz w:val="20"/>
              </w:rPr>
              <w:t>ction ID in model</w:t>
            </w:r>
          </w:p>
        </w:tc>
        <w:tc>
          <w:tcPr>
            <w:tcW w:w="1483" w:type="dxa"/>
            <w:shd w:val="clear" w:color="auto" w:fill="auto"/>
            <w:noWrap/>
            <w:vAlign w:val="center"/>
            <w:hideMark/>
          </w:tcPr>
          <w:p w14:paraId="1146585D"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Reaction name</w:t>
            </w:r>
          </w:p>
        </w:tc>
        <w:tc>
          <w:tcPr>
            <w:tcW w:w="1597" w:type="dxa"/>
            <w:shd w:val="clear" w:color="auto" w:fill="auto"/>
            <w:noWrap/>
            <w:vAlign w:val="center"/>
            <w:hideMark/>
          </w:tcPr>
          <w:p w14:paraId="52B8B56A"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Reaction abbreviation in Figure 4</w:t>
            </w:r>
          </w:p>
        </w:tc>
        <w:tc>
          <w:tcPr>
            <w:tcW w:w="2628" w:type="dxa"/>
            <w:shd w:val="clear" w:color="auto" w:fill="auto"/>
            <w:noWrap/>
            <w:vAlign w:val="center"/>
            <w:hideMark/>
          </w:tcPr>
          <w:p w14:paraId="131474E2"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Reaction formula</w:t>
            </w:r>
          </w:p>
        </w:tc>
        <w:tc>
          <w:tcPr>
            <w:tcW w:w="2515" w:type="dxa"/>
            <w:shd w:val="clear" w:color="auto" w:fill="auto"/>
            <w:noWrap/>
            <w:vAlign w:val="center"/>
            <w:hideMark/>
          </w:tcPr>
          <w:p w14:paraId="12D4BF9F"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Gene</w:t>
            </w:r>
          </w:p>
        </w:tc>
      </w:tr>
      <w:tr w:rsidR="00F83A06" w:rsidRPr="00275F80" w14:paraId="51A0423E" w14:textId="77777777" w:rsidTr="00EC0BD3">
        <w:trPr>
          <w:trHeight w:val="285"/>
        </w:trPr>
        <w:tc>
          <w:tcPr>
            <w:tcW w:w="1127" w:type="dxa"/>
            <w:shd w:val="clear" w:color="auto" w:fill="auto"/>
            <w:noWrap/>
            <w:vAlign w:val="center"/>
            <w:hideMark/>
          </w:tcPr>
          <w:p w14:paraId="3F2CCF6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AMO</w:t>
            </w:r>
          </w:p>
        </w:tc>
        <w:tc>
          <w:tcPr>
            <w:tcW w:w="1483" w:type="dxa"/>
            <w:shd w:val="clear" w:color="auto" w:fill="auto"/>
            <w:noWrap/>
            <w:vAlign w:val="center"/>
            <w:hideMark/>
          </w:tcPr>
          <w:p w14:paraId="351E62A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Ammonia monooxygenase</w:t>
            </w:r>
          </w:p>
        </w:tc>
        <w:tc>
          <w:tcPr>
            <w:tcW w:w="1597" w:type="dxa"/>
            <w:shd w:val="clear" w:color="auto" w:fill="auto"/>
            <w:noWrap/>
            <w:vAlign w:val="center"/>
            <w:hideMark/>
          </w:tcPr>
          <w:p w14:paraId="69BBD3F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AMO</w:t>
            </w:r>
          </w:p>
        </w:tc>
        <w:tc>
          <w:tcPr>
            <w:tcW w:w="2628" w:type="dxa"/>
            <w:shd w:val="clear" w:color="auto" w:fill="auto"/>
            <w:noWrap/>
            <w:vAlign w:val="center"/>
            <w:hideMark/>
          </w:tcPr>
          <w:p w14:paraId="65BFC47B" w14:textId="77777777" w:rsidR="00F83A06" w:rsidRPr="00275F80" w:rsidRDefault="00F83A06" w:rsidP="006D6457">
            <w:pPr>
              <w:spacing w:line="480" w:lineRule="auto"/>
              <w:rPr>
                <w:rFonts w:ascii="Arial" w:hAnsi="Arial" w:cs="Arial"/>
                <w:color w:val="000000"/>
                <w:sz w:val="20"/>
                <w:lang w:val="es-MX"/>
              </w:rPr>
            </w:pPr>
            <w:r w:rsidRPr="00275F80">
              <w:rPr>
                <w:rFonts w:ascii="Arial" w:hAnsi="Arial" w:cs="Arial"/>
                <w:color w:val="000000"/>
                <w:sz w:val="20"/>
                <w:lang w:val="es-MX"/>
              </w:rPr>
              <w:t xml:space="preserve">2 </w:t>
            </w:r>
            <w:proofErr w:type="spellStart"/>
            <w:r w:rsidRPr="00275F80">
              <w:rPr>
                <w:rFonts w:ascii="Arial" w:hAnsi="Arial" w:cs="Arial"/>
                <w:color w:val="000000"/>
                <w:sz w:val="20"/>
                <w:lang w:val="es-MX"/>
              </w:rPr>
              <w:t>h_c</w:t>
            </w:r>
            <w:proofErr w:type="spellEnd"/>
            <w:r w:rsidRPr="00275F80">
              <w:rPr>
                <w:rFonts w:ascii="Arial" w:hAnsi="Arial" w:cs="Arial"/>
                <w:color w:val="000000"/>
                <w:sz w:val="20"/>
                <w:lang w:val="es-MX"/>
              </w:rPr>
              <w:t xml:space="preserve"> + nh4_p + q8h2_c + o2_</w:t>
            </w:r>
            <w:proofErr w:type="gramStart"/>
            <w:r w:rsidRPr="00275F80">
              <w:rPr>
                <w:rFonts w:ascii="Arial" w:hAnsi="Arial" w:cs="Arial"/>
                <w:color w:val="000000"/>
                <w:sz w:val="20"/>
                <w:lang w:val="es-MX"/>
              </w:rPr>
              <w:t>p  -</w:t>
            </w:r>
            <w:proofErr w:type="gramEnd"/>
            <w:r w:rsidRPr="00275F80">
              <w:rPr>
                <w:rFonts w:ascii="Arial" w:hAnsi="Arial" w:cs="Arial"/>
                <w:color w:val="000000"/>
                <w:sz w:val="20"/>
                <w:lang w:val="es-MX"/>
              </w:rPr>
              <w:t xml:space="preserve">&gt; h2o_p + 3 </w:t>
            </w:r>
            <w:proofErr w:type="spellStart"/>
            <w:r w:rsidRPr="00275F80">
              <w:rPr>
                <w:rFonts w:ascii="Arial" w:hAnsi="Arial" w:cs="Arial"/>
                <w:color w:val="000000"/>
                <w:sz w:val="20"/>
                <w:lang w:val="es-MX"/>
              </w:rPr>
              <w:t>h_p</w:t>
            </w:r>
            <w:proofErr w:type="spellEnd"/>
            <w:r w:rsidRPr="00275F80">
              <w:rPr>
                <w:rFonts w:ascii="Arial" w:hAnsi="Arial" w:cs="Arial"/>
                <w:color w:val="000000"/>
                <w:sz w:val="20"/>
                <w:lang w:val="es-MX"/>
              </w:rPr>
              <w:t xml:space="preserve"> + q8_c + </w:t>
            </w:r>
            <w:proofErr w:type="spellStart"/>
            <w:r w:rsidRPr="00275F80">
              <w:rPr>
                <w:rFonts w:ascii="Arial" w:hAnsi="Arial" w:cs="Arial"/>
                <w:color w:val="000000"/>
                <w:sz w:val="20"/>
                <w:lang w:val="es-MX"/>
              </w:rPr>
              <w:t>ham_p</w:t>
            </w:r>
            <w:proofErr w:type="spellEnd"/>
          </w:p>
        </w:tc>
        <w:tc>
          <w:tcPr>
            <w:tcW w:w="2515" w:type="dxa"/>
            <w:shd w:val="clear" w:color="auto" w:fill="auto"/>
            <w:noWrap/>
            <w:vAlign w:val="center"/>
            <w:hideMark/>
          </w:tcPr>
          <w:p w14:paraId="08E1986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222.273.peg.6062</w:t>
            </w:r>
          </w:p>
        </w:tc>
      </w:tr>
      <w:tr w:rsidR="00F83A06" w:rsidRPr="00275F80" w14:paraId="75A405CA" w14:textId="77777777" w:rsidTr="00EC0BD3">
        <w:trPr>
          <w:trHeight w:val="285"/>
        </w:trPr>
        <w:tc>
          <w:tcPr>
            <w:tcW w:w="1127" w:type="dxa"/>
            <w:shd w:val="clear" w:color="auto" w:fill="auto"/>
            <w:noWrap/>
            <w:vAlign w:val="center"/>
            <w:hideMark/>
          </w:tcPr>
          <w:p w14:paraId="0C1A1F6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PYROXIMA</w:t>
            </w:r>
          </w:p>
        </w:tc>
        <w:tc>
          <w:tcPr>
            <w:tcW w:w="1483" w:type="dxa"/>
            <w:shd w:val="clear" w:color="auto" w:fill="auto"/>
            <w:noWrap/>
            <w:vAlign w:val="center"/>
            <w:hideMark/>
          </w:tcPr>
          <w:p w14:paraId="6133E5A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 xml:space="preserve">Pyruvate </w:t>
            </w:r>
            <w:proofErr w:type="spellStart"/>
            <w:r w:rsidRPr="00275F80">
              <w:rPr>
                <w:rFonts w:ascii="Arial" w:hAnsi="Arial" w:cs="Arial"/>
                <w:color w:val="000000"/>
                <w:sz w:val="20"/>
              </w:rPr>
              <w:t>oximation</w:t>
            </w:r>
            <w:proofErr w:type="spellEnd"/>
          </w:p>
        </w:tc>
        <w:tc>
          <w:tcPr>
            <w:tcW w:w="1597" w:type="dxa"/>
            <w:shd w:val="clear" w:color="auto" w:fill="auto"/>
            <w:noWrap/>
            <w:vAlign w:val="center"/>
            <w:hideMark/>
          </w:tcPr>
          <w:p w14:paraId="1EFDD75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PYROXIMA</w:t>
            </w:r>
          </w:p>
        </w:tc>
        <w:tc>
          <w:tcPr>
            <w:tcW w:w="2628" w:type="dxa"/>
            <w:shd w:val="clear" w:color="auto" w:fill="auto"/>
            <w:noWrap/>
            <w:vAlign w:val="center"/>
            <w:hideMark/>
          </w:tcPr>
          <w:p w14:paraId="0B3BDE42" w14:textId="77777777" w:rsidR="00F83A06" w:rsidRPr="00275F80" w:rsidRDefault="00F83A06" w:rsidP="006D6457">
            <w:pPr>
              <w:spacing w:line="480" w:lineRule="auto"/>
              <w:rPr>
                <w:rFonts w:ascii="Arial" w:hAnsi="Arial" w:cs="Arial"/>
                <w:color w:val="000000"/>
                <w:sz w:val="20"/>
              </w:rPr>
            </w:pPr>
            <w:proofErr w:type="spellStart"/>
            <w:r w:rsidRPr="00275F80">
              <w:rPr>
                <w:rFonts w:ascii="Arial" w:hAnsi="Arial" w:cs="Arial"/>
                <w:color w:val="000000"/>
                <w:sz w:val="20"/>
              </w:rPr>
              <w:t>pyr_p</w:t>
            </w:r>
            <w:proofErr w:type="spellEnd"/>
            <w:r w:rsidRPr="00275F80">
              <w:rPr>
                <w:rFonts w:ascii="Arial" w:hAnsi="Arial" w:cs="Arial"/>
                <w:color w:val="000000"/>
                <w:sz w:val="20"/>
              </w:rPr>
              <w:t xml:space="preserve"> + </w:t>
            </w:r>
            <w:proofErr w:type="spellStart"/>
            <w:r w:rsidRPr="00275F80">
              <w:rPr>
                <w:rFonts w:ascii="Arial" w:hAnsi="Arial" w:cs="Arial"/>
                <w:color w:val="000000"/>
                <w:sz w:val="20"/>
              </w:rPr>
              <w:t>h_p</w:t>
            </w:r>
            <w:proofErr w:type="spellEnd"/>
            <w:r w:rsidRPr="00275F80">
              <w:rPr>
                <w:rFonts w:ascii="Arial" w:hAnsi="Arial" w:cs="Arial"/>
                <w:color w:val="000000"/>
                <w:sz w:val="20"/>
              </w:rPr>
              <w:t xml:space="preserve"> + </w:t>
            </w:r>
            <w:proofErr w:type="spellStart"/>
            <w:r w:rsidRPr="00275F80">
              <w:rPr>
                <w:rFonts w:ascii="Arial" w:hAnsi="Arial" w:cs="Arial"/>
                <w:color w:val="000000"/>
                <w:sz w:val="20"/>
              </w:rPr>
              <w:t>ham_</w:t>
            </w:r>
            <w:proofErr w:type="gramStart"/>
            <w:r w:rsidRPr="00275F80">
              <w:rPr>
                <w:rFonts w:ascii="Arial" w:hAnsi="Arial" w:cs="Arial"/>
                <w:color w:val="000000"/>
                <w:sz w:val="20"/>
              </w:rPr>
              <w:t>p</w:t>
            </w:r>
            <w:proofErr w:type="spellEnd"/>
            <w:r w:rsidRPr="00275F80">
              <w:rPr>
                <w:rFonts w:ascii="Arial" w:hAnsi="Arial" w:cs="Arial"/>
                <w:color w:val="000000"/>
                <w:sz w:val="20"/>
              </w:rPr>
              <w:t xml:space="preserve">  -</w:t>
            </w:r>
            <w:proofErr w:type="gramEnd"/>
            <w:r w:rsidRPr="00275F80">
              <w:rPr>
                <w:rFonts w:ascii="Arial" w:hAnsi="Arial" w:cs="Arial"/>
                <w:color w:val="000000"/>
                <w:sz w:val="20"/>
              </w:rPr>
              <w:t xml:space="preserve">&gt; h2o_p + </w:t>
            </w:r>
            <w:proofErr w:type="spellStart"/>
            <w:r w:rsidRPr="00275F80">
              <w:rPr>
                <w:rFonts w:ascii="Arial" w:hAnsi="Arial" w:cs="Arial"/>
                <w:color w:val="000000"/>
                <w:sz w:val="20"/>
              </w:rPr>
              <w:t>pyrox_p</w:t>
            </w:r>
            <w:proofErr w:type="spellEnd"/>
          </w:p>
        </w:tc>
        <w:tc>
          <w:tcPr>
            <w:tcW w:w="2515" w:type="dxa"/>
            <w:shd w:val="clear" w:color="auto" w:fill="auto"/>
            <w:noWrap/>
            <w:vAlign w:val="center"/>
            <w:hideMark/>
          </w:tcPr>
          <w:p w14:paraId="12CA4AC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Spontaneous</w:t>
            </w:r>
          </w:p>
        </w:tc>
      </w:tr>
      <w:tr w:rsidR="00F83A06" w:rsidRPr="00275F80" w14:paraId="5305179A" w14:textId="77777777" w:rsidTr="00EC0BD3">
        <w:trPr>
          <w:trHeight w:val="285"/>
        </w:trPr>
        <w:tc>
          <w:tcPr>
            <w:tcW w:w="1127" w:type="dxa"/>
            <w:shd w:val="clear" w:color="auto" w:fill="auto"/>
            <w:noWrap/>
            <w:vAlign w:val="center"/>
            <w:hideMark/>
          </w:tcPr>
          <w:p w14:paraId="307F117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POD</w:t>
            </w:r>
          </w:p>
        </w:tc>
        <w:tc>
          <w:tcPr>
            <w:tcW w:w="1483" w:type="dxa"/>
            <w:shd w:val="clear" w:color="auto" w:fill="auto"/>
            <w:noWrap/>
            <w:vAlign w:val="center"/>
            <w:hideMark/>
          </w:tcPr>
          <w:p w14:paraId="15CED30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Pyruvic oxime dioxygenase</w:t>
            </w:r>
          </w:p>
        </w:tc>
        <w:tc>
          <w:tcPr>
            <w:tcW w:w="1597" w:type="dxa"/>
            <w:shd w:val="clear" w:color="auto" w:fill="auto"/>
            <w:noWrap/>
            <w:vAlign w:val="center"/>
            <w:hideMark/>
          </w:tcPr>
          <w:p w14:paraId="3A82C5F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POD</w:t>
            </w:r>
          </w:p>
        </w:tc>
        <w:tc>
          <w:tcPr>
            <w:tcW w:w="2628" w:type="dxa"/>
            <w:shd w:val="clear" w:color="auto" w:fill="auto"/>
            <w:noWrap/>
            <w:vAlign w:val="center"/>
            <w:hideMark/>
          </w:tcPr>
          <w:p w14:paraId="45F0F8A2" w14:textId="77777777" w:rsidR="00F83A06" w:rsidRPr="00275F80" w:rsidRDefault="00F83A06" w:rsidP="006D6457">
            <w:pPr>
              <w:spacing w:line="480" w:lineRule="auto"/>
              <w:rPr>
                <w:rFonts w:ascii="Arial" w:hAnsi="Arial" w:cs="Arial"/>
                <w:color w:val="000000"/>
                <w:sz w:val="20"/>
                <w:lang w:val="es-MX"/>
              </w:rPr>
            </w:pPr>
            <w:r w:rsidRPr="00275F80">
              <w:rPr>
                <w:rFonts w:ascii="Arial" w:hAnsi="Arial" w:cs="Arial"/>
                <w:color w:val="000000"/>
                <w:sz w:val="20"/>
                <w:lang w:val="es-MX"/>
              </w:rPr>
              <w:t xml:space="preserve">o2_p + </w:t>
            </w:r>
            <w:proofErr w:type="spellStart"/>
            <w:r w:rsidRPr="00275F80">
              <w:rPr>
                <w:rFonts w:ascii="Arial" w:hAnsi="Arial" w:cs="Arial"/>
                <w:color w:val="000000"/>
                <w:sz w:val="20"/>
                <w:lang w:val="es-MX"/>
              </w:rPr>
              <w:t>pyrox_</w:t>
            </w:r>
            <w:proofErr w:type="gramStart"/>
            <w:r w:rsidRPr="00275F80">
              <w:rPr>
                <w:rFonts w:ascii="Arial" w:hAnsi="Arial" w:cs="Arial"/>
                <w:color w:val="000000"/>
                <w:sz w:val="20"/>
                <w:lang w:val="es-MX"/>
              </w:rPr>
              <w:t>p</w:t>
            </w:r>
            <w:proofErr w:type="spellEnd"/>
            <w:r w:rsidRPr="00275F80">
              <w:rPr>
                <w:rFonts w:ascii="Arial" w:hAnsi="Arial" w:cs="Arial"/>
                <w:color w:val="000000"/>
                <w:sz w:val="20"/>
                <w:lang w:val="es-MX"/>
              </w:rPr>
              <w:t xml:space="preserve">  -</w:t>
            </w:r>
            <w:proofErr w:type="gramEnd"/>
            <w:r w:rsidRPr="00275F80">
              <w:rPr>
                <w:rFonts w:ascii="Arial" w:hAnsi="Arial" w:cs="Arial"/>
                <w:color w:val="000000"/>
                <w:sz w:val="20"/>
                <w:lang w:val="es-MX"/>
              </w:rPr>
              <w:t xml:space="preserve">&gt; </w:t>
            </w:r>
            <w:proofErr w:type="spellStart"/>
            <w:r w:rsidRPr="00275F80">
              <w:rPr>
                <w:rFonts w:ascii="Arial" w:hAnsi="Arial" w:cs="Arial"/>
                <w:color w:val="000000"/>
                <w:sz w:val="20"/>
                <w:lang w:val="es-MX"/>
              </w:rPr>
              <w:t>pyr_p</w:t>
            </w:r>
            <w:proofErr w:type="spellEnd"/>
            <w:r w:rsidRPr="00275F80">
              <w:rPr>
                <w:rFonts w:ascii="Arial" w:hAnsi="Arial" w:cs="Arial"/>
                <w:color w:val="000000"/>
                <w:sz w:val="20"/>
                <w:lang w:val="es-MX"/>
              </w:rPr>
              <w:t xml:space="preserve"> + 2 </w:t>
            </w:r>
            <w:proofErr w:type="spellStart"/>
            <w:r w:rsidRPr="00275F80">
              <w:rPr>
                <w:rFonts w:ascii="Arial" w:hAnsi="Arial" w:cs="Arial"/>
                <w:color w:val="000000"/>
                <w:sz w:val="20"/>
                <w:lang w:val="es-MX"/>
              </w:rPr>
              <w:t>h_p</w:t>
            </w:r>
            <w:proofErr w:type="spellEnd"/>
            <w:r w:rsidRPr="00275F80">
              <w:rPr>
                <w:rFonts w:ascii="Arial" w:hAnsi="Arial" w:cs="Arial"/>
                <w:color w:val="000000"/>
                <w:sz w:val="20"/>
                <w:lang w:val="es-MX"/>
              </w:rPr>
              <w:t xml:space="preserve"> + no2_p</w:t>
            </w:r>
          </w:p>
        </w:tc>
        <w:tc>
          <w:tcPr>
            <w:tcW w:w="2515" w:type="dxa"/>
            <w:shd w:val="clear" w:color="auto" w:fill="auto"/>
            <w:noWrap/>
            <w:vAlign w:val="center"/>
            <w:hideMark/>
          </w:tcPr>
          <w:p w14:paraId="487F344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222.273.peg.2420</w:t>
            </w:r>
          </w:p>
        </w:tc>
      </w:tr>
      <w:tr w:rsidR="00F83A06" w:rsidRPr="00275F80" w14:paraId="73C47855" w14:textId="77777777" w:rsidTr="00EC0BD3">
        <w:trPr>
          <w:trHeight w:val="285"/>
        </w:trPr>
        <w:tc>
          <w:tcPr>
            <w:tcW w:w="1127" w:type="dxa"/>
            <w:shd w:val="clear" w:color="auto" w:fill="auto"/>
            <w:noWrap/>
            <w:vAlign w:val="center"/>
            <w:hideMark/>
          </w:tcPr>
          <w:p w14:paraId="0567554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NO3R1bpp</w:t>
            </w:r>
          </w:p>
        </w:tc>
        <w:tc>
          <w:tcPr>
            <w:tcW w:w="1483" w:type="dxa"/>
            <w:shd w:val="clear" w:color="auto" w:fill="auto"/>
            <w:noWrap/>
            <w:vAlign w:val="center"/>
            <w:hideMark/>
          </w:tcPr>
          <w:p w14:paraId="6840231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Respiratory nitrate reductase</w:t>
            </w:r>
          </w:p>
        </w:tc>
        <w:tc>
          <w:tcPr>
            <w:tcW w:w="1597" w:type="dxa"/>
            <w:shd w:val="clear" w:color="auto" w:fill="auto"/>
            <w:noWrap/>
            <w:vAlign w:val="center"/>
            <w:hideMark/>
          </w:tcPr>
          <w:p w14:paraId="7F8F2B6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NAP_ABDE</w:t>
            </w:r>
          </w:p>
        </w:tc>
        <w:tc>
          <w:tcPr>
            <w:tcW w:w="2628" w:type="dxa"/>
            <w:shd w:val="clear" w:color="auto" w:fill="auto"/>
            <w:noWrap/>
            <w:vAlign w:val="center"/>
            <w:hideMark/>
          </w:tcPr>
          <w:p w14:paraId="32820164" w14:textId="77777777" w:rsidR="00F83A06" w:rsidRPr="00275F80" w:rsidRDefault="00F83A06" w:rsidP="006D6457">
            <w:pPr>
              <w:spacing w:line="480" w:lineRule="auto"/>
              <w:rPr>
                <w:rFonts w:ascii="Arial" w:hAnsi="Arial" w:cs="Arial"/>
                <w:color w:val="000000"/>
                <w:sz w:val="20"/>
                <w:lang w:val="es-MX"/>
              </w:rPr>
            </w:pPr>
            <w:r w:rsidRPr="00275F80">
              <w:rPr>
                <w:rFonts w:ascii="Arial" w:hAnsi="Arial" w:cs="Arial"/>
                <w:color w:val="000000"/>
                <w:sz w:val="20"/>
                <w:lang w:val="es-MX"/>
              </w:rPr>
              <w:t>h2o_p + no2_p + q8_</w:t>
            </w:r>
            <w:proofErr w:type="gramStart"/>
            <w:r w:rsidRPr="00275F80">
              <w:rPr>
                <w:rFonts w:ascii="Arial" w:hAnsi="Arial" w:cs="Arial"/>
                <w:color w:val="000000"/>
                <w:sz w:val="20"/>
                <w:lang w:val="es-MX"/>
              </w:rPr>
              <w:t>c  &lt;</w:t>
            </w:r>
            <w:proofErr w:type="gramEnd"/>
            <w:r w:rsidRPr="00275F80">
              <w:rPr>
                <w:rFonts w:ascii="Arial" w:hAnsi="Arial" w:cs="Arial"/>
                <w:color w:val="000000"/>
                <w:sz w:val="20"/>
                <w:lang w:val="es-MX"/>
              </w:rPr>
              <w:t>=&gt; q8h2_c + no3_p</w:t>
            </w:r>
          </w:p>
        </w:tc>
        <w:tc>
          <w:tcPr>
            <w:tcW w:w="2515" w:type="dxa"/>
            <w:shd w:val="clear" w:color="auto" w:fill="auto"/>
            <w:noWrap/>
            <w:vAlign w:val="center"/>
            <w:hideMark/>
          </w:tcPr>
          <w:p w14:paraId="407C187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222.273.peg.2781 and 222.273.peg.2782 and 222.273.peg.2783 and 222.273.peg.2784</w:t>
            </w:r>
          </w:p>
        </w:tc>
      </w:tr>
      <w:tr w:rsidR="00F83A06" w:rsidRPr="00275F80" w14:paraId="153F03AE" w14:textId="77777777" w:rsidTr="00EC0BD3">
        <w:trPr>
          <w:trHeight w:val="285"/>
        </w:trPr>
        <w:tc>
          <w:tcPr>
            <w:tcW w:w="1127" w:type="dxa"/>
            <w:shd w:val="clear" w:color="auto" w:fill="auto"/>
            <w:noWrap/>
            <w:vAlign w:val="center"/>
            <w:hideMark/>
          </w:tcPr>
          <w:p w14:paraId="5349378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NADH16pp</w:t>
            </w:r>
          </w:p>
        </w:tc>
        <w:tc>
          <w:tcPr>
            <w:tcW w:w="1483" w:type="dxa"/>
            <w:shd w:val="clear" w:color="auto" w:fill="auto"/>
            <w:noWrap/>
            <w:vAlign w:val="center"/>
            <w:hideMark/>
          </w:tcPr>
          <w:p w14:paraId="3AE54B5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NADH dehydrogenase</w:t>
            </w:r>
          </w:p>
        </w:tc>
        <w:tc>
          <w:tcPr>
            <w:tcW w:w="1597" w:type="dxa"/>
            <w:shd w:val="clear" w:color="auto" w:fill="auto"/>
            <w:noWrap/>
            <w:vAlign w:val="center"/>
            <w:hideMark/>
          </w:tcPr>
          <w:p w14:paraId="0987C25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nadh16pp</w:t>
            </w:r>
          </w:p>
        </w:tc>
        <w:tc>
          <w:tcPr>
            <w:tcW w:w="2628" w:type="dxa"/>
            <w:shd w:val="clear" w:color="auto" w:fill="auto"/>
            <w:noWrap/>
            <w:vAlign w:val="center"/>
            <w:hideMark/>
          </w:tcPr>
          <w:p w14:paraId="3836470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 xml:space="preserve">4 </w:t>
            </w:r>
            <w:proofErr w:type="spellStart"/>
            <w:r w:rsidRPr="00275F80">
              <w:rPr>
                <w:rFonts w:ascii="Arial" w:hAnsi="Arial" w:cs="Arial"/>
                <w:color w:val="000000"/>
                <w:sz w:val="20"/>
              </w:rPr>
              <w:t>h_c</w:t>
            </w:r>
            <w:proofErr w:type="spellEnd"/>
            <w:r w:rsidRPr="00275F80">
              <w:rPr>
                <w:rFonts w:ascii="Arial" w:hAnsi="Arial" w:cs="Arial"/>
                <w:color w:val="000000"/>
                <w:sz w:val="20"/>
              </w:rPr>
              <w:t xml:space="preserve"> + q8_c + </w:t>
            </w:r>
            <w:proofErr w:type="spellStart"/>
            <w:r w:rsidRPr="00275F80">
              <w:rPr>
                <w:rFonts w:ascii="Arial" w:hAnsi="Arial" w:cs="Arial"/>
                <w:color w:val="000000"/>
                <w:sz w:val="20"/>
              </w:rPr>
              <w:t>nadh_</w:t>
            </w:r>
            <w:proofErr w:type="gramStart"/>
            <w:r w:rsidRPr="00275F80">
              <w:rPr>
                <w:rFonts w:ascii="Arial" w:hAnsi="Arial" w:cs="Arial"/>
                <w:color w:val="000000"/>
                <w:sz w:val="20"/>
              </w:rPr>
              <w:t>c</w:t>
            </w:r>
            <w:proofErr w:type="spellEnd"/>
            <w:r w:rsidRPr="00275F80">
              <w:rPr>
                <w:rFonts w:ascii="Arial" w:hAnsi="Arial" w:cs="Arial"/>
                <w:color w:val="000000"/>
                <w:sz w:val="20"/>
              </w:rPr>
              <w:t xml:space="preserve">  -</w:t>
            </w:r>
            <w:proofErr w:type="gramEnd"/>
            <w:r w:rsidRPr="00275F80">
              <w:rPr>
                <w:rFonts w:ascii="Arial" w:hAnsi="Arial" w:cs="Arial"/>
                <w:color w:val="000000"/>
                <w:sz w:val="20"/>
              </w:rPr>
              <w:t xml:space="preserve">&gt; 3 </w:t>
            </w:r>
            <w:proofErr w:type="spellStart"/>
            <w:r w:rsidRPr="00275F80">
              <w:rPr>
                <w:rFonts w:ascii="Arial" w:hAnsi="Arial" w:cs="Arial"/>
                <w:color w:val="000000"/>
                <w:sz w:val="20"/>
              </w:rPr>
              <w:t>h_p</w:t>
            </w:r>
            <w:proofErr w:type="spellEnd"/>
            <w:r w:rsidRPr="00275F80">
              <w:rPr>
                <w:rFonts w:ascii="Arial" w:hAnsi="Arial" w:cs="Arial"/>
                <w:color w:val="000000"/>
                <w:sz w:val="20"/>
              </w:rPr>
              <w:t xml:space="preserve"> + </w:t>
            </w:r>
            <w:proofErr w:type="spellStart"/>
            <w:r w:rsidRPr="00275F80">
              <w:rPr>
                <w:rFonts w:ascii="Arial" w:hAnsi="Arial" w:cs="Arial"/>
                <w:color w:val="000000"/>
                <w:sz w:val="20"/>
              </w:rPr>
              <w:t>nad_c</w:t>
            </w:r>
            <w:proofErr w:type="spellEnd"/>
            <w:r w:rsidRPr="00275F80">
              <w:rPr>
                <w:rFonts w:ascii="Arial" w:hAnsi="Arial" w:cs="Arial"/>
                <w:color w:val="000000"/>
                <w:sz w:val="20"/>
              </w:rPr>
              <w:t xml:space="preserve"> + q8h2_c</w:t>
            </w:r>
          </w:p>
        </w:tc>
        <w:tc>
          <w:tcPr>
            <w:tcW w:w="2515" w:type="dxa"/>
            <w:shd w:val="clear" w:color="auto" w:fill="auto"/>
            <w:noWrap/>
            <w:vAlign w:val="center"/>
            <w:hideMark/>
          </w:tcPr>
          <w:p w14:paraId="154F10A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222.273.peg.1441</w:t>
            </w:r>
          </w:p>
        </w:tc>
      </w:tr>
      <w:tr w:rsidR="00F83A06" w:rsidRPr="00275F80" w14:paraId="25DF1064" w14:textId="77777777" w:rsidTr="00EC0BD3">
        <w:trPr>
          <w:trHeight w:val="285"/>
        </w:trPr>
        <w:tc>
          <w:tcPr>
            <w:tcW w:w="1127" w:type="dxa"/>
            <w:shd w:val="clear" w:color="auto" w:fill="auto"/>
            <w:noWrap/>
            <w:vAlign w:val="center"/>
            <w:hideMark/>
          </w:tcPr>
          <w:p w14:paraId="2D7CED59" w14:textId="77777777" w:rsidR="00F83A06" w:rsidRPr="00275F80" w:rsidRDefault="00F83A06" w:rsidP="006D6457">
            <w:pPr>
              <w:spacing w:line="480" w:lineRule="auto"/>
              <w:rPr>
                <w:rFonts w:ascii="Arial" w:hAnsi="Arial" w:cs="Arial"/>
                <w:color w:val="000000"/>
                <w:sz w:val="20"/>
              </w:rPr>
            </w:pPr>
            <w:proofErr w:type="spellStart"/>
            <w:r w:rsidRPr="00275F80">
              <w:rPr>
                <w:rFonts w:ascii="Arial" w:hAnsi="Arial" w:cs="Arial"/>
                <w:color w:val="000000"/>
                <w:sz w:val="20"/>
              </w:rPr>
              <w:t>SUCDi</w:t>
            </w:r>
            <w:proofErr w:type="spellEnd"/>
          </w:p>
        </w:tc>
        <w:tc>
          <w:tcPr>
            <w:tcW w:w="1483" w:type="dxa"/>
            <w:shd w:val="clear" w:color="auto" w:fill="auto"/>
            <w:noWrap/>
            <w:vAlign w:val="center"/>
            <w:hideMark/>
          </w:tcPr>
          <w:p w14:paraId="2CAA3F9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Succinate dehydrogenase</w:t>
            </w:r>
          </w:p>
        </w:tc>
        <w:tc>
          <w:tcPr>
            <w:tcW w:w="1597" w:type="dxa"/>
            <w:shd w:val="clear" w:color="auto" w:fill="auto"/>
            <w:noWrap/>
            <w:vAlign w:val="center"/>
            <w:hideMark/>
          </w:tcPr>
          <w:p w14:paraId="1A55FF36" w14:textId="77777777" w:rsidR="00F83A06" w:rsidRPr="00275F80" w:rsidRDefault="00F83A06" w:rsidP="006D6457">
            <w:pPr>
              <w:spacing w:line="480" w:lineRule="auto"/>
              <w:rPr>
                <w:rFonts w:ascii="Arial" w:hAnsi="Arial" w:cs="Arial"/>
                <w:color w:val="000000"/>
                <w:sz w:val="20"/>
              </w:rPr>
            </w:pPr>
            <w:proofErr w:type="spellStart"/>
            <w:r w:rsidRPr="00275F80">
              <w:rPr>
                <w:rFonts w:ascii="Arial" w:hAnsi="Arial" w:cs="Arial"/>
                <w:color w:val="000000"/>
                <w:sz w:val="20"/>
              </w:rPr>
              <w:t>SUCDi</w:t>
            </w:r>
            <w:proofErr w:type="spellEnd"/>
          </w:p>
        </w:tc>
        <w:tc>
          <w:tcPr>
            <w:tcW w:w="2628" w:type="dxa"/>
            <w:shd w:val="clear" w:color="auto" w:fill="auto"/>
            <w:noWrap/>
            <w:vAlign w:val="center"/>
            <w:hideMark/>
          </w:tcPr>
          <w:p w14:paraId="702C8A6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 xml:space="preserve">q8_c + </w:t>
            </w:r>
            <w:proofErr w:type="spellStart"/>
            <w:r w:rsidRPr="00275F80">
              <w:rPr>
                <w:rFonts w:ascii="Arial" w:hAnsi="Arial" w:cs="Arial"/>
                <w:color w:val="000000"/>
                <w:sz w:val="20"/>
              </w:rPr>
              <w:t>succ_</w:t>
            </w:r>
            <w:proofErr w:type="gramStart"/>
            <w:r w:rsidRPr="00275F80">
              <w:rPr>
                <w:rFonts w:ascii="Arial" w:hAnsi="Arial" w:cs="Arial"/>
                <w:color w:val="000000"/>
                <w:sz w:val="20"/>
              </w:rPr>
              <w:t>c</w:t>
            </w:r>
            <w:proofErr w:type="spellEnd"/>
            <w:r w:rsidRPr="00275F80">
              <w:rPr>
                <w:rFonts w:ascii="Arial" w:hAnsi="Arial" w:cs="Arial"/>
                <w:color w:val="000000"/>
                <w:sz w:val="20"/>
              </w:rPr>
              <w:t xml:space="preserve">  -</w:t>
            </w:r>
            <w:proofErr w:type="gramEnd"/>
            <w:r w:rsidRPr="00275F80">
              <w:rPr>
                <w:rFonts w:ascii="Arial" w:hAnsi="Arial" w:cs="Arial"/>
                <w:color w:val="000000"/>
                <w:sz w:val="20"/>
              </w:rPr>
              <w:t xml:space="preserve">&gt; q8h2_c + </w:t>
            </w:r>
            <w:proofErr w:type="spellStart"/>
            <w:r w:rsidRPr="00275F80">
              <w:rPr>
                <w:rFonts w:ascii="Arial" w:hAnsi="Arial" w:cs="Arial"/>
                <w:color w:val="000000"/>
                <w:sz w:val="20"/>
              </w:rPr>
              <w:t>fum_c</w:t>
            </w:r>
            <w:proofErr w:type="spellEnd"/>
          </w:p>
        </w:tc>
        <w:tc>
          <w:tcPr>
            <w:tcW w:w="2515" w:type="dxa"/>
            <w:shd w:val="clear" w:color="auto" w:fill="auto"/>
            <w:noWrap/>
            <w:vAlign w:val="center"/>
            <w:hideMark/>
          </w:tcPr>
          <w:p w14:paraId="77C6EF8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222.273.peg.1484 and 222.273.peg.1485 and 222.273.peg.1482 and 222.273.peg.1483 and 222.273.peg.1486 and 222.273.peg.5623</w:t>
            </w:r>
          </w:p>
        </w:tc>
      </w:tr>
      <w:tr w:rsidR="00F83A06" w:rsidRPr="00275F80" w14:paraId="5BA8DE4C" w14:textId="77777777" w:rsidTr="00EC0BD3">
        <w:trPr>
          <w:trHeight w:val="285"/>
        </w:trPr>
        <w:tc>
          <w:tcPr>
            <w:tcW w:w="1127" w:type="dxa"/>
            <w:shd w:val="clear" w:color="auto" w:fill="auto"/>
            <w:noWrap/>
            <w:vAlign w:val="center"/>
            <w:hideMark/>
          </w:tcPr>
          <w:p w14:paraId="79848EC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bc1com</w:t>
            </w:r>
          </w:p>
        </w:tc>
        <w:tc>
          <w:tcPr>
            <w:tcW w:w="1483" w:type="dxa"/>
            <w:shd w:val="clear" w:color="auto" w:fill="auto"/>
            <w:noWrap/>
            <w:vAlign w:val="center"/>
            <w:hideMark/>
          </w:tcPr>
          <w:p w14:paraId="6D66B9A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Cytochrome bc1 complex III</w:t>
            </w:r>
          </w:p>
        </w:tc>
        <w:tc>
          <w:tcPr>
            <w:tcW w:w="1597" w:type="dxa"/>
            <w:shd w:val="clear" w:color="auto" w:fill="auto"/>
            <w:noWrap/>
            <w:vAlign w:val="center"/>
            <w:hideMark/>
          </w:tcPr>
          <w:p w14:paraId="18ECB5E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bc1com</w:t>
            </w:r>
          </w:p>
        </w:tc>
        <w:tc>
          <w:tcPr>
            <w:tcW w:w="2628" w:type="dxa"/>
            <w:shd w:val="clear" w:color="auto" w:fill="auto"/>
            <w:noWrap/>
            <w:vAlign w:val="center"/>
            <w:hideMark/>
          </w:tcPr>
          <w:p w14:paraId="4C0B12F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 xml:space="preserve">2 </w:t>
            </w:r>
            <w:proofErr w:type="spellStart"/>
            <w:r w:rsidRPr="00275F80">
              <w:rPr>
                <w:rFonts w:ascii="Arial" w:hAnsi="Arial" w:cs="Arial"/>
                <w:color w:val="000000"/>
                <w:sz w:val="20"/>
              </w:rPr>
              <w:t>h_c</w:t>
            </w:r>
            <w:proofErr w:type="spellEnd"/>
            <w:r w:rsidRPr="00275F80">
              <w:rPr>
                <w:rFonts w:ascii="Arial" w:hAnsi="Arial" w:cs="Arial"/>
                <w:color w:val="000000"/>
                <w:sz w:val="20"/>
              </w:rPr>
              <w:t xml:space="preserve"> + q8h2_c + 2 </w:t>
            </w:r>
            <w:proofErr w:type="spellStart"/>
            <w:r w:rsidRPr="00275F80">
              <w:rPr>
                <w:rFonts w:ascii="Arial" w:hAnsi="Arial" w:cs="Arial"/>
                <w:color w:val="000000"/>
                <w:sz w:val="20"/>
              </w:rPr>
              <w:t>cytcoxi_</w:t>
            </w:r>
            <w:proofErr w:type="gramStart"/>
            <w:r w:rsidRPr="00275F80">
              <w:rPr>
                <w:rFonts w:ascii="Arial" w:hAnsi="Arial" w:cs="Arial"/>
                <w:color w:val="000000"/>
                <w:sz w:val="20"/>
              </w:rPr>
              <w:t>p</w:t>
            </w:r>
            <w:proofErr w:type="spellEnd"/>
            <w:r w:rsidRPr="00275F80">
              <w:rPr>
                <w:rFonts w:ascii="Arial" w:hAnsi="Arial" w:cs="Arial"/>
                <w:color w:val="000000"/>
                <w:sz w:val="20"/>
              </w:rPr>
              <w:t xml:space="preserve">  -</w:t>
            </w:r>
            <w:proofErr w:type="gramEnd"/>
            <w:r w:rsidRPr="00275F80">
              <w:rPr>
                <w:rFonts w:ascii="Arial" w:hAnsi="Arial" w:cs="Arial"/>
                <w:color w:val="000000"/>
                <w:sz w:val="20"/>
              </w:rPr>
              <w:t xml:space="preserve">&gt; 4 </w:t>
            </w:r>
            <w:proofErr w:type="spellStart"/>
            <w:r w:rsidRPr="00275F80">
              <w:rPr>
                <w:rFonts w:ascii="Arial" w:hAnsi="Arial" w:cs="Arial"/>
                <w:color w:val="000000"/>
                <w:sz w:val="20"/>
              </w:rPr>
              <w:t>h_p</w:t>
            </w:r>
            <w:proofErr w:type="spellEnd"/>
            <w:r w:rsidRPr="00275F80">
              <w:rPr>
                <w:rFonts w:ascii="Arial" w:hAnsi="Arial" w:cs="Arial"/>
                <w:color w:val="000000"/>
                <w:sz w:val="20"/>
              </w:rPr>
              <w:t xml:space="preserve"> + q8_c + 2 </w:t>
            </w:r>
            <w:proofErr w:type="spellStart"/>
            <w:r w:rsidRPr="00275F80">
              <w:rPr>
                <w:rFonts w:ascii="Arial" w:hAnsi="Arial" w:cs="Arial"/>
                <w:color w:val="000000"/>
                <w:sz w:val="20"/>
              </w:rPr>
              <w:t>cytcred_p</w:t>
            </w:r>
            <w:proofErr w:type="spellEnd"/>
          </w:p>
        </w:tc>
        <w:tc>
          <w:tcPr>
            <w:tcW w:w="2515" w:type="dxa"/>
            <w:shd w:val="clear" w:color="auto" w:fill="auto"/>
            <w:noWrap/>
            <w:vAlign w:val="center"/>
            <w:hideMark/>
          </w:tcPr>
          <w:p w14:paraId="5FE47D5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222.273.peg.202 and 222.273.peg.203 and 222.273.peg.204</w:t>
            </w:r>
          </w:p>
        </w:tc>
      </w:tr>
      <w:tr w:rsidR="00F83A06" w:rsidRPr="00275F80" w14:paraId="7ED70C9A" w14:textId="77777777" w:rsidTr="00EC0BD3">
        <w:trPr>
          <w:trHeight w:val="285"/>
        </w:trPr>
        <w:tc>
          <w:tcPr>
            <w:tcW w:w="1127" w:type="dxa"/>
            <w:shd w:val="clear" w:color="auto" w:fill="auto"/>
            <w:noWrap/>
            <w:vAlign w:val="center"/>
            <w:hideMark/>
          </w:tcPr>
          <w:p w14:paraId="78650131" w14:textId="77777777" w:rsidR="00F83A06" w:rsidRPr="00275F80" w:rsidRDefault="00F83A06" w:rsidP="006D6457">
            <w:pPr>
              <w:spacing w:line="480" w:lineRule="auto"/>
              <w:rPr>
                <w:rFonts w:ascii="Arial" w:hAnsi="Arial" w:cs="Arial"/>
                <w:color w:val="000000"/>
                <w:sz w:val="20"/>
              </w:rPr>
            </w:pPr>
            <w:proofErr w:type="spellStart"/>
            <w:r w:rsidRPr="00275F80">
              <w:rPr>
                <w:rFonts w:ascii="Arial" w:hAnsi="Arial" w:cs="Arial"/>
                <w:color w:val="000000"/>
                <w:sz w:val="20"/>
              </w:rPr>
              <w:t>CytCOX</w:t>
            </w:r>
            <w:proofErr w:type="spellEnd"/>
          </w:p>
        </w:tc>
        <w:tc>
          <w:tcPr>
            <w:tcW w:w="1483" w:type="dxa"/>
            <w:shd w:val="clear" w:color="auto" w:fill="auto"/>
            <w:noWrap/>
            <w:vAlign w:val="center"/>
            <w:hideMark/>
          </w:tcPr>
          <w:p w14:paraId="55EBB11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Cytochrome c oxidase terminal oxidase</w:t>
            </w:r>
          </w:p>
        </w:tc>
        <w:tc>
          <w:tcPr>
            <w:tcW w:w="1597" w:type="dxa"/>
            <w:shd w:val="clear" w:color="auto" w:fill="auto"/>
            <w:noWrap/>
            <w:vAlign w:val="center"/>
            <w:hideMark/>
          </w:tcPr>
          <w:p w14:paraId="4DF63FD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COX</w:t>
            </w:r>
          </w:p>
        </w:tc>
        <w:tc>
          <w:tcPr>
            <w:tcW w:w="2628" w:type="dxa"/>
            <w:shd w:val="clear" w:color="auto" w:fill="auto"/>
            <w:noWrap/>
            <w:vAlign w:val="center"/>
            <w:hideMark/>
          </w:tcPr>
          <w:p w14:paraId="7AFBC536" w14:textId="77777777" w:rsidR="00F83A06" w:rsidRPr="00275F80" w:rsidRDefault="00F83A06" w:rsidP="006D6457">
            <w:pPr>
              <w:spacing w:line="480" w:lineRule="auto"/>
              <w:rPr>
                <w:rFonts w:ascii="Arial" w:hAnsi="Arial" w:cs="Arial"/>
                <w:color w:val="000000"/>
                <w:sz w:val="20"/>
                <w:lang w:val="es-MX"/>
              </w:rPr>
            </w:pPr>
            <w:r w:rsidRPr="00275F80">
              <w:rPr>
                <w:rFonts w:ascii="Arial" w:hAnsi="Arial" w:cs="Arial"/>
                <w:color w:val="000000"/>
                <w:sz w:val="20"/>
                <w:lang w:val="es-MX"/>
              </w:rPr>
              <w:t xml:space="preserve">4 </w:t>
            </w:r>
            <w:proofErr w:type="spellStart"/>
            <w:r w:rsidRPr="00275F80">
              <w:rPr>
                <w:rFonts w:ascii="Arial" w:hAnsi="Arial" w:cs="Arial"/>
                <w:color w:val="000000"/>
                <w:sz w:val="20"/>
                <w:lang w:val="es-MX"/>
              </w:rPr>
              <w:t>h_c</w:t>
            </w:r>
            <w:proofErr w:type="spellEnd"/>
            <w:r w:rsidRPr="00275F80">
              <w:rPr>
                <w:rFonts w:ascii="Arial" w:hAnsi="Arial" w:cs="Arial"/>
                <w:color w:val="000000"/>
                <w:sz w:val="20"/>
                <w:lang w:val="es-MX"/>
              </w:rPr>
              <w:t xml:space="preserve"> + 0.5 o2_c + 2 </w:t>
            </w:r>
            <w:proofErr w:type="spellStart"/>
            <w:r w:rsidRPr="00275F80">
              <w:rPr>
                <w:rFonts w:ascii="Arial" w:hAnsi="Arial" w:cs="Arial"/>
                <w:color w:val="000000"/>
                <w:sz w:val="20"/>
                <w:lang w:val="es-MX"/>
              </w:rPr>
              <w:t>cytcred_</w:t>
            </w:r>
            <w:proofErr w:type="gramStart"/>
            <w:r w:rsidRPr="00275F80">
              <w:rPr>
                <w:rFonts w:ascii="Arial" w:hAnsi="Arial" w:cs="Arial"/>
                <w:color w:val="000000"/>
                <w:sz w:val="20"/>
                <w:lang w:val="es-MX"/>
              </w:rPr>
              <w:t>p</w:t>
            </w:r>
            <w:proofErr w:type="spellEnd"/>
            <w:r w:rsidRPr="00275F80">
              <w:rPr>
                <w:rFonts w:ascii="Arial" w:hAnsi="Arial" w:cs="Arial"/>
                <w:color w:val="000000"/>
                <w:sz w:val="20"/>
                <w:lang w:val="es-MX"/>
              </w:rPr>
              <w:t xml:space="preserve">  -</w:t>
            </w:r>
            <w:proofErr w:type="gramEnd"/>
            <w:r w:rsidRPr="00275F80">
              <w:rPr>
                <w:rFonts w:ascii="Arial" w:hAnsi="Arial" w:cs="Arial"/>
                <w:color w:val="000000"/>
                <w:sz w:val="20"/>
                <w:lang w:val="es-MX"/>
              </w:rPr>
              <w:t xml:space="preserve">&gt; 2 </w:t>
            </w:r>
            <w:proofErr w:type="spellStart"/>
            <w:r w:rsidRPr="00275F80">
              <w:rPr>
                <w:rFonts w:ascii="Arial" w:hAnsi="Arial" w:cs="Arial"/>
                <w:color w:val="000000"/>
                <w:sz w:val="20"/>
                <w:lang w:val="es-MX"/>
              </w:rPr>
              <w:t>h_p</w:t>
            </w:r>
            <w:proofErr w:type="spellEnd"/>
            <w:r w:rsidRPr="00275F80">
              <w:rPr>
                <w:rFonts w:ascii="Arial" w:hAnsi="Arial" w:cs="Arial"/>
                <w:color w:val="000000"/>
                <w:sz w:val="20"/>
                <w:lang w:val="es-MX"/>
              </w:rPr>
              <w:t xml:space="preserve"> + h2o_c + 2 </w:t>
            </w:r>
            <w:proofErr w:type="spellStart"/>
            <w:r w:rsidRPr="00275F80">
              <w:rPr>
                <w:rFonts w:ascii="Arial" w:hAnsi="Arial" w:cs="Arial"/>
                <w:color w:val="000000"/>
                <w:sz w:val="20"/>
                <w:lang w:val="es-MX"/>
              </w:rPr>
              <w:t>cytcoxi_p</w:t>
            </w:r>
            <w:proofErr w:type="spellEnd"/>
          </w:p>
        </w:tc>
        <w:tc>
          <w:tcPr>
            <w:tcW w:w="2515" w:type="dxa"/>
            <w:shd w:val="clear" w:color="auto" w:fill="auto"/>
            <w:noWrap/>
            <w:vAlign w:val="center"/>
            <w:hideMark/>
          </w:tcPr>
          <w:p w14:paraId="27C9ABF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222.273.peg.255 and 222.273.peg.256 and 222.273.peg.259 or ((222.273.peg.4597 or 222.273.peg.4416) and (222.273.peg.4417 or 222.273.peg.4596) and (222.273.peg.4418 or 222.273.peg.4595) and (222.273.peg.4419 or 222.273.peg.4594))</w:t>
            </w:r>
          </w:p>
        </w:tc>
      </w:tr>
    </w:tbl>
    <w:p w14:paraId="5BF94C7E" w14:textId="77777777" w:rsidR="00451D5E" w:rsidRDefault="00451D5E" w:rsidP="006D6457">
      <w:pPr>
        <w:pStyle w:val="SMHeading"/>
        <w:spacing w:line="480" w:lineRule="auto"/>
        <w:rPr>
          <w:rFonts w:ascii="Arial" w:hAnsi="Arial" w:cs="Arial"/>
          <w:sz w:val="20"/>
          <w:szCs w:val="20"/>
        </w:rPr>
      </w:pPr>
    </w:p>
    <w:p w14:paraId="1EE32A1C" w14:textId="2558D53D" w:rsidR="00F83A06" w:rsidRPr="00275F80" w:rsidRDefault="00F83A06" w:rsidP="006D6457">
      <w:pPr>
        <w:pStyle w:val="SMHeading"/>
        <w:spacing w:line="480" w:lineRule="auto"/>
        <w:rPr>
          <w:rFonts w:ascii="Arial" w:hAnsi="Arial" w:cs="Arial"/>
          <w:b w:val="0"/>
          <w:bCs w:val="0"/>
          <w:sz w:val="20"/>
          <w:szCs w:val="20"/>
        </w:rPr>
      </w:pPr>
      <w:r w:rsidRPr="00275F80">
        <w:rPr>
          <w:rFonts w:ascii="Arial" w:hAnsi="Arial" w:cs="Arial"/>
          <w:sz w:val="20"/>
          <w:szCs w:val="20"/>
        </w:rPr>
        <w:t>Table S</w:t>
      </w:r>
      <w:r w:rsidR="00451D5E">
        <w:rPr>
          <w:rFonts w:ascii="Arial" w:hAnsi="Arial" w:cs="Arial"/>
          <w:sz w:val="20"/>
          <w:szCs w:val="20"/>
        </w:rPr>
        <w:t>9</w:t>
      </w:r>
      <w:r w:rsidRPr="00275F80">
        <w:rPr>
          <w:rFonts w:ascii="Arial" w:hAnsi="Arial" w:cs="Arial"/>
          <w:sz w:val="20"/>
          <w:szCs w:val="20"/>
        </w:rPr>
        <w:t xml:space="preserve">. </w:t>
      </w:r>
      <w:r w:rsidRPr="00275F80">
        <w:rPr>
          <w:rFonts w:ascii="Arial" w:hAnsi="Arial" w:cs="Arial"/>
          <w:b w:val="0"/>
          <w:bCs w:val="0"/>
          <w:sz w:val="20"/>
          <w:szCs w:val="20"/>
        </w:rPr>
        <w:t>Summary of studies linking nitrification and denitrification activity to succinate as a carbon source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1456"/>
        <w:gridCol w:w="1792"/>
        <w:gridCol w:w="1883"/>
        <w:gridCol w:w="1184"/>
      </w:tblGrid>
      <w:tr w:rsidR="00F83A06" w:rsidRPr="00275F80" w14:paraId="72C7C4D9" w14:textId="77777777" w:rsidTr="00EC0BD3">
        <w:trPr>
          <w:trHeight w:val="285"/>
        </w:trPr>
        <w:tc>
          <w:tcPr>
            <w:tcW w:w="0" w:type="auto"/>
            <w:shd w:val="clear" w:color="auto" w:fill="auto"/>
            <w:hideMark/>
          </w:tcPr>
          <w:p w14:paraId="0BD345D9"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Organism/system</w:t>
            </w:r>
          </w:p>
        </w:tc>
        <w:tc>
          <w:tcPr>
            <w:tcW w:w="0" w:type="auto"/>
            <w:shd w:val="clear" w:color="auto" w:fill="auto"/>
            <w:hideMark/>
          </w:tcPr>
          <w:p w14:paraId="432B48DC"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Biochemical process</w:t>
            </w:r>
          </w:p>
        </w:tc>
        <w:tc>
          <w:tcPr>
            <w:tcW w:w="0" w:type="auto"/>
            <w:shd w:val="clear" w:color="auto" w:fill="auto"/>
            <w:hideMark/>
          </w:tcPr>
          <w:p w14:paraId="6E96EE25"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Succinate role</w:t>
            </w:r>
          </w:p>
        </w:tc>
        <w:tc>
          <w:tcPr>
            <w:tcW w:w="0" w:type="auto"/>
            <w:shd w:val="clear" w:color="auto" w:fill="auto"/>
            <w:hideMark/>
          </w:tcPr>
          <w:p w14:paraId="2F3AF38F"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Key finding</w:t>
            </w:r>
          </w:p>
        </w:tc>
        <w:tc>
          <w:tcPr>
            <w:tcW w:w="0" w:type="auto"/>
            <w:shd w:val="clear" w:color="auto" w:fill="auto"/>
            <w:hideMark/>
          </w:tcPr>
          <w:p w14:paraId="039E8101"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Reference</w:t>
            </w:r>
          </w:p>
        </w:tc>
      </w:tr>
      <w:tr w:rsidR="00F83A06" w:rsidRPr="00275F80" w14:paraId="69AB17B2" w14:textId="77777777" w:rsidTr="00EC0BD3">
        <w:trPr>
          <w:trHeight w:val="285"/>
        </w:trPr>
        <w:tc>
          <w:tcPr>
            <w:tcW w:w="0" w:type="auto"/>
            <w:shd w:val="clear" w:color="auto" w:fill="auto"/>
            <w:hideMark/>
          </w:tcPr>
          <w:p w14:paraId="74D7AF97" w14:textId="77777777" w:rsidR="00F83A06" w:rsidRPr="00275F80" w:rsidRDefault="00F83A06" w:rsidP="006D6457">
            <w:pPr>
              <w:spacing w:line="480" w:lineRule="auto"/>
              <w:rPr>
                <w:rFonts w:ascii="Arial" w:hAnsi="Arial" w:cs="Arial"/>
                <w:color w:val="000000"/>
                <w:sz w:val="20"/>
              </w:rPr>
            </w:pPr>
            <w:r w:rsidRPr="00275F80">
              <w:rPr>
                <w:rFonts w:ascii="Arial" w:hAnsi="Arial" w:cs="Arial"/>
                <w:i/>
                <w:iCs/>
                <w:color w:val="000000"/>
                <w:sz w:val="20"/>
              </w:rPr>
              <w:t xml:space="preserve">Achromobacter </w:t>
            </w:r>
            <w:proofErr w:type="spellStart"/>
            <w:r w:rsidRPr="00275F80">
              <w:rPr>
                <w:rFonts w:ascii="Arial" w:hAnsi="Arial" w:cs="Arial"/>
                <w:i/>
                <w:iCs/>
                <w:color w:val="000000"/>
                <w:sz w:val="20"/>
              </w:rPr>
              <w:t>spiritinus</w:t>
            </w:r>
            <w:proofErr w:type="spellEnd"/>
            <w:r w:rsidRPr="00275F80">
              <w:rPr>
                <w:rFonts w:ascii="Arial" w:hAnsi="Arial" w:cs="Arial"/>
                <w:color w:val="000000"/>
                <w:sz w:val="20"/>
              </w:rPr>
              <w:t xml:space="preserve"> HS2</w:t>
            </w:r>
          </w:p>
        </w:tc>
        <w:tc>
          <w:tcPr>
            <w:tcW w:w="0" w:type="auto"/>
            <w:shd w:val="clear" w:color="auto" w:fill="auto"/>
            <w:hideMark/>
          </w:tcPr>
          <w:p w14:paraId="1178305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Nitrification and denitrification</w:t>
            </w:r>
          </w:p>
        </w:tc>
        <w:tc>
          <w:tcPr>
            <w:tcW w:w="0" w:type="auto"/>
            <w:shd w:val="clear" w:color="auto" w:fill="auto"/>
            <w:hideMark/>
          </w:tcPr>
          <w:p w14:paraId="4AE23BA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Sodium succinate was the optimal carbon source for growth and nitrogen removal</w:t>
            </w:r>
          </w:p>
        </w:tc>
        <w:tc>
          <w:tcPr>
            <w:tcW w:w="0" w:type="auto"/>
            <w:shd w:val="clear" w:color="auto" w:fill="auto"/>
            <w:hideMark/>
          </w:tcPr>
          <w:p w14:paraId="6417B0F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 xml:space="preserve">With succinate, </w:t>
            </w:r>
            <w:r w:rsidRPr="00275F80">
              <w:rPr>
                <w:rFonts w:ascii="Arial" w:hAnsi="Arial" w:cs="Arial"/>
                <w:i/>
                <w:iCs/>
                <w:color w:val="000000"/>
                <w:sz w:val="20"/>
              </w:rPr>
              <w:t>A. spiritinus</w:t>
            </w:r>
            <w:r w:rsidRPr="00275F80">
              <w:rPr>
                <w:rFonts w:ascii="Arial" w:hAnsi="Arial" w:cs="Arial"/>
                <w:color w:val="000000"/>
                <w:sz w:val="20"/>
              </w:rPr>
              <w:t>HS2 achieved up to 99.1% ammonium removal and 95.5% total nitrogen removal at 8 °C via heterotrophic nitrification-aerobic denitrification, without nitrite accumulation or N</w:t>
            </w:r>
            <w:r w:rsidRPr="00275F80">
              <w:rPr>
                <w:rFonts w:ascii="Cambria Math" w:hAnsi="Cambria Math" w:cs="Cambria Math"/>
                <w:color w:val="000000"/>
                <w:sz w:val="20"/>
              </w:rPr>
              <w:t>₂</w:t>
            </w:r>
            <w:r w:rsidRPr="00275F80">
              <w:rPr>
                <w:rFonts w:ascii="Arial" w:hAnsi="Arial" w:cs="Arial"/>
                <w:color w:val="000000"/>
                <w:sz w:val="20"/>
              </w:rPr>
              <w:t>O emissions.</w:t>
            </w:r>
          </w:p>
        </w:tc>
        <w:tc>
          <w:tcPr>
            <w:tcW w:w="0" w:type="auto"/>
            <w:shd w:val="clear" w:color="auto" w:fill="auto"/>
            <w:hideMark/>
          </w:tcPr>
          <w:p w14:paraId="7BEDB7A4" w14:textId="0EDF2336"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{"citationID":"3HpLvREK","properties":{"formattedCitation":"(33)","plainCitation":"(33)","noteIndex":0},"citationItems":[{"id":778,"uris":["http://zotero.org/users/12257494/items/9BBFEQWR"],"itemData":{"id":778,"type":"article-journal","abstract":"The low-temperature environment significantly inhibits the growth and metabolism of denitrifying bacteria, leading to an excessive concentration of ammonia nitrogen and total nitrogen in sewage treatment plants during the cold season. In this study, an efficient denitrifying strain of heterotrophic nitrification–aerobic denitrification (HN–AD) bacteria named HS2 was isolated and screened from industrial sewage of a chemical factory in Inner Mongolia at 8 °C. The strain was confirmed to be Achromobacter spiritinus, a colorless rod-shaped bacterium. When cultured with sodium succinate as the carbon source, a carbon-to-nitrogen ratio of 20–30, a shaking rate of 150–180 r/min, and an initial pH of 6–10, the strain HS2 exhibited excellent nitrogen removal at 8 °C. Through the results of whole-genome sequencing, gene amplification, and gas product detection, the strain HS2 was determined to possess key enzyme genes in both nitrification and denitrification pathways, suggesting a HN–AD pathway of NH4+-N → NH2OH → NO2−N → NO → N2O → N2. At 8 °C, the strain HS2 could completely remove ammonia nitrogen from industrial sewage with an initial concentration of 127.23 mg/L. Microbial species diversity analysis of the final sewage confirmed Achromobacter sp. as the dominant genus, which indicated that the low-temperature denitrifying strain HS2 plays an important role in nitrogen removal in actual low-temperature sewage.","container-title":"Microorganisms","DOI":"10.3390/microorganisms12030451","ISSN":"2076-2607","issue":"3","journalAbbreviation":"Microorganisms","note":"PMID: 38543502\nPMCID: PMC10971896","page":"451","source":"PubMed Central","title":"Denitrification Characteristics of the Low-Temperature Tolerant Denitrification Strain Achromobacter spiritinus HS2 and Its Application","volume":"12","author":[{"family":"Gao","given":"Ya-Juan"},{"family":"Zhang","given":"Ting"},{"family":"Hu","given":"Ling-Kang"},{"family":"Liu","given":"Shi-Yuan"},{"family":"Li","given":"Chen-Chen"},{"family":"Jin","given":"Yong-Sheng"},{"family":"Liu","given":"Hong-Bin"}],"issued":{"date-parts":[["2024",2,23]]}}}],"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(33)</w:t>
            </w:r>
            <w:r w:rsidRPr="00275F80">
              <w:rPr>
                <w:rFonts w:ascii="Arial" w:hAnsi="Arial" w:cs="Arial"/>
                <w:color w:val="000000"/>
                <w:sz w:val="20"/>
              </w:rPr>
              <w:fldChar w:fldCharType="end"/>
            </w:r>
          </w:p>
        </w:tc>
      </w:tr>
      <w:tr w:rsidR="00F83A06" w:rsidRPr="00275F80" w14:paraId="4EE3D1F8" w14:textId="77777777" w:rsidTr="00EC0BD3">
        <w:trPr>
          <w:trHeight w:val="285"/>
        </w:trPr>
        <w:tc>
          <w:tcPr>
            <w:tcW w:w="0" w:type="auto"/>
            <w:shd w:val="clear" w:color="auto" w:fill="auto"/>
            <w:hideMark/>
          </w:tcPr>
          <w:p w14:paraId="63B8F116" w14:textId="77777777" w:rsidR="00F83A06" w:rsidRPr="00275F80" w:rsidRDefault="00F83A06" w:rsidP="006D6457">
            <w:pPr>
              <w:spacing w:line="480" w:lineRule="auto"/>
              <w:rPr>
                <w:rFonts w:ascii="Arial" w:hAnsi="Arial" w:cs="Arial"/>
                <w:i/>
                <w:iCs/>
                <w:color w:val="000000"/>
                <w:sz w:val="20"/>
              </w:rPr>
            </w:pPr>
            <w:proofErr w:type="spellStart"/>
            <w:r w:rsidRPr="00275F80">
              <w:rPr>
                <w:rFonts w:ascii="Arial" w:hAnsi="Arial" w:cs="Arial"/>
                <w:i/>
                <w:iCs/>
                <w:color w:val="000000"/>
                <w:sz w:val="20"/>
              </w:rPr>
              <w:t>Glutamicibacter</w:t>
            </w:r>
            <w:proofErr w:type="spellEnd"/>
            <w:r w:rsidRPr="00275F80">
              <w:rPr>
                <w:rFonts w:ascii="Arial" w:hAnsi="Arial" w:cs="Arial"/>
                <w:i/>
                <w:iCs/>
                <w:color w:val="000000"/>
                <w:sz w:val="20"/>
              </w:rPr>
              <w:t xml:space="preserve"> </w:t>
            </w:r>
            <w:proofErr w:type="spellStart"/>
            <w:r w:rsidRPr="00275F80">
              <w:rPr>
                <w:rFonts w:ascii="Arial" w:hAnsi="Arial" w:cs="Arial"/>
                <w:i/>
                <w:iCs/>
                <w:color w:val="000000"/>
                <w:sz w:val="20"/>
              </w:rPr>
              <w:t>arilaitensis</w:t>
            </w:r>
            <w:proofErr w:type="spellEnd"/>
            <w:r w:rsidRPr="00275F80">
              <w:rPr>
                <w:rFonts w:ascii="Arial" w:hAnsi="Arial" w:cs="Arial"/>
                <w:color w:val="000000"/>
                <w:sz w:val="20"/>
              </w:rPr>
              <w:t xml:space="preserve"> EM-H8</w:t>
            </w:r>
          </w:p>
        </w:tc>
        <w:tc>
          <w:tcPr>
            <w:tcW w:w="0" w:type="auto"/>
            <w:shd w:val="clear" w:color="auto" w:fill="auto"/>
            <w:hideMark/>
          </w:tcPr>
          <w:p w14:paraId="4905C8A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Denitrification</w:t>
            </w:r>
          </w:p>
        </w:tc>
        <w:tc>
          <w:tcPr>
            <w:tcW w:w="0" w:type="auto"/>
            <w:shd w:val="clear" w:color="auto" w:fill="auto"/>
            <w:hideMark/>
          </w:tcPr>
          <w:p w14:paraId="7DEEE16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Tested as a sole carbon source. Identified as optimal for nitrate (NO</w:t>
            </w:r>
            <w:r w:rsidRPr="00275F80">
              <w:rPr>
                <w:rFonts w:ascii="Cambria Math" w:hAnsi="Cambria Math" w:cs="Cambria Math"/>
                <w:color w:val="000000"/>
                <w:sz w:val="20"/>
              </w:rPr>
              <w:t>₃⁻</w:t>
            </w:r>
            <w:r w:rsidRPr="00275F80">
              <w:rPr>
                <w:rFonts w:ascii="Arial" w:hAnsi="Arial" w:cs="Arial"/>
                <w:color w:val="000000"/>
                <w:sz w:val="20"/>
              </w:rPr>
              <w:t>-N) removal, reaching 95.8–97.6% efficiency</w:t>
            </w:r>
          </w:p>
        </w:tc>
        <w:tc>
          <w:tcPr>
            <w:tcW w:w="0" w:type="auto"/>
            <w:shd w:val="clear" w:color="auto" w:fill="auto"/>
            <w:hideMark/>
          </w:tcPr>
          <w:p w14:paraId="504A954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Succinate enabled efficient aerobic denitrification</w:t>
            </w:r>
          </w:p>
        </w:tc>
        <w:tc>
          <w:tcPr>
            <w:tcW w:w="0" w:type="auto"/>
            <w:shd w:val="clear" w:color="auto" w:fill="auto"/>
            <w:hideMark/>
          </w:tcPr>
          <w:p w14:paraId="584E4CC4" w14:textId="6E6BF1D2"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{"citationID":"qcHcrmkS","properties":{"formattedCitation":"(34)","plainCitation":"(34)","noteIndex":0},"citationItems":[{"id":786,"uris":["http://zotero.org/users/12257494/items/4TX3ZVYW"],"itemData":{"id":786,"type":"article-journal","abstract":"Different carbon sources for Glutamicibacter arilaitensis EM-H8 were evaluated for ammonium nitrogen (NH4+-N), nitrate nitrogen (NO3−-N) and nitrite nitrogen (NO2−-N) removal. Strain EM-H8 could rapidly remove NH4+-N, NO3−-N and NO2−-N. The highest removal rates measured for different forms of nitrogen with different carbon sources were 5.94 mg/L/h for NH4+-N with sodium citrate, 4.25 mg/L/h for NO3−-N with sodium succinate, and 3.88 mg/L/h for NO2−-N with sucrose. The Nitrogen balance showed that strain EM-H8 could convert 77.88% of the initial nitrogen into nitrogenous gas when NO2−-N was selected as the sole nitrogen source. The presence of NH4+-N increased the removal rate of NO2−-N from 3.88 to 4.02 mg/L/h. In an enzyme assay, ammonia monooxygenase, nitrate reductase and nitrite oxidoreductase were detected at 0.209, 0.314, and 0.025 U/mg protein, respectively. These results demonstrate that strain EM-H8 performs well for nitrogen removal, and shows excellent potential for simple and efficient removal of NO2−-N from wastewater.","container-title":"Chemosphere","DOI":"10.1016/j.chemosphere.2023.138266","ISSN":"0045-6535","journalAbbreviation":"Chemosphere","page":"138266","source":"ScienceDirect","title":"Enhanced heterotrophic nitrification and aerobic denitrification performance of &lt;i&gt;Glutamicibacter arilaitensis&lt;/i&gt; EM-H8 with different carbon sources","volume":"323","author":[{"family":"Chen","given":"Mengping"},{"family":"He","given":"Tengxia"},{"family":"Wu","given":"Qifeng"},{"family":"Zhang","given":"Manman"},{"family":"He","given":"Kai"}],"issued":{"date-parts":[["2023",5,1]]}}}],"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(34)</w:t>
            </w:r>
            <w:r w:rsidRPr="00275F80">
              <w:rPr>
                <w:rFonts w:ascii="Arial" w:hAnsi="Arial" w:cs="Arial"/>
                <w:color w:val="000000"/>
                <w:sz w:val="20"/>
              </w:rPr>
              <w:fldChar w:fldCharType="end"/>
            </w:r>
          </w:p>
        </w:tc>
      </w:tr>
      <w:tr w:rsidR="00F83A06" w:rsidRPr="00275F80" w14:paraId="27D949C0" w14:textId="77777777" w:rsidTr="00EC0BD3">
        <w:trPr>
          <w:trHeight w:val="285"/>
        </w:trPr>
        <w:tc>
          <w:tcPr>
            <w:tcW w:w="0" w:type="auto"/>
            <w:shd w:val="clear" w:color="auto" w:fill="auto"/>
            <w:hideMark/>
          </w:tcPr>
          <w:p w14:paraId="14FAFDF9" w14:textId="77777777" w:rsidR="00F83A06" w:rsidRPr="00275F80" w:rsidRDefault="00F83A06" w:rsidP="006D6457">
            <w:pPr>
              <w:spacing w:line="480" w:lineRule="auto"/>
              <w:rPr>
                <w:rFonts w:ascii="Arial" w:hAnsi="Arial" w:cs="Arial"/>
                <w:i/>
                <w:iCs/>
                <w:color w:val="000000"/>
                <w:sz w:val="20"/>
              </w:rPr>
            </w:pPr>
            <w:r w:rsidRPr="00275F80">
              <w:rPr>
                <w:rFonts w:ascii="Arial" w:hAnsi="Arial" w:cs="Arial"/>
                <w:i/>
                <w:iCs/>
                <w:color w:val="000000"/>
                <w:sz w:val="20"/>
              </w:rPr>
              <w:t>Achromobacter xylosoxidans</w:t>
            </w:r>
            <w:r w:rsidRPr="00275F80">
              <w:rPr>
                <w:rFonts w:ascii="Arial" w:hAnsi="Arial" w:cs="Arial"/>
                <w:color w:val="000000"/>
                <w:sz w:val="20"/>
              </w:rPr>
              <w:t xml:space="preserve"> CF-S36</w:t>
            </w:r>
          </w:p>
        </w:tc>
        <w:tc>
          <w:tcPr>
            <w:tcW w:w="0" w:type="auto"/>
            <w:shd w:val="clear" w:color="auto" w:fill="auto"/>
            <w:hideMark/>
          </w:tcPr>
          <w:p w14:paraId="7BEDFBF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Nitrification</w:t>
            </w:r>
          </w:p>
        </w:tc>
        <w:tc>
          <w:tcPr>
            <w:tcW w:w="0" w:type="auto"/>
            <w:shd w:val="clear" w:color="auto" w:fill="auto"/>
            <w:hideMark/>
          </w:tcPr>
          <w:p w14:paraId="73E9248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Succinate was the most preferred carbon source for nitrification (highest NH</w:t>
            </w:r>
            <w:r w:rsidRPr="00275F80">
              <w:rPr>
                <w:rFonts w:ascii="Cambria Math" w:hAnsi="Cambria Math" w:cs="Cambria Math"/>
                <w:color w:val="000000"/>
                <w:sz w:val="20"/>
              </w:rPr>
              <w:t>₄⁺</w:t>
            </w:r>
            <w:r w:rsidRPr="00275F80">
              <w:rPr>
                <w:rFonts w:ascii="Arial" w:hAnsi="Arial" w:cs="Arial"/>
                <w:color w:val="000000"/>
                <w:sz w:val="20"/>
              </w:rPr>
              <w:t xml:space="preserve"> removal rate, 6.3 mg/L/h). It also supported efficient nitrate and nitrite denitrification</w:t>
            </w:r>
          </w:p>
        </w:tc>
        <w:tc>
          <w:tcPr>
            <w:tcW w:w="0" w:type="auto"/>
            <w:shd w:val="clear" w:color="auto" w:fill="auto"/>
            <w:hideMark/>
          </w:tcPr>
          <w:p w14:paraId="522A2BA0" w14:textId="77777777" w:rsidR="00F83A06" w:rsidRPr="00275F80" w:rsidRDefault="00F83A06" w:rsidP="006D6457">
            <w:pPr>
              <w:spacing w:line="480" w:lineRule="auto"/>
              <w:rPr>
                <w:rFonts w:ascii="Arial" w:hAnsi="Arial" w:cs="Arial"/>
                <w:color w:val="000000"/>
                <w:sz w:val="20"/>
              </w:rPr>
            </w:pPr>
            <w:r w:rsidRPr="00275F80">
              <w:rPr>
                <w:rFonts w:ascii="Arial" w:hAnsi="Arial" w:cs="Arial"/>
                <w:i/>
                <w:iCs/>
                <w:color w:val="000000"/>
                <w:sz w:val="20"/>
              </w:rPr>
              <w:t xml:space="preserve">A. xylosoxidans </w:t>
            </w:r>
            <w:r w:rsidRPr="00275F80">
              <w:rPr>
                <w:rFonts w:ascii="Arial" w:hAnsi="Arial" w:cs="Arial"/>
                <w:color w:val="000000"/>
                <w:sz w:val="20"/>
              </w:rPr>
              <w:t>CF-S36 achieved ~98% NH</w:t>
            </w:r>
            <w:r w:rsidRPr="00275F80">
              <w:rPr>
                <w:rFonts w:ascii="Cambria Math" w:hAnsi="Cambria Math" w:cs="Cambria Math"/>
                <w:color w:val="000000"/>
                <w:sz w:val="20"/>
              </w:rPr>
              <w:t>₄⁺</w:t>
            </w:r>
            <w:r w:rsidRPr="00275F80">
              <w:rPr>
                <w:rFonts w:ascii="Arial" w:hAnsi="Arial" w:cs="Arial"/>
                <w:color w:val="000000"/>
                <w:sz w:val="20"/>
              </w:rPr>
              <w:t xml:space="preserve"> removal within 36 h using succinate; ~100% NO</w:t>
            </w:r>
            <w:r w:rsidRPr="00275F80">
              <w:rPr>
                <w:rFonts w:ascii="Cambria Math" w:hAnsi="Cambria Math" w:cs="Cambria Math"/>
                <w:color w:val="000000"/>
                <w:sz w:val="20"/>
              </w:rPr>
              <w:t>₃⁻</w:t>
            </w:r>
            <w:r w:rsidRPr="00275F80">
              <w:rPr>
                <w:rFonts w:ascii="Arial" w:hAnsi="Arial" w:cs="Arial"/>
                <w:color w:val="000000"/>
                <w:sz w:val="20"/>
              </w:rPr>
              <w:t xml:space="preserve"> removal within 36 </w:t>
            </w:r>
            <w:proofErr w:type="gramStart"/>
            <w:r w:rsidRPr="00275F80">
              <w:rPr>
                <w:rFonts w:ascii="Arial" w:hAnsi="Arial" w:cs="Arial"/>
                <w:color w:val="000000"/>
                <w:sz w:val="20"/>
              </w:rPr>
              <w:t>h ,</w:t>
            </w:r>
            <w:proofErr w:type="gramEnd"/>
            <w:r w:rsidRPr="00275F80">
              <w:rPr>
                <w:rFonts w:ascii="Arial" w:hAnsi="Arial" w:cs="Arial"/>
                <w:color w:val="000000"/>
                <w:sz w:val="20"/>
              </w:rPr>
              <w:t xml:space="preserve"> and ~76% NO</w:t>
            </w:r>
            <w:r w:rsidRPr="00275F80">
              <w:rPr>
                <w:rFonts w:ascii="Cambria Math" w:hAnsi="Cambria Math" w:cs="Cambria Math"/>
                <w:color w:val="000000"/>
                <w:sz w:val="20"/>
              </w:rPr>
              <w:t>₂⁻</w:t>
            </w:r>
            <w:r w:rsidRPr="00275F80">
              <w:rPr>
                <w:rFonts w:ascii="Arial" w:hAnsi="Arial" w:cs="Arial"/>
                <w:color w:val="000000"/>
                <w:sz w:val="20"/>
              </w:rPr>
              <w:t xml:space="preserve"> removal within 36 h</w:t>
            </w:r>
          </w:p>
        </w:tc>
        <w:tc>
          <w:tcPr>
            <w:tcW w:w="0" w:type="auto"/>
            <w:shd w:val="clear" w:color="auto" w:fill="auto"/>
            <w:hideMark/>
          </w:tcPr>
          <w:p w14:paraId="36D86CF8" w14:textId="6D6ADB00"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{"citationID":"uL8vI0Em","properties":{"formattedCitation":"(1)","plainCitation":"(1)","noteIndex":0},"citationItems":[{"id":82,"uris":["http://zotero.org/users/12257494/items/5VE44AG6"],"itemData":{"id":82,"type":"article-journal","abstract":"Organic carbon sources play a significant role in heterotrophic nitrogen consumption. This quintessential exploration is focused on carbon and nitrogen biogeochemical cycles in heterotrophic bacteria, capable of simultaneous nitrification and denitrification (SND). A heterotrophic bacterial strain Achromobacter xylosoxidans CF-S36 isolated from domestic wastewater efficiently eliminated ammonia, nitrate and nitrite by utilizing different carbon sources. The type of carbon utilized by strain CF-S36 determined the rate of heterotrophic nitrogen removal. Quantitative real-time PCR (qRT-PCR) analysis of genes of central carbon and nitrogen metabolism, signal transduction, electron transport chain (ETC) pathways and assays of enzymes of denitrification processes revealed the existence of well-coordinated link between carbon utilization and nitrogen elimination in bacterial cell. The most preferred carbon source for nitrification was succinate followed by glucose and acetate. Inhibitory effect of nitrite on glycolytic pathway and nitrogen assimilation genes attributes glucose as unfavorable carbon source for denitrification process in strain CF-S36. Acetate served as efficient carbon source for utilizing nitrite through denitrification process. The study demonstrated here might be useful to biogeochemical engineer to understand the involvement of heterotrophic bacteria in global biogeochemical cycle and to gain further insight into the diversified application of these microorganisms.","container-title":"Journal of Bioscience and Bioengineering","DOI":"10.1016/j.jbiosc.2016.07.012","ISSN":"1389-1723","issue":"1","journalAbbreviation":"Journal of Bioscience and Bioengineering","page":"46-55","source":"ScienceDirect","title":"Molecular insight into the dynamic central metabolic pathways of &lt;i&gt;Achromobacter xylosoxidans&lt;/i&gt; CF-S36 during heterotrophic nitrogen removal processes","volume":"123","author":[{"family":"Padhi","given":"Soumesh Kumar"},{"family":"Maiti","given":"Nikhil Kumar"}],"issued":{"date-parts":[["2017",1,1]]}}}],"schema":"https://github.com/citation-style-language/schema/raw/master/csl-citation.json"}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(1)</w:t>
            </w:r>
            <w:r w:rsidRPr="00275F80">
              <w:rPr>
                <w:rFonts w:ascii="Arial" w:hAnsi="Arial" w:cs="Arial"/>
                <w:color w:val="000000"/>
                <w:sz w:val="20"/>
              </w:rPr>
              <w:fldChar w:fldCharType="end"/>
            </w:r>
          </w:p>
        </w:tc>
      </w:tr>
      <w:tr w:rsidR="00F83A06" w:rsidRPr="00275F80" w14:paraId="3ACB8A90" w14:textId="77777777" w:rsidTr="00EC0BD3">
        <w:trPr>
          <w:trHeight w:val="285"/>
        </w:trPr>
        <w:tc>
          <w:tcPr>
            <w:tcW w:w="0" w:type="auto"/>
            <w:shd w:val="clear" w:color="auto" w:fill="auto"/>
            <w:hideMark/>
          </w:tcPr>
          <w:p w14:paraId="55EF148E" w14:textId="77777777" w:rsidR="00F83A06" w:rsidRPr="00275F80" w:rsidRDefault="00F83A06" w:rsidP="006D6457">
            <w:pPr>
              <w:spacing w:line="480" w:lineRule="auto"/>
              <w:rPr>
                <w:rFonts w:ascii="Arial" w:hAnsi="Arial" w:cs="Arial"/>
                <w:i/>
                <w:iCs/>
                <w:color w:val="000000"/>
                <w:sz w:val="20"/>
              </w:rPr>
            </w:pPr>
            <w:r w:rsidRPr="00275F80">
              <w:rPr>
                <w:rFonts w:ascii="Arial" w:hAnsi="Arial" w:cs="Arial"/>
                <w:i/>
                <w:iCs/>
                <w:color w:val="000000"/>
                <w:sz w:val="20"/>
              </w:rPr>
              <w:t>Pseudomonas putida</w:t>
            </w:r>
            <w:r w:rsidRPr="00275F80">
              <w:rPr>
                <w:rFonts w:ascii="Arial" w:hAnsi="Arial" w:cs="Arial"/>
                <w:color w:val="000000"/>
                <w:sz w:val="20"/>
              </w:rPr>
              <w:t xml:space="preserve"> NP5</w:t>
            </w:r>
          </w:p>
        </w:tc>
        <w:tc>
          <w:tcPr>
            <w:tcW w:w="0" w:type="auto"/>
            <w:shd w:val="clear" w:color="auto" w:fill="auto"/>
            <w:hideMark/>
          </w:tcPr>
          <w:p w14:paraId="4FF4623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Nitrification and denitrification</w:t>
            </w:r>
          </w:p>
        </w:tc>
        <w:tc>
          <w:tcPr>
            <w:tcW w:w="0" w:type="auto"/>
            <w:shd w:val="clear" w:color="auto" w:fill="auto"/>
            <w:hideMark/>
          </w:tcPr>
          <w:p w14:paraId="6D683DD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 xml:space="preserve">Succinate was identified as the optimal carbon source for heterotrophic nitrification-aerobic denitrification and simultaneous nitrogen-phosphorus removal </w:t>
            </w:r>
          </w:p>
        </w:tc>
        <w:tc>
          <w:tcPr>
            <w:tcW w:w="0" w:type="auto"/>
            <w:shd w:val="clear" w:color="auto" w:fill="auto"/>
            <w:hideMark/>
          </w:tcPr>
          <w:p w14:paraId="5318DF2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 xml:space="preserve">With succinate, </w:t>
            </w:r>
            <w:r w:rsidRPr="00275F80">
              <w:rPr>
                <w:rFonts w:ascii="Arial" w:hAnsi="Arial" w:cs="Arial"/>
                <w:i/>
                <w:iCs/>
                <w:color w:val="000000"/>
                <w:sz w:val="20"/>
              </w:rPr>
              <w:t xml:space="preserve">P. putida </w:t>
            </w:r>
            <w:r w:rsidRPr="00275F80">
              <w:rPr>
                <w:rFonts w:ascii="Arial" w:hAnsi="Arial" w:cs="Arial"/>
                <w:color w:val="000000"/>
                <w:sz w:val="20"/>
              </w:rPr>
              <w:t>NP5 achieved ~96% NH</w:t>
            </w:r>
            <w:r w:rsidRPr="00275F80">
              <w:rPr>
                <w:rFonts w:ascii="Cambria Math" w:hAnsi="Cambria Math" w:cs="Cambria Math"/>
                <w:color w:val="000000"/>
                <w:sz w:val="20"/>
              </w:rPr>
              <w:t>₄⁺</w:t>
            </w:r>
            <w:r w:rsidRPr="00275F80">
              <w:rPr>
                <w:rFonts w:ascii="Arial" w:hAnsi="Arial" w:cs="Arial"/>
                <w:color w:val="000000"/>
                <w:sz w:val="20"/>
              </w:rPr>
              <w:t xml:space="preserve"> removal and ~90% PO</w:t>
            </w:r>
            <w:r w:rsidRPr="00275F80">
              <w:rPr>
                <w:rFonts w:ascii="Cambria Math" w:hAnsi="Cambria Math" w:cs="Cambria Math"/>
                <w:color w:val="000000"/>
                <w:sz w:val="20"/>
              </w:rPr>
              <w:t>₄</w:t>
            </w:r>
            <w:r w:rsidRPr="00275F80">
              <w:rPr>
                <w:rFonts w:ascii="Arial" w:hAnsi="Arial" w:cs="Arial"/>
                <w:color w:val="000000"/>
                <w:sz w:val="20"/>
              </w:rPr>
              <w:t>³</w:t>
            </w:r>
            <w:r w:rsidRPr="00275F80">
              <w:rPr>
                <w:rFonts w:ascii="Cambria Math" w:hAnsi="Cambria Math" w:cs="Cambria Math"/>
                <w:color w:val="000000"/>
                <w:sz w:val="20"/>
              </w:rPr>
              <w:t>⁻</w:t>
            </w:r>
            <w:r w:rsidRPr="00275F80">
              <w:rPr>
                <w:rFonts w:ascii="Arial" w:hAnsi="Arial" w:cs="Arial"/>
                <w:color w:val="000000"/>
                <w:sz w:val="20"/>
              </w:rPr>
              <w:t xml:space="preserve"> removal within 24 h; nearly complete NO</w:t>
            </w:r>
            <w:r w:rsidRPr="00275F80">
              <w:rPr>
                <w:rFonts w:ascii="Cambria Math" w:hAnsi="Cambria Math" w:cs="Cambria Math"/>
                <w:color w:val="000000"/>
                <w:sz w:val="20"/>
              </w:rPr>
              <w:t>₂⁻</w:t>
            </w:r>
            <w:r w:rsidRPr="00275F80">
              <w:rPr>
                <w:rFonts w:ascii="Arial" w:hAnsi="Arial" w:cs="Arial"/>
                <w:color w:val="000000"/>
                <w:sz w:val="20"/>
              </w:rPr>
              <w:t xml:space="preserve"> (99.4%) and NO</w:t>
            </w:r>
            <w:r w:rsidRPr="00275F80">
              <w:rPr>
                <w:rFonts w:ascii="Cambria Math" w:hAnsi="Cambria Math" w:cs="Cambria Math"/>
                <w:color w:val="000000"/>
                <w:sz w:val="20"/>
              </w:rPr>
              <w:t>₃⁻</w:t>
            </w:r>
            <w:r w:rsidRPr="00275F80">
              <w:rPr>
                <w:rFonts w:ascii="Arial" w:hAnsi="Arial" w:cs="Arial"/>
                <w:color w:val="000000"/>
                <w:sz w:val="20"/>
              </w:rPr>
              <w:t xml:space="preserve"> (99.6%) removal within 24 h during aerobic denitrification. Negligible NO</w:t>
            </w:r>
            <w:r w:rsidRPr="00275F80">
              <w:rPr>
                <w:rFonts w:ascii="Cambria Math" w:hAnsi="Cambria Math" w:cs="Cambria Math"/>
                <w:color w:val="000000"/>
                <w:sz w:val="20"/>
              </w:rPr>
              <w:t>₂⁻</w:t>
            </w:r>
            <w:r w:rsidRPr="00275F80">
              <w:rPr>
                <w:rFonts w:ascii="Arial" w:hAnsi="Arial" w:cs="Arial"/>
                <w:color w:val="000000"/>
                <w:sz w:val="20"/>
              </w:rPr>
              <w:t xml:space="preserve"> or N</w:t>
            </w:r>
            <w:r w:rsidRPr="00275F80">
              <w:rPr>
                <w:rFonts w:ascii="Cambria Math" w:hAnsi="Cambria Math" w:cs="Cambria Math"/>
                <w:color w:val="000000"/>
                <w:sz w:val="20"/>
              </w:rPr>
              <w:t>₂</w:t>
            </w:r>
            <w:r w:rsidRPr="00275F80">
              <w:rPr>
                <w:rFonts w:ascii="Arial" w:hAnsi="Arial" w:cs="Arial"/>
                <w:color w:val="000000"/>
                <w:sz w:val="20"/>
              </w:rPr>
              <w:t>O accumulation occurred.</w:t>
            </w:r>
          </w:p>
        </w:tc>
        <w:tc>
          <w:tcPr>
            <w:tcW w:w="0" w:type="auto"/>
            <w:shd w:val="clear" w:color="auto" w:fill="auto"/>
            <w:hideMark/>
          </w:tcPr>
          <w:p w14:paraId="7C35E628" w14:textId="3BFAA5F0"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{"citationID":"6TpBznxm","properties":{"formattedCitation":"(35)","plainCitation":"(35)","noteIndex":0},"citationItems":[{"id":788,"uris":["http://zotero.org/users/12257494/items/6XRRAZN4"],"itemData":{"id":788,"type":"article-journal","abstract":"A novel strain NP5 with efficient heterotrophic nitrification, aerobic denitrification and phosphorus accumulation ability was isolated and identified as Pseudomonas putida strain NP5. The removed ammonium and phosphate were mainly converted into intracellular components by assimilation, and negligible nitrification intermediates and N2O were accumulated during heterotrophic nitrification. In addition, the optimal conditions for nutrient removal were: succinate as carbon source, C/N 10, P/N 0.2, temperature 30 °C, salinity 0% and shaking speed 160 rpm. Besides, strain NP5 possessed an exceptional heavy metal and nanoparticles resistance. Cr6+ was found to be the most toxic among the tested metals, and it could be removed simultaneously. Moreover, an obvious phosphorus release was observed under anaerobic condition, and repeated exposure to the anaerobic/aerobic conditions could significantly improve the nutrient removal. Furthermore, the successful expression of key enzymes for nitrogen and phosphorous removal provided additional evidence for possibility of simultaneous nitrification, denitrification and phosphorus removal.","container-title":"Bioresource Technology","DOI":"10.1016/j.biortech.2019.121360","ISSN":"1873-2976","journalAbbreviation":"Bioresour Technol","language":"eng","note":"PMID: 31015182","page":"121360","source":"PubMed","title":"Simultaneous removal of nitrogen and phosphorous by heterotrophic nitrification-aerobic denitrification of a metal resistant bacterium Pseudomonas putida strain NP5","volume":"285","author":[{"family":"Yang","given":"Lei"},{"family":"Wang","given":"Xu-Hui"},{"family":"Cui","given":"Shen"},{"family":"Ren","given":"Yong-Xiang"},{"family":"Yu","given":"Jie"},{"family":"Chen","given":"Ning"},{"family":"Xiao","given":"Qian"},{"family":"Guo","given":"Lin-Kai"},{"family":"Wang","given":"Rui-Hua"}],"issued":{"date-parts":[["2019",8]]}}}],"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(35)</w:t>
            </w:r>
            <w:r w:rsidRPr="00275F80">
              <w:rPr>
                <w:rFonts w:ascii="Arial" w:hAnsi="Arial" w:cs="Arial"/>
                <w:color w:val="000000"/>
                <w:sz w:val="20"/>
              </w:rPr>
              <w:fldChar w:fldCharType="end"/>
            </w:r>
          </w:p>
        </w:tc>
      </w:tr>
      <w:tr w:rsidR="00F83A06" w:rsidRPr="00275F80" w14:paraId="4771B1D4" w14:textId="77777777" w:rsidTr="00EC0BD3">
        <w:trPr>
          <w:trHeight w:val="285"/>
        </w:trPr>
        <w:tc>
          <w:tcPr>
            <w:tcW w:w="0" w:type="auto"/>
            <w:shd w:val="clear" w:color="auto" w:fill="auto"/>
            <w:hideMark/>
          </w:tcPr>
          <w:p w14:paraId="2D8F7DDF" w14:textId="77777777" w:rsidR="00F83A06" w:rsidRPr="00275F80" w:rsidRDefault="00F83A06" w:rsidP="006D6457">
            <w:pPr>
              <w:spacing w:line="480" w:lineRule="auto"/>
              <w:rPr>
                <w:rFonts w:ascii="Arial" w:hAnsi="Arial" w:cs="Arial"/>
                <w:color w:val="000000"/>
                <w:sz w:val="20"/>
              </w:rPr>
            </w:pPr>
            <w:proofErr w:type="spellStart"/>
            <w:r w:rsidRPr="00275F80">
              <w:rPr>
                <w:rFonts w:ascii="Arial" w:hAnsi="Arial" w:cs="Arial"/>
                <w:i/>
                <w:iCs/>
                <w:color w:val="000000"/>
                <w:sz w:val="20"/>
              </w:rPr>
              <w:t>Paracoccus</w:t>
            </w:r>
            <w:proofErr w:type="spellEnd"/>
            <w:r w:rsidRPr="00275F80">
              <w:rPr>
                <w:rFonts w:ascii="Arial" w:hAnsi="Arial" w:cs="Arial"/>
                <w:i/>
                <w:iCs/>
                <w:color w:val="000000"/>
                <w:sz w:val="20"/>
              </w:rPr>
              <w:t xml:space="preserve"> </w:t>
            </w:r>
            <w:proofErr w:type="spellStart"/>
            <w:r w:rsidRPr="00275F80">
              <w:rPr>
                <w:rFonts w:ascii="Arial" w:hAnsi="Arial" w:cs="Arial"/>
                <w:i/>
                <w:iCs/>
                <w:color w:val="000000"/>
                <w:sz w:val="20"/>
              </w:rPr>
              <w:t>denitrificans</w:t>
            </w:r>
            <w:proofErr w:type="spellEnd"/>
            <w:r w:rsidRPr="00275F80">
              <w:rPr>
                <w:rFonts w:ascii="Arial" w:hAnsi="Arial" w:cs="Arial"/>
                <w:color w:val="000000"/>
                <w:sz w:val="20"/>
              </w:rPr>
              <w:t xml:space="preserve"> (NCIB 8944)</w:t>
            </w:r>
          </w:p>
        </w:tc>
        <w:tc>
          <w:tcPr>
            <w:tcW w:w="0" w:type="auto"/>
            <w:shd w:val="clear" w:color="auto" w:fill="auto"/>
            <w:hideMark/>
          </w:tcPr>
          <w:p w14:paraId="74DC996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Denitrification</w:t>
            </w:r>
          </w:p>
        </w:tc>
        <w:tc>
          <w:tcPr>
            <w:tcW w:w="0" w:type="auto"/>
            <w:shd w:val="clear" w:color="auto" w:fill="auto"/>
            <w:hideMark/>
          </w:tcPr>
          <w:p w14:paraId="4DF5992C"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Succinate was used as the carbon source during anaerobic growth with nitrate as electron acceptor. It fueled the respiratory chain linked to denitrification.</w:t>
            </w:r>
          </w:p>
        </w:tc>
        <w:tc>
          <w:tcPr>
            <w:tcW w:w="0" w:type="auto"/>
            <w:shd w:val="clear" w:color="auto" w:fill="auto"/>
            <w:hideMark/>
          </w:tcPr>
          <w:p w14:paraId="620212F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Cells reduced nitrate → nitrite → nitrous oxide → N</w:t>
            </w:r>
            <w:r w:rsidRPr="00275F80">
              <w:rPr>
                <w:rFonts w:ascii="Cambria Math" w:hAnsi="Cambria Math" w:cs="Cambria Math"/>
                <w:color w:val="000000"/>
                <w:sz w:val="20"/>
              </w:rPr>
              <w:t>₂</w:t>
            </w:r>
            <w:r w:rsidRPr="00275F80">
              <w:rPr>
                <w:rFonts w:ascii="Arial" w:hAnsi="Arial" w:cs="Arial"/>
                <w:color w:val="000000"/>
                <w:sz w:val="20"/>
              </w:rPr>
              <w:t xml:space="preserve"> without accumulation of intermediates. Electron flow from succinate supported complete denitrification</w:t>
            </w:r>
          </w:p>
        </w:tc>
        <w:tc>
          <w:tcPr>
            <w:tcW w:w="0" w:type="auto"/>
            <w:shd w:val="clear" w:color="auto" w:fill="auto"/>
            <w:hideMark/>
          </w:tcPr>
          <w:p w14:paraId="049E4961" w14:textId="52F8FBC8"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{"citationID":"Psq2r1LX","properties":{"formattedCitation":"(36)","plainCitation":"(36)","noteIndex":0},"citationItems":[{"id":790,"uris":["http://zotero.org/users/12257494/items/VF6MZHDL"],"itemData":{"id":790,"type":"article-journal","abstract":"(1) Under anaerobic conditions the respiratory chain in cells of Paracoccus denitrificans, from late exponential cultures grown anaerobically with nitrate as electron acceptor and succinate as carbon source, has been shown to reduce added nitrate via nitrite and nitrous oxide to nitrogen without any accumulation of these intermediates. (2) Addition of nitrous oxide to cells reducing nitrate strongly inhibited the latter reaction. The inhibition was reversed by preventing electron flow to nitrous oxide with either antimycin or acetylene. Electron flow to nitrous oxide thus resembles electron flow to oxygen in its inhibitory effect on nitrate reduction. In contrast, addition of nitrite to an anaerobic suspension of cells reducing nitrate resulted in a stimulation of nitrate reductase activity. Usually, addition of nitrite also partially overcame the inhibitory effect of nitrous oxide on nitrate reduction. The reason why added nitrous oxide, but not nitrite, inhibits nitrate reduction is suggested to be related to the higher reductase activity of the cells for nitrous oxide compared with nitrite. Explanations for the unexpected stimulation of nitrate reduction by nitrite in the presence or absence of added nitrous oxide are considered. (3) Nitrous oxide reductase was shown to be a periplasmic protein that competed with nitrite reductase for electrons from reduced cytochrome c. Added nitrous oxide strongly inhibited the reduction of added nitrite. (4) Nitrite reductase activity of cells was strongly inhibited by oxygen in the presence of physiological reductants, but nitrite reduction did occur in the presence of oxygen when isoascorbate plus N,N,N′,N′-tetramethyl-p-phenylenediamine was the reductant. It is concluded that competition for available electrons by two oxidases, cytochrome aa3 and cytochrome o, severely restricted electron flow to the nitrite reductase (cytochrome cd). For this reason it is unlikely that the oxidase activity of this cytochrome is ever functional in cells. (5) The mechanism by which electron flow to oxygen or nitrous oxide inhibits nitrate reduction in cells has been investigated. It is argued that relatively small changes in the extent of reduction of ubiquinone, or of another component of the respiratory chain with similar redox potential, critically determine the capacity for reducing nitrate. The argument is based on: (i) the response of an anthroyloxystearic acid fluorescent probe that is sensitive to changes in the oxidation state of ubiquinone; (ii) consideration of the total rates of electron flow through ubiquinone both in the presence of oxygen and in the presence of nitrate under anaerobic conditions; (iii) use of relative extents of oxidation of b-type cytochromes as an indicator of ubiquinone redox state, especially the finding that b-type cytochrome of the antimycin-sensitive part of the respiratory chain is more oxidised in the presence of added nitrous oxide, which inhibits nitrate reduction, than in the presence of added nitrite which does not inhibit. Arguments against b- or c-type cytochromes themselves controlling nitrate reduction are given. (6) In principle, control on nitrate reduction could be exerted either upon electron flow or upon the movement of nitrate to the active site of its reductase. The observations that inverted membrane vesicles and detergent-treated cells reduced nitrate and oxygen simultaneously at a range of total rates of electron flow are taken to support the latter mechanism. The failure of an additional reductant, durohydroquinone, to activate nitrate reduction under aerobic conditions in the presence of succinate is also evidence that it is not an inadequate supply of electrons that prevents the functioning of nitrate reductase under aerobic conditions. (7) In inverted membrane vesicles the division of electron flow between nitrate and oxygen is determined by a competition mechanism, in contrast to cells. This change in behaviour upon converting cells to vesicles cannot be attributed to loss of cytochrome c, and therefore of oxidase activity, from the vesicles because a similar change in behaviour was seen with vesicles prepared from cells of a cytochrome c-deficient mutant.","container-title":"Biochimica et Biophysica Acta (BBA) - Bioenergetics","DOI":"10.1016/0005-2728(83)90022-1","ISSN":"0005-2728","issue":"1","journalAbbreviation":"Biochimica et Biophysica Acta (BBA) - Bioenergetics","page":"20-39","source":"ScienceDirect","title":"Selection and organisation of denitrifying electron-transfer pathways in &lt;i&gt;Paracoccus denitrificans&lt;/i&gt;","volume":"724","author":[{"family":"Alefounder","given":"Peter R."},{"family":"Greenfield","given":"Anthony J."},{"family":"McCarthy","given":"John E. G."},{"family":"Ferguson","given":"Stuart J."}],"issued":{"date-parts":[["1983",7,29]]}}}],"schema":"https://github.com/citation-style-language/schema/raw/master/csl-citation.json"}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(36)</w:t>
            </w:r>
            <w:r w:rsidRPr="00275F80">
              <w:rPr>
                <w:rFonts w:ascii="Arial" w:hAnsi="Arial" w:cs="Arial"/>
                <w:color w:val="000000"/>
                <w:sz w:val="20"/>
              </w:rPr>
              <w:fldChar w:fldCharType="end"/>
            </w:r>
          </w:p>
        </w:tc>
      </w:tr>
      <w:tr w:rsidR="00F83A06" w:rsidRPr="00275F80" w14:paraId="2183D2A7" w14:textId="77777777" w:rsidTr="00EC0BD3">
        <w:trPr>
          <w:trHeight w:val="285"/>
        </w:trPr>
        <w:tc>
          <w:tcPr>
            <w:tcW w:w="0" w:type="auto"/>
            <w:shd w:val="clear" w:color="auto" w:fill="auto"/>
            <w:hideMark/>
          </w:tcPr>
          <w:p w14:paraId="6FBFF691" w14:textId="77777777" w:rsidR="00F83A06" w:rsidRPr="00275F80" w:rsidRDefault="00F83A06" w:rsidP="006D6457">
            <w:pPr>
              <w:spacing w:line="480" w:lineRule="auto"/>
              <w:rPr>
                <w:rFonts w:ascii="Arial" w:hAnsi="Arial" w:cs="Arial"/>
                <w:color w:val="000000"/>
                <w:sz w:val="20"/>
              </w:rPr>
            </w:pPr>
            <w:proofErr w:type="spellStart"/>
            <w:r w:rsidRPr="00275F80">
              <w:rPr>
                <w:rFonts w:ascii="Arial" w:hAnsi="Arial" w:cs="Arial"/>
                <w:i/>
                <w:iCs/>
                <w:color w:val="000000"/>
                <w:sz w:val="20"/>
              </w:rPr>
              <w:t>Paracoccus</w:t>
            </w:r>
            <w:proofErr w:type="spellEnd"/>
            <w:r w:rsidRPr="00275F80">
              <w:rPr>
                <w:rFonts w:ascii="Arial" w:hAnsi="Arial" w:cs="Arial"/>
                <w:i/>
                <w:iCs/>
                <w:color w:val="000000"/>
                <w:sz w:val="20"/>
              </w:rPr>
              <w:t xml:space="preserve"> </w:t>
            </w:r>
            <w:proofErr w:type="spellStart"/>
            <w:r w:rsidRPr="00275F80">
              <w:rPr>
                <w:rFonts w:ascii="Arial" w:hAnsi="Arial" w:cs="Arial"/>
                <w:i/>
                <w:iCs/>
                <w:color w:val="000000"/>
                <w:sz w:val="20"/>
              </w:rPr>
              <w:t>denitrificans</w:t>
            </w:r>
            <w:proofErr w:type="spellEnd"/>
            <w:r w:rsidRPr="00275F80">
              <w:rPr>
                <w:rFonts w:ascii="Arial" w:hAnsi="Arial" w:cs="Arial"/>
                <w:color w:val="000000"/>
                <w:sz w:val="20"/>
              </w:rPr>
              <w:t xml:space="preserve"> PD1222</w:t>
            </w:r>
          </w:p>
        </w:tc>
        <w:tc>
          <w:tcPr>
            <w:tcW w:w="0" w:type="auto"/>
            <w:shd w:val="clear" w:color="auto" w:fill="auto"/>
            <w:hideMark/>
          </w:tcPr>
          <w:p w14:paraId="32630FB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Denitrification</w:t>
            </w:r>
          </w:p>
        </w:tc>
        <w:tc>
          <w:tcPr>
            <w:tcW w:w="0" w:type="auto"/>
            <w:shd w:val="clear" w:color="auto" w:fill="auto"/>
            <w:hideMark/>
          </w:tcPr>
          <w:p w14:paraId="1D5F914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Succinate was supplied as the sole carbon source (30 mM) during anaerobic denitrification assays.</w:t>
            </w:r>
          </w:p>
        </w:tc>
        <w:tc>
          <w:tcPr>
            <w:tcW w:w="0" w:type="auto"/>
            <w:shd w:val="clear" w:color="auto" w:fill="auto"/>
            <w:hideMark/>
          </w:tcPr>
          <w:p w14:paraId="76549BB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 xml:space="preserve">With succinate, </w:t>
            </w:r>
            <w:proofErr w:type="spellStart"/>
            <w:r w:rsidRPr="00275F80">
              <w:rPr>
                <w:rFonts w:ascii="Arial" w:hAnsi="Arial" w:cs="Arial"/>
                <w:i/>
                <w:iCs/>
                <w:color w:val="000000"/>
                <w:sz w:val="20"/>
              </w:rPr>
              <w:t>Paracoccus</w:t>
            </w:r>
            <w:proofErr w:type="spellEnd"/>
            <w:r w:rsidRPr="00275F80">
              <w:rPr>
                <w:rFonts w:ascii="Arial" w:hAnsi="Arial" w:cs="Arial"/>
                <w:i/>
                <w:iCs/>
                <w:color w:val="000000"/>
                <w:sz w:val="20"/>
              </w:rPr>
              <w:t xml:space="preserve"> </w:t>
            </w:r>
            <w:proofErr w:type="spellStart"/>
            <w:r w:rsidRPr="00275F80">
              <w:rPr>
                <w:rFonts w:ascii="Arial" w:hAnsi="Arial" w:cs="Arial"/>
                <w:i/>
                <w:iCs/>
                <w:color w:val="000000"/>
                <w:sz w:val="20"/>
              </w:rPr>
              <w:t>denitrificans</w:t>
            </w:r>
            <w:proofErr w:type="spellEnd"/>
            <w:r w:rsidRPr="00275F80">
              <w:rPr>
                <w:rFonts w:ascii="Arial" w:hAnsi="Arial" w:cs="Arial"/>
                <w:color w:val="000000"/>
                <w:sz w:val="20"/>
              </w:rPr>
              <w:t xml:space="preserve"> PD1222 carried out complete denitrification (NO</w:t>
            </w:r>
            <w:r w:rsidRPr="00275F80">
              <w:rPr>
                <w:rFonts w:ascii="Cambria Math" w:hAnsi="Cambria Math" w:cs="Cambria Math"/>
                <w:color w:val="000000"/>
                <w:sz w:val="20"/>
              </w:rPr>
              <w:t>₃⁻</w:t>
            </w:r>
            <w:r w:rsidRPr="00275F80">
              <w:rPr>
                <w:rFonts w:ascii="Arial" w:hAnsi="Arial" w:cs="Arial"/>
                <w:color w:val="000000"/>
                <w:sz w:val="20"/>
              </w:rPr>
              <w:t xml:space="preserve"> → NO</w:t>
            </w:r>
            <w:r w:rsidRPr="00275F80">
              <w:rPr>
                <w:rFonts w:ascii="Cambria Math" w:hAnsi="Cambria Math" w:cs="Cambria Math"/>
                <w:color w:val="000000"/>
                <w:sz w:val="20"/>
              </w:rPr>
              <w:t>₂⁻</w:t>
            </w:r>
            <w:r w:rsidRPr="00275F80">
              <w:rPr>
                <w:rFonts w:ascii="Arial" w:hAnsi="Arial" w:cs="Arial"/>
                <w:color w:val="000000"/>
                <w:sz w:val="20"/>
              </w:rPr>
              <w:t xml:space="preserve"> → NO → N</w:t>
            </w:r>
            <w:r w:rsidRPr="00275F80">
              <w:rPr>
                <w:rFonts w:ascii="Cambria Math" w:hAnsi="Cambria Math" w:cs="Cambria Math"/>
                <w:color w:val="000000"/>
                <w:sz w:val="20"/>
              </w:rPr>
              <w:t>₂</w:t>
            </w:r>
            <w:r w:rsidRPr="00275F80">
              <w:rPr>
                <w:rFonts w:ascii="Arial" w:hAnsi="Arial" w:cs="Arial"/>
                <w:color w:val="000000"/>
                <w:sz w:val="20"/>
              </w:rPr>
              <w:t>O → N</w:t>
            </w:r>
            <w:r w:rsidRPr="00275F80">
              <w:rPr>
                <w:rFonts w:ascii="Cambria Math" w:hAnsi="Cambria Math" w:cs="Cambria Math"/>
                <w:color w:val="000000"/>
                <w:sz w:val="20"/>
              </w:rPr>
              <w:t>₂</w:t>
            </w:r>
            <w:r w:rsidRPr="00275F80">
              <w:rPr>
                <w:rFonts w:ascii="Arial" w:hAnsi="Arial" w:cs="Arial"/>
                <w:color w:val="000000"/>
                <w:sz w:val="20"/>
              </w:rPr>
              <w:t>) without accumulation of gaseous intermediates.</w:t>
            </w:r>
          </w:p>
        </w:tc>
        <w:tc>
          <w:tcPr>
            <w:tcW w:w="0" w:type="auto"/>
            <w:shd w:val="clear" w:color="auto" w:fill="auto"/>
            <w:hideMark/>
          </w:tcPr>
          <w:p w14:paraId="26E7B126" w14:textId="53FF66C3"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{"citationID":"vxxRFxaq","properties":{"formattedCitation":"(37)","plainCitation":"(37)","noteIndex":0},"citationItems":[{"id":792,"uris":["http://zotero.org/users/12257494/items/S5HRAMWD"],"itemData":{"id":792,"type":"article-journal","abstract":"Denitrification is a respiratory process that produces nitrous oxide as an intermediate, which may escape to the atmosphere before its reduction to dinitrogen through the nitrous oxide reductase NosZ. In this work, the denitrification process carried out by Paracoccus denitrificans PD1222 has been explored through a quantitative proteomic analysis. Under anaerobic conditions, with nitrate as sole nitrogen source, the synthesis of all the enzymes involved in denitrification, the respiratory nitrate, nitrite, nitric oxide, and nitrous oxide reductases, was increased. However, the periplasmic and assimilatory nitrate reductases decreased. Synthesis of transporters for alcohols, D-methionine, sulfate and copper, most of the enzymes involved in the tricarboxylic acid cycle, and proteins involved in other metabolic processes like lysine catabolism, fatty acids degradation and acetyl-CoA synthesis, was increased during denitrification in P. denitrificans PD1222. As consequence, an enhanced production of the central metabolite acetyl-CoA was observed. After establishing the key features of the denitrification proteome, its changes by the influence of a competitive electron acceptor, oxygen, or competitive nitrogen source, ammonium, were evaluated.","container-title":"Frontiers in Microbiology","DOI":"10.3389/fmicb.2018.01137","ISSN":"1664-302X","journalAbbreviation":"Front Microbiol","language":"eng","note":"PMID: 29896187\nPMCID: PMC5987163","page":"1137","source":"PubMed","title":"Exploring the Denitrification Proteome of Paracoccus denitrificans PD1222","volume":"9","author":[{"family":"Olaya-Abril","given":"Alfonso"},{"family":"Hidalgo-Carrillo","given":"Jesús"},{"family":"Luque-Almagro","given":"Víctor M."},{"family":"Fuentes-Almagro","given":"Carlos"},{"family":"Urbano","given":"Francisco J."},{"family":"Moreno-Vivián","given":"Conrado"},{"family":"Richardson","given":"David J."},{"family":"Roldán","given":"María D."}],"issued":{"date-parts":[["2018"]]}}}],"schema":"https://github.com/citation-style-language/schema/raw/master/csl-citation.json"}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(37)</w:t>
            </w:r>
            <w:r w:rsidRPr="00275F80">
              <w:rPr>
                <w:rFonts w:ascii="Arial" w:hAnsi="Arial" w:cs="Arial"/>
                <w:color w:val="000000"/>
                <w:sz w:val="20"/>
              </w:rPr>
              <w:fldChar w:fldCharType="end"/>
            </w:r>
          </w:p>
        </w:tc>
      </w:tr>
      <w:tr w:rsidR="00F83A06" w:rsidRPr="00275F80" w14:paraId="24F63401" w14:textId="77777777" w:rsidTr="00EC0BD3">
        <w:trPr>
          <w:trHeight w:val="285"/>
        </w:trPr>
        <w:tc>
          <w:tcPr>
            <w:tcW w:w="0" w:type="auto"/>
            <w:shd w:val="clear" w:color="auto" w:fill="auto"/>
            <w:hideMark/>
          </w:tcPr>
          <w:p w14:paraId="59350DF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 xml:space="preserve">Mixed microbial community (biofilms in PBS-packed reactors). Microbial analysis showed dominance of </w:t>
            </w:r>
            <w:proofErr w:type="spellStart"/>
            <w:r w:rsidRPr="00275F80">
              <w:rPr>
                <w:rFonts w:ascii="Arial" w:hAnsi="Arial" w:cs="Arial"/>
                <w:color w:val="000000"/>
                <w:sz w:val="20"/>
              </w:rPr>
              <w:t>Azoarcus</w:t>
            </w:r>
            <w:proofErr w:type="spellEnd"/>
            <w:r w:rsidRPr="00275F80">
              <w:rPr>
                <w:rFonts w:ascii="Arial" w:hAnsi="Arial" w:cs="Arial"/>
                <w:color w:val="000000"/>
                <w:sz w:val="20"/>
              </w:rPr>
              <w:t xml:space="preserve">, </w:t>
            </w:r>
            <w:proofErr w:type="spellStart"/>
            <w:r w:rsidRPr="00275F80">
              <w:rPr>
                <w:rFonts w:ascii="Arial" w:hAnsi="Arial" w:cs="Arial"/>
                <w:color w:val="000000"/>
                <w:sz w:val="20"/>
              </w:rPr>
              <w:t>Simplicispira</w:t>
            </w:r>
            <w:proofErr w:type="spellEnd"/>
            <w:r w:rsidRPr="00275F80">
              <w:rPr>
                <w:rFonts w:ascii="Arial" w:hAnsi="Arial" w:cs="Arial"/>
                <w:color w:val="000000"/>
                <w:sz w:val="20"/>
              </w:rPr>
              <w:t xml:space="preserve">, </w:t>
            </w:r>
            <w:proofErr w:type="spellStart"/>
            <w:r w:rsidRPr="00275F80">
              <w:rPr>
                <w:rFonts w:ascii="Arial" w:hAnsi="Arial" w:cs="Arial"/>
                <w:color w:val="000000"/>
                <w:sz w:val="20"/>
              </w:rPr>
              <w:t>Acidovorax</w:t>
            </w:r>
            <w:proofErr w:type="spellEnd"/>
            <w:r w:rsidRPr="00275F80">
              <w:rPr>
                <w:rFonts w:ascii="Arial" w:hAnsi="Arial" w:cs="Arial"/>
                <w:color w:val="000000"/>
                <w:sz w:val="20"/>
              </w:rPr>
              <w:t xml:space="preserve">, </w:t>
            </w:r>
            <w:proofErr w:type="spellStart"/>
            <w:r w:rsidRPr="00275F80">
              <w:rPr>
                <w:rFonts w:ascii="Arial" w:hAnsi="Arial" w:cs="Arial"/>
                <w:color w:val="000000"/>
                <w:sz w:val="20"/>
              </w:rPr>
              <w:t>Comamonas</w:t>
            </w:r>
            <w:proofErr w:type="spellEnd"/>
            <w:r w:rsidRPr="00275F80">
              <w:rPr>
                <w:rFonts w:ascii="Arial" w:hAnsi="Arial" w:cs="Arial"/>
                <w:color w:val="000000"/>
                <w:sz w:val="20"/>
              </w:rPr>
              <w:t xml:space="preserve">, </w:t>
            </w:r>
            <w:proofErr w:type="spellStart"/>
            <w:r w:rsidRPr="00275F80">
              <w:rPr>
                <w:rFonts w:ascii="Arial" w:hAnsi="Arial" w:cs="Arial"/>
                <w:color w:val="000000"/>
                <w:sz w:val="20"/>
              </w:rPr>
              <w:t>Paracoccus</w:t>
            </w:r>
            <w:proofErr w:type="spellEnd"/>
            <w:r w:rsidRPr="00275F80">
              <w:rPr>
                <w:rFonts w:ascii="Arial" w:hAnsi="Arial" w:cs="Arial"/>
                <w:color w:val="000000"/>
                <w:sz w:val="20"/>
              </w:rPr>
              <w:t xml:space="preserve">, </w:t>
            </w:r>
            <w:proofErr w:type="spellStart"/>
            <w:r w:rsidRPr="00275F80">
              <w:rPr>
                <w:rFonts w:ascii="Arial" w:hAnsi="Arial" w:cs="Arial"/>
                <w:color w:val="000000"/>
                <w:sz w:val="20"/>
              </w:rPr>
              <w:t>Labrenzia</w:t>
            </w:r>
            <w:proofErr w:type="spellEnd"/>
            <w:r w:rsidRPr="00275F80">
              <w:rPr>
                <w:rFonts w:ascii="Arial" w:hAnsi="Arial" w:cs="Arial"/>
                <w:color w:val="000000"/>
                <w:sz w:val="20"/>
              </w:rPr>
              <w:t>, all linked to heterotrophic denitrification.</w:t>
            </w:r>
          </w:p>
        </w:tc>
        <w:tc>
          <w:tcPr>
            <w:tcW w:w="0" w:type="auto"/>
            <w:shd w:val="clear" w:color="auto" w:fill="auto"/>
            <w:hideMark/>
          </w:tcPr>
          <w:p w14:paraId="6365602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Denitrification</w:t>
            </w:r>
          </w:p>
        </w:tc>
        <w:tc>
          <w:tcPr>
            <w:tcW w:w="0" w:type="auto"/>
            <w:shd w:val="clear" w:color="auto" w:fill="auto"/>
            <w:hideMark/>
          </w:tcPr>
          <w:p w14:paraId="43274E9A" w14:textId="77777777" w:rsidR="00F83A06" w:rsidRPr="00275F80" w:rsidRDefault="00F83A06" w:rsidP="006D6457">
            <w:pPr>
              <w:spacing w:line="480" w:lineRule="auto"/>
              <w:rPr>
                <w:rFonts w:ascii="Arial" w:hAnsi="Arial" w:cs="Arial"/>
                <w:color w:val="000000"/>
                <w:sz w:val="20"/>
              </w:rPr>
            </w:pPr>
            <w:proofErr w:type="gramStart"/>
            <w:r w:rsidRPr="00275F80">
              <w:rPr>
                <w:rFonts w:ascii="Arial" w:hAnsi="Arial" w:cs="Arial"/>
                <w:color w:val="000000"/>
                <w:sz w:val="20"/>
              </w:rPr>
              <w:t>Poly(</w:t>
            </w:r>
            <w:proofErr w:type="gramEnd"/>
            <w:r w:rsidRPr="00275F80">
              <w:rPr>
                <w:rFonts w:ascii="Arial" w:hAnsi="Arial" w:cs="Arial"/>
                <w:color w:val="000000"/>
                <w:sz w:val="20"/>
              </w:rPr>
              <w:t xml:space="preserve">butylene succinate) (PBS) acted as both solid carbon source and biofilm carrier for </w:t>
            </w:r>
            <w:proofErr w:type="spellStart"/>
            <w:r w:rsidRPr="00275F80">
              <w:rPr>
                <w:rFonts w:ascii="Arial" w:hAnsi="Arial" w:cs="Arial"/>
                <w:color w:val="000000"/>
                <w:sz w:val="20"/>
              </w:rPr>
              <w:t>denitrifiers</w:t>
            </w:r>
            <w:proofErr w:type="spellEnd"/>
            <w:r w:rsidRPr="00275F80">
              <w:rPr>
                <w:rFonts w:ascii="Arial" w:hAnsi="Arial" w:cs="Arial"/>
                <w:color w:val="000000"/>
                <w:sz w:val="20"/>
              </w:rPr>
              <w:t>. Succinate was released gradually during polymer degradation and used as electron donor for denitrification</w:t>
            </w:r>
          </w:p>
        </w:tc>
        <w:tc>
          <w:tcPr>
            <w:tcW w:w="0" w:type="auto"/>
            <w:shd w:val="clear" w:color="auto" w:fill="auto"/>
            <w:hideMark/>
          </w:tcPr>
          <w:p w14:paraId="55FF42E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Stable denitrification achieved with real RAS (recirculating aquaculture system) wastewater: denitrification rates up to 0.53-0.66 kg NO</w:t>
            </w:r>
            <w:r w:rsidRPr="00275F80">
              <w:rPr>
                <w:rFonts w:ascii="Cambria Math" w:hAnsi="Cambria Math" w:cs="Cambria Math"/>
                <w:color w:val="000000"/>
                <w:sz w:val="20"/>
              </w:rPr>
              <w:t>₃⁻</w:t>
            </w:r>
            <w:r w:rsidRPr="00275F80">
              <w:rPr>
                <w:rFonts w:ascii="Arial" w:hAnsi="Arial" w:cs="Arial"/>
                <w:color w:val="000000"/>
                <w:sz w:val="20"/>
              </w:rPr>
              <w:t>-N m</w:t>
            </w:r>
            <w:r w:rsidRPr="00275F80">
              <w:rPr>
                <w:rFonts w:ascii="Cambria Math" w:hAnsi="Cambria Math" w:cs="Cambria Math"/>
                <w:color w:val="000000"/>
                <w:sz w:val="20"/>
              </w:rPr>
              <w:t>⁻</w:t>
            </w:r>
            <w:r w:rsidRPr="00275F80">
              <w:rPr>
                <w:rFonts w:ascii="Arial" w:hAnsi="Arial" w:cs="Arial"/>
                <w:color w:val="000000"/>
                <w:sz w:val="20"/>
              </w:rPr>
              <w:t>³ d</w:t>
            </w:r>
            <w:r w:rsidRPr="00275F80">
              <w:rPr>
                <w:rFonts w:ascii="Cambria Math" w:hAnsi="Cambria Math" w:cs="Cambria Math"/>
                <w:color w:val="000000"/>
                <w:sz w:val="20"/>
              </w:rPr>
              <w:t>⁻</w:t>
            </w:r>
            <w:r w:rsidRPr="00275F80">
              <w:rPr>
                <w:rFonts w:ascii="Arial" w:hAnsi="Arial" w:cs="Arial"/>
                <w:color w:val="000000"/>
                <w:sz w:val="20"/>
              </w:rPr>
              <w:t xml:space="preserve">¹, with nitrite kept below 1 mg/L. </w:t>
            </w:r>
          </w:p>
        </w:tc>
        <w:tc>
          <w:tcPr>
            <w:tcW w:w="0" w:type="auto"/>
            <w:shd w:val="clear" w:color="auto" w:fill="auto"/>
            <w:hideMark/>
          </w:tcPr>
          <w:p w14:paraId="3CB5C93E" w14:textId="1F5738BA"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{"citationID":"R0frkNKV","properties":{"formattedCitation":"(38)","plainCitation":"(38)","noteIndex":0},"citationItems":[{"id":795,"uris":["http://zotero.org/users/12257494/items/PJWTRZR4"],"itemData":{"id":795,"type":"article-journal","abstract":"Nitrate removal is essential for the sustainable operation of recirculating aquaculture system (RAS). This study evaluated the heterotrophic denitrification using poly(butylene succinate) as carbon source and biofilm carrier for RAS wastewater treatment. The effect of varied operational conditions (influent type, salinity and nitrate loading) on reactor performance and microbial community was investigated. The high denitrification rates of 0.53±0.19kgNO3−-Nm−3d−1 (salinity, 0‰) and 0.66±0.12kgNO3−-Nm−3d−1 (salinity, 25‰) were achieved, and nitrite concentration was maintained below 1mg/L. In addition, the existence of salinity exhibited more stable nitrate removal efficiency, but caused adverse effects such as excessive effluent dissolved organic carbon (DOC) and dissimilation nitrate reduce to ammonia (DNRA) activity. The degradation of PBS was further confirmed by SEM and FTIR analysis. Illumina sequencing revealed the abundance and species changes of functional denitrification and degradation microflora which might be the primary cause of varied reactor performance.","container-title":"Bioresource Technology","DOI":"10.1016/j.biortech.2015.06.021","ISSN":"0960-8524","journalAbbreviation":"Bioresource Technology","page":"603-610","source":"ScienceDirect","title":"Biological denitrification using poly(butylene succinate) as carbon source and biofilm carrier for recirculating aquaculture system effluent treatment","volume":"192","author":[{"family":"Zhu","given":"Song-Ming"},{"family":"Deng","given":"Ya-Le"},{"family":"Ruan","given":"Yun-Jie"},{"family":"Guo","given":"Xi-Shan"},{"family":"Shi","given":"Ming-Ming"},{"family":"Shen","given":"Jia-Zheng"}],"issued":{"date-parts":[["2015",9,1]]}}}],"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(38)</w:t>
            </w:r>
            <w:r w:rsidRPr="00275F80">
              <w:rPr>
                <w:rFonts w:ascii="Arial" w:hAnsi="Arial" w:cs="Arial"/>
                <w:color w:val="000000"/>
                <w:sz w:val="20"/>
              </w:rPr>
              <w:fldChar w:fldCharType="end"/>
            </w:r>
          </w:p>
        </w:tc>
      </w:tr>
      <w:tr w:rsidR="00F83A06" w:rsidRPr="00275F80" w14:paraId="04D90C0C" w14:textId="77777777" w:rsidTr="00EC0BD3">
        <w:trPr>
          <w:trHeight w:val="285"/>
        </w:trPr>
        <w:tc>
          <w:tcPr>
            <w:tcW w:w="0" w:type="auto"/>
            <w:shd w:val="clear" w:color="auto" w:fill="auto"/>
            <w:hideMark/>
          </w:tcPr>
          <w:p w14:paraId="1435D41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 xml:space="preserve">Mixed microbial biofilm (groundwater bioreactor). The major phyla were Proteobacteria, specifically Betaproteobacteria, </w:t>
            </w:r>
            <w:proofErr w:type="spellStart"/>
            <w:r w:rsidRPr="00275F80">
              <w:rPr>
                <w:rFonts w:ascii="Arial" w:hAnsi="Arial" w:cs="Arial"/>
                <w:color w:val="000000"/>
                <w:sz w:val="20"/>
              </w:rPr>
              <w:t>Burkholderiales</w:t>
            </w:r>
            <w:proofErr w:type="spellEnd"/>
            <w:r w:rsidRPr="00275F80">
              <w:rPr>
                <w:rFonts w:ascii="Arial" w:hAnsi="Arial" w:cs="Arial"/>
                <w:color w:val="000000"/>
                <w:sz w:val="20"/>
              </w:rPr>
              <w:t xml:space="preserve">, and </w:t>
            </w:r>
            <w:proofErr w:type="spellStart"/>
            <w:r w:rsidRPr="00275F80">
              <w:rPr>
                <w:rFonts w:ascii="Arial" w:hAnsi="Arial" w:cs="Arial"/>
                <w:color w:val="000000"/>
                <w:sz w:val="20"/>
              </w:rPr>
              <w:t>Comamonadaceae</w:t>
            </w:r>
            <w:proofErr w:type="spellEnd"/>
            <w:r w:rsidRPr="00275F80">
              <w:rPr>
                <w:rFonts w:ascii="Arial" w:hAnsi="Arial" w:cs="Arial"/>
                <w:color w:val="000000"/>
                <w:sz w:val="20"/>
              </w:rPr>
              <w:br/>
              <w:t>the major phyla</w:t>
            </w:r>
          </w:p>
        </w:tc>
        <w:tc>
          <w:tcPr>
            <w:tcW w:w="0" w:type="auto"/>
            <w:shd w:val="clear" w:color="auto" w:fill="auto"/>
            <w:hideMark/>
          </w:tcPr>
          <w:p w14:paraId="70166C5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Denitrification</w:t>
            </w:r>
          </w:p>
        </w:tc>
        <w:tc>
          <w:tcPr>
            <w:tcW w:w="0" w:type="auto"/>
            <w:shd w:val="clear" w:color="auto" w:fill="auto"/>
            <w:hideMark/>
          </w:tcPr>
          <w:p w14:paraId="27482F36" w14:textId="77777777" w:rsidR="00F83A06" w:rsidRPr="00275F80" w:rsidRDefault="00F83A06" w:rsidP="006D6457">
            <w:pPr>
              <w:spacing w:line="480" w:lineRule="auto"/>
              <w:rPr>
                <w:rFonts w:ascii="Arial" w:hAnsi="Arial" w:cs="Arial"/>
                <w:color w:val="000000"/>
                <w:sz w:val="20"/>
              </w:rPr>
            </w:pPr>
            <w:proofErr w:type="gramStart"/>
            <w:r w:rsidRPr="00275F80">
              <w:rPr>
                <w:rFonts w:ascii="Arial" w:hAnsi="Arial" w:cs="Arial"/>
                <w:color w:val="000000"/>
                <w:sz w:val="20"/>
              </w:rPr>
              <w:t>Poly(</w:t>
            </w:r>
            <w:proofErr w:type="gramEnd"/>
            <w:r w:rsidRPr="00275F80">
              <w:rPr>
                <w:rFonts w:ascii="Arial" w:hAnsi="Arial" w:cs="Arial"/>
                <w:color w:val="000000"/>
                <w:sz w:val="20"/>
              </w:rPr>
              <w:t xml:space="preserve">butylene succinate) (PBS) acted as solid carbon source and biofilm carrier. Succinate fueled </w:t>
            </w:r>
            <w:proofErr w:type="spellStart"/>
            <w:r w:rsidRPr="00275F80">
              <w:rPr>
                <w:rFonts w:ascii="Arial" w:hAnsi="Arial" w:cs="Arial"/>
                <w:color w:val="000000"/>
                <w:sz w:val="20"/>
              </w:rPr>
              <w:t>denitrifiers</w:t>
            </w:r>
            <w:proofErr w:type="spellEnd"/>
          </w:p>
        </w:tc>
        <w:tc>
          <w:tcPr>
            <w:tcW w:w="0" w:type="auto"/>
            <w:shd w:val="clear" w:color="auto" w:fill="auto"/>
            <w:hideMark/>
          </w:tcPr>
          <w:p w14:paraId="1747F52C"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Continuous operation for ~2 years achieved 88–97% nitrate removal, effluent nitrate 3.3–8.8 mg/L. Denitrification rates: 0.25–0.35 g N L</w:t>
            </w:r>
            <w:r w:rsidRPr="00275F80">
              <w:rPr>
                <w:rFonts w:ascii="Cambria Math" w:hAnsi="Cambria Math" w:cs="Cambria Math"/>
                <w:color w:val="000000"/>
                <w:sz w:val="20"/>
              </w:rPr>
              <w:t>⁻</w:t>
            </w:r>
            <w:r w:rsidRPr="00275F80">
              <w:rPr>
                <w:rFonts w:ascii="Arial" w:hAnsi="Arial" w:cs="Arial"/>
                <w:color w:val="000000"/>
                <w:sz w:val="20"/>
              </w:rPr>
              <w:t>¹ d</w:t>
            </w:r>
            <w:r w:rsidRPr="00275F80">
              <w:rPr>
                <w:rFonts w:ascii="Cambria Math" w:hAnsi="Cambria Math" w:cs="Cambria Math"/>
                <w:color w:val="000000"/>
                <w:sz w:val="20"/>
              </w:rPr>
              <w:t>⁻</w:t>
            </w:r>
            <w:r w:rsidRPr="00275F80">
              <w:rPr>
                <w:rFonts w:ascii="Arial" w:hAnsi="Arial" w:cs="Arial"/>
                <w:color w:val="000000"/>
                <w:sz w:val="20"/>
              </w:rPr>
              <w:t>¹ (20–29 °C), dropping to 0.12 g N L</w:t>
            </w:r>
            <w:r w:rsidRPr="00275F80">
              <w:rPr>
                <w:rFonts w:ascii="Cambria Math" w:hAnsi="Cambria Math" w:cs="Cambria Math"/>
                <w:color w:val="000000"/>
                <w:sz w:val="20"/>
              </w:rPr>
              <w:t>⁻</w:t>
            </w:r>
            <w:r w:rsidRPr="00275F80">
              <w:rPr>
                <w:rFonts w:ascii="Arial" w:hAnsi="Arial" w:cs="Arial"/>
                <w:color w:val="000000"/>
                <w:sz w:val="20"/>
              </w:rPr>
              <w:t>¹ d</w:t>
            </w:r>
            <w:r w:rsidRPr="00275F80">
              <w:rPr>
                <w:rFonts w:ascii="Cambria Math" w:hAnsi="Cambria Math" w:cs="Cambria Math"/>
                <w:color w:val="000000"/>
                <w:sz w:val="20"/>
              </w:rPr>
              <w:t>⁻</w:t>
            </w:r>
            <w:r w:rsidRPr="00275F80">
              <w:rPr>
                <w:rFonts w:ascii="Arial" w:hAnsi="Arial" w:cs="Arial"/>
                <w:color w:val="000000"/>
                <w:sz w:val="20"/>
              </w:rPr>
              <w:t>¹ (10–18 °C).</w:t>
            </w:r>
          </w:p>
        </w:tc>
        <w:tc>
          <w:tcPr>
            <w:tcW w:w="0" w:type="auto"/>
            <w:shd w:val="clear" w:color="auto" w:fill="auto"/>
            <w:hideMark/>
          </w:tcPr>
          <w:p w14:paraId="3E95688F" w14:textId="28711ED4"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fldChar w:fldCharType="begin"/>
            </w:r>
            <w:r w:rsidR="002A6978">
              <w:rPr>
                <w:rFonts w:ascii="Arial" w:hAnsi="Arial" w:cs="Arial"/>
                <w:color w:val="000000"/>
                <w:sz w:val="20"/>
              </w:rPr>
              <w:instrText xml:space="preserve"> ADDIN ZOTERO_ITEM CSL_CITATION {"citationID":"VMuPXgGW","properties":{"formattedCitation":"(39)","plainCitation":"(39)","noteIndex":0},"citationItems":[{"id":797,"uris":["http://zotero.org/users/12257494/items/UVNDGCDT"],"itemData":{"id":797,"type":"article-journal","abstract":"Nitrate pollution in groundwater is a worldwide problem. This paper reports on the denitrifying performance of using the biodegradable polymer polybutylene succinate (PBS) as a biofilm medium and carbon source to remove nitrate from groundwater via a packed bed bioreactor which was operated continuously for nearly 2 years. Results showed that the effluent nitrate concentration reached 3.3–8.8 mg L−1 and 88–97% of nitrate removal was achieved. The denitrification rate range was 0.25–0.35 g N per L per d at 20–29 °C and decreased to 0.12 g N per L per d at 10–18 °C. According to microelectrode analysis, the nitrate consumption rate (1069 ± 103 μmol cm−1 h−1) was much higher than the ammonium production rate (74 ± 7 μmol cm−1 h−1), which proved that denitrification plays the major role in the system. A low level of DOC (1.7 ± 0.6 mg L−1) and ammonium (0.5 ± 0.3 mg L−1) was observed in the effluent, which was beneficial for practical application. The consumption rate of PBS was 2.75 ± 0.72 g PBS/g NO3–Nremoved. In the attached biofilm, Proteobacteria, Betaproteobacteria, Burkholderiales and Comamonadaceae were the major phyla (75.6%), classes (59.8%), orders (42.3%) and families (42.2%) in each level. In the top 20 genera accounting for 25% of total sequences, 9 genera including Simplicispira, Comamonadaceae, Hydrogenophaga and Rhodocyclaceae were affiliated with denitrifying groups with an abundance of 16%, whereas the bacteria belonging to the other 11 genera including Veillonellaceae, Propionivibrio and Bdellovibrio were reported to have the function of degradation and acidification of organic substance and might serve for degrading PBS in the system. The PBS solid-phase denitrification is promising for removing nitrate from groundwater.","container-title":"RSC Advances","DOI":"10.1039/C7RA11151G","ISSN":"2046-2069","issue":"84","journalAbbreviation":"RSC Adv.","language":"en","note":"publisher: The Royal Society of Chemistry","page":"53454-53462","source":"pubs.rsc.org","title":"Denitrification of groundwater using a biodegradable polymer as a carbon source: long-term performance and microbial diversity","title-short":"Denitrification of groundwater using a biodegradable polymer as a carbon source","volume":"7","author":[{"family":"Chu","given":"Libing"},{"family":"Wang","given":"Jianlong"}],"issued":{"date-parts":[["2017",11,16]]}}}],"schema":"https://github.com/citation-style-language/schema/raw/master/csl-citation.json"} </w:instrText>
            </w:r>
            <w:r w:rsidRPr="00275F80">
              <w:rPr>
                <w:rFonts w:ascii="Arial" w:hAnsi="Arial" w:cs="Arial"/>
                <w:color w:val="000000"/>
                <w:sz w:val="20"/>
              </w:rPr>
              <w:fldChar w:fldCharType="separate"/>
            </w:r>
            <w:r w:rsidR="002A6978" w:rsidRPr="002A6978">
              <w:rPr>
                <w:rFonts w:ascii="Arial" w:hAnsi="Arial" w:cs="Arial"/>
                <w:sz w:val="20"/>
              </w:rPr>
              <w:t>(39)</w:t>
            </w:r>
            <w:r w:rsidRPr="00275F80">
              <w:rPr>
                <w:rFonts w:ascii="Arial" w:hAnsi="Arial" w:cs="Arial"/>
                <w:color w:val="000000"/>
                <w:sz w:val="20"/>
              </w:rPr>
              <w:fldChar w:fldCharType="end"/>
            </w:r>
          </w:p>
        </w:tc>
      </w:tr>
    </w:tbl>
    <w:p w14:paraId="5B19FDAC" w14:textId="77777777" w:rsidR="00451D5E" w:rsidRDefault="00451D5E" w:rsidP="006D6457">
      <w:pPr>
        <w:pStyle w:val="SMHeading"/>
        <w:spacing w:line="480" w:lineRule="auto"/>
        <w:rPr>
          <w:rFonts w:ascii="Arial" w:hAnsi="Arial" w:cs="Arial"/>
          <w:sz w:val="20"/>
          <w:szCs w:val="20"/>
        </w:rPr>
      </w:pPr>
    </w:p>
    <w:p w14:paraId="14DF65F2" w14:textId="39D92981" w:rsidR="00F83A06" w:rsidRPr="00275F80" w:rsidRDefault="00F83A06" w:rsidP="006D6457">
      <w:pPr>
        <w:pStyle w:val="SMHeading"/>
        <w:spacing w:line="480" w:lineRule="auto"/>
        <w:rPr>
          <w:rFonts w:ascii="Arial" w:hAnsi="Arial" w:cs="Arial"/>
          <w:b w:val="0"/>
          <w:bCs w:val="0"/>
          <w:sz w:val="20"/>
          <w:szCs w:val="20"/>
        </w:rPr>
      </w:pPr>
      <w:r w:rsidRPr="00275F80">
        <w:rPr>
          <w:rFonts w:ascii="Arial" w:hAnsi="Arial" w:cs="Arial"/>
          <w:sz w:val="20"/>
          <w:szCs w:val="20"/>
        </w:rPr>
        <w:t>Table S</w:t>
      </w:r>
      <w:r w:rsidR="00451D5E">
        <w:rPr>
          <w:rFonts w:ascii="Arial" w:hAnsi="Arial" w:cs="Arial"/>
          <w:sz w:val="20"/>
          <w:szCs w:val="20"/>
        </w:rPr>
        <w:t>10</w:t>
      </w:r>
      <w:r w:rsidRPr="00275F80">
        <w:rPr>
          <w:rFonts w:ascii="Arial" w:hAnsi="Arial" w:cs="Arial"/>
          <w:sz w:val="20"/>
          <w:szCs w:val="20"/>
        </w:rPr>
        <w:t xml:space="preserve">. </w:t>
      </w:r>
      <w:r w:rsidRPr="00275F80">
        <w:rPr>
          <w:rFonts w:ascii="Arial" w:hAnsi="Arial" w:cs="Arial"/>
          <w:b w:val="0"/>
          <w:bCs w:val="0"/>
          <w:sz w:val="20"/>
          <w:szCs w:val="20"/>
        </w:rPr>
        <w:t xml:space="preserve">Presence or absence of denitrification enzymes in </w:t>
      </w:r>
      <w:r w:rsidRPr="00275F80">
        <w:rPr>
          <w:rFonts w:ascii="Arial" w:hAnsi="Arial" w:cs="Arial"/>
          <w:b w:val="0"/>
          <w:bCs w:val="0"/>
          <w:i/>
          <w:iCs/>
          <w:sz w:val="20"/>
          <w:szCs w:val="20"/>
        </w:rPr>
        <w:t xml:space="preserve">Ax </w:t>
      </w:r>
      <w:r w:rsidRPr="00275F80">
        <w:rPr>
          <w:rFonts w:ascii="Arial" w:hAnsi="Arial" w:cs="Arial"/>
          <w:b w:val="0"/>
          <w:bCs w:val="0"/>
          <w:sz w:val="20"/>
          <w:szCs w:val="20"/>
        </w:rPr>
        <w:t>strains obtained from clinical isolates of patients with cystic fibrosis</w:t>
      </w:r>
    </w:p>
    <w:tbl>
      <w:tblPr>
        <w:tblW w:w="9460" w:type="dxa"/>
        <w:tblLook w:val="04A0" w:firstRow="1" w:lastRow="0" w:firstColumn="1" w:lastColumn="0" w:noHBand="0" w:noVBand="1"/>
      </w:tblPr>
      <w:tblGrid>
        <w:gridCol w:w="1700"/>
        <w:gridCol w:w="1720"/>
        <w:gridCol w:w="1640"/>
        <w:gridCol w:w="2120"/>
        <w:gridCol w:w="2280"/>
      </w:tblGrid>
      <w:tr w:rsidR="00F83A06" w:rsidRPr="00275F80" w14:paraId="50F54092" w14:textId="77777777" w:rsidTr="00EC0BD3">
        <w:trPr>
          <w:trHeight w:val="285"/>
        </w:trPr>
        <w:tc>
          <w:tcPr>
            <w:tcW w:w="170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956B068"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Strain</w:t>
            </w:r>
          </w:p>
        </w:tc>
        <w:tc>
          <w:tcPr>
            <w:tcW w:w="1720" w:type="dxa"/>
            <w:tcBorders>
              <w:top w:val="single" w:sz="4" w:space="0" w:color="000000"/>
              <w:left w:val="nil"/>
              <w:bottom w:val="single" w:sz="4" w:space="0" w:color="000000"/>
              <w:right w:val="single" w:sz="4" w:space="0" w:color="000000"/>
            </w:tcBorders>
            <w:shd w:val="clear" w:color="auto" w:fill="auto"/>
            <w:noWrap/>
            <w:vAlign w:val="center"/>
            <w:hideMark/>
          </w:tcPr>
          <w:p w14:paraId="6DBA6829"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Nitrate reductase</w:t>
            </w:r>
          </w:p>
        </w:tc>
        <w:tc>
          <w:tcPr>
            <w:tcW w:w="1640" w:type="dxa"/>
            <w:tcBorders>
              <w:top w:val="single" w:sz="4" w:space="0" w:color="000000"/>
              <w:left w:val="nil"/>
              <w:bottom w:val="single" w:sz="4" w:space="0" w:color="000000"/>
              <w:right w:val="single" w:sz="4" w:space="0" w:color="000000"/>
            </w:tcBorders>
            <w:shd w:val="clear" w:color="auto" w:fill="auto"/>
            <w:noWrap/>
            <w:vAlign w:val="center"/>
            <w:hideMark/>
          </w:tcPr>
          <w:p w14:paraId="233AD9B1"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Nitrite reductase</w:t>
            </w:r>
          </w:p>
        </w:tc>
        <w:tc>
          <w:tcPr>
            <w:tcW w:w="2120" w:type="dxa"/>
            <w:tcBorders>
              <w:top w:val="single" w:sz="4" w:space="0" w:color="000000"/>
              <w:left w:val="nil"/>
              <w:bottom w:val="single" w:sz="4" w:space="0" w:color="000000"/>
              <w:right w:val="single" w:sz="4" w:space="0" w:color="000000"/>
            </w:tcBorders>
            <w:shd w:val="clear" w:color="auto" w:fill="auto"/>
            <w:noWrap/>
            <w:vAlign w:val="center"/>
            <w:hideMark/>
          </w:tcPr>
          <w:p w14:paraId="23BE2B40"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Nitric oxide reductase</w:t>
            </w:r>
          </w:p>
        </w:tc>
        <w:tc>
          <w:tcPr>
            <w:tcW w:w="2280" w:type="dxa"/>
            <w:tcBorders>
              <w:top w:val="single" w:sz="4" w:space="0" w:color="000000"/>
              <w:left w:val="nil"/>
              <w:bottom w:val="single" w:sz="4" w:space="0" w:color="000000"/>
              <w:right w:val="single" w:sz="4" w:space="0" w:color="000000"/>
            </w:tcBorders>
            <w:shd w:val="clear" w:color="auto" w:fill="auto"/>
            <w:noWrap/>
            <w:vAlign w:val="center"/>
            <w:hideMark/>
          </w:tcPr>
          <w:p w14:paraId="518E08D2" w14:textId="77777777" w:rsidR="00F83A06" w:rsidRPr="00275F80" w:rsidRDefault="00F83A06" w:rsidP="006D6457">
            <w:pPr>
              <w:spacing w:line="480" w:lineRule="auto"/>
              <w:rPr>
                <w:rFonts w:ascii="Arial" w:hAnsi="Arial" w:cs="Arial"/>
                <w:b/>
                <w:bCs/>
                <w:color w:val="000000"/>
                <w:sz w:val="20"/>
              </w:rPr>
            </w:pPr>
            <w:r w:rsidRPr="00275F80">
              <w:rPr>
                <w:rFonts w:ascii="Arial" w:hAnsi="Arial" w:cs="Arial"/>
                <w:b/>
                <w:bCs/>
                <w:color w:val="000000"/>
                <w:sz w:val="20"/>
              </w:rPr>
              <w:t>Nitrous oxide reductase</w:t>
            </w:r>
          </w:p>
        </w:tc>
      </w:tr>
      <w:tr w:rsidR="00F83A06" w:rsidRPr="00275F80" w14:paraId="30239F1B"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6BBB0A8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G1401</w:t>
            </w:r>
          </w:p>
        </w:tc>
        <w:tc>
          <w:tcPr>
            <w:tcW w:w="1720" w:type="dxa"/>
            <w:tcBorders>
              <w:top w:val="nil"/>
              <w:left w:val="nil"/>
              <w:bottom w:val="single" w:sz="4" w:space="0" w:color="000000"/>
              <w:right w:val="single" w:sz="4" w:space="0" w:color="000000"/>
            </w:tcBorders>
            <w:shd w:val="clear" w:color="auto" w:fill="auto"/>
            <w:noWrap/>
            <w:vAlign w:val="center"/>
            <w:hideMark/>
          </w:tcPr>
          <w:p w14:paraId="0190206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113717C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0997444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0B21F0E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4DE33040"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619B8E1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G1407</w:t>
            </w:r>
          </w:p>
        </w:tc>
        <w:tc>
          <w:tcPr>
            <w:tcW w:w="1720" w:type="dxa"/>
            <w:tcBorders>
              <w:top w:val="nil"/>
              <w:left w:val="nil"/>
              <w:bottom w:val="single" w:sz="4" w:space="0" w:color="000000"/>
              <w:right w:val="single" w:sz="4" w:space="0" w:color="000000"/>
            </w:tcBorders>
            <w:shd w:val="clear" w:color="auto" w:fill="auto"/>
            <w:noWrap/>
            <w:vAlign w:val="center"/>
            <w:hideMark/>
          </w:tcPr>
          <w:p w14:paraId="27A6B7D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41E6E2E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519CB70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042656F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2AA08423"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1FBEDE0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G1408</w:t>
            </w:r>
          </w:p>
        </w:tc>
        <w:tc>
          <w:tcPr>
            <w:tcW w:w="1720" w:type="dxa"/>
            <w:tcBorders>
              <w:top w:val="nil"/>
              <w:left w:val="nil"/>
              <w:bottom w:val="single" w:sz="4" w:space="0" w:color="000000"/>
              <w:right w:val="single" w:sz="4" w:space="0" w:color="000000"/>
            </w:tcBorders>
            <w:shd w:val="clear" w:color="auto" w:fill="auto"/>
            <w:noWrap/>
            <w:vAlign w:val="center"/>
            <w:hideMark/>
          </w:tcPr>
          <w:p w14:paraId="7858265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68C34D6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277DC0B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1E57D55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2282AADF"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6AF9ED2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G1409</w:t>
            </w:r>
          </w:p>
        </w:tc>
        <w:tc>
          <w:tcPr>
            <w:tcW w:w="1720" w:type="dxa"/>
            <w:tcBorders>
              <w:top w:val="nil"/>
              <w:left w:val="nil"/>
              <w:bottom w:val="single" w:sz="4" w:space="0" w:color="000000"/>
              <w:right w:val="single" w:sz="4" w:space="0" w:color="000000"/>
            </w:tcBorders>
            <w:shd w:val="clear" w:color="auto" w:fill="auto"/>
            <w:noWrap/>
            <w:vAlign w:val="center"/>
            <w:hideMark/>
          </w:tcPr>
          <w:p w14:paraId="110C0B7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161FEE4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6204054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4F4B9AE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57B7426A"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09E1F8C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G1410</w:t>
            </w:r>
          </w:p>
        </w:tc>
        <w:tc>
          <w:tcPr>
            <w:tcW w:w="1720" w:type="dxa"/>
            <w:tcBorders>
              <w:top w:val="nil"/>
              <w:left w:val="nil"/>
              <w:bottom w:val="single" w:sz="4" w:space="0" w:color="000000"/>
              <w:right w:val="single" w:sz="4" w:space="0" w:color="000000"/>
            </w:tcBorders>
            <w:shd w:val="clear" w:color="auto" w:fill="auto"/>
            <w:noWrap/>
            <w:vAlign w:val="center"/>
            <w:hideMark/>
          </w:tcPr>
          <w:p w14:paraId="3D11432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5A4B1C9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0E94C7B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7CBF734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10E42D07"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2C7BB6A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G1412</w:t>
            </w:r>
          </w:p>
        </w:tc>
        <w:tc>
          <w:tcPr>
            <w:tcW w:w="1720" w:type="dxa"/>
            <w:tcBorders>
              <w:top w:val="nil"/>
              <w:left w:val="nil"/>
              <w:bottom w:val="single" w:sz="4" w:space="0" w:color="000000"/>
              <w:right w:val="single" w:sz="4" w:space="0" w:color="000000"/>
            </w:tcBorders>
            <w:shd w:val="clear" w:color="auto" w:fill="auto"/>
            <w:noWrap/>
            <w:vAlign w:val="center"/>
            <w:hideMark/>
          </w:tcPr>
          <w:p w14:paraId="211AC57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1B17155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5F99942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21D559D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13D77E7C"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1CA0278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G1413</w:t>
            </w:r>
          </w:p>
        </w:tc>
        <w:tc>
          <w:tcPr>
            <w:tcW w:w="1720" w:type="dxa"/>
            <w:tcBorders>
              <w:top w:val="nil"/>
              <w:left w:val="nil"/>
              <w:bottom w:val="single" w:sz="4" w:space="0" w:color="000000"/>
              <w:right w:val="single" w:sz="4" w:space="0" w:color="000000"/>
            </w:tcBorders>
            <w:shd w:val="clear" w:color="auto" w:fill="auto"/>
            <w:noWrap/>
            <w:vAlign w:val="center"/>
            <w:hideMark/>
          </w:tcPr>
          <w:p w14:paraId="471A4D6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5718219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53CD680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0A1CF45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464B9FA0"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4D1C27B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G1414</w:t>
            </w:r>
          </w:p>
        </w:tc>
        <w:tc>
          <w:tcPr>
            <w:tcW w:w="1720" w:type="dxa"/>
            <w:tcBorders>
              <w:top w:val="nil"/>
              <w:left w:val="nil"/>
              <w:bottom w:val="single" w:sz="4" w:space="0" w:color="000000"/>
              <w:right w:val="single" w:sz="4" w:space="0" w:color="000000"/>
            </w:tcBorders>
            <w:shd w:val="clear" w:color="auto" w:fill="auto"/>
            <w:noWrap/>
            <w:vAlign w:val="center"/>
            <w:hideMark/>
          </w:tcPr>
          <w:p w14:paraId="4C2BD0E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47F9DD5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57AD785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34EEC01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58AF3952"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5E37873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G1324</w:t>
            </w:r>
          </w:p>
        </w:tc>
        <w:tc>
          <w:tcPr>
            <w:tcW w:w="1720" w:type="dxa"/>
            <w:tcBorders>
              <w:top w:val="nil"/>
              <w:left w:val="nil"/>
              <w:bottom w:val="single" w:sz="4" w:space="0" w:color="000000"/>
              <w:right w:val="single" w:sz="4" w:space="0" w:color="000000"/>
            </w:tcBorders>
            <w:shd w:val="clear" w:color="auto" w:fill="auto"/>
            <w:noWrap/>
            <w:vAlign w:val="center"/>
            <w:hideMark/>
          </w:tcPr>
          <w:p w14:paraId="134BAE90"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597492C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682F5BD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7BE343DC"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7845557F"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5536D5E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G1394</w:t>
            </w:r>
          </w:p>
        </w:tc>
        <w:tc>
          <w:tcPr>
            <w:tcW w:w="1720" w:type="dxa"/>
            <w:tcBorders>
              <w:top w:val="nil"/>
              <w:left w:val="nil"/>
              <w:bottom w:val="single" w:sz="4" w:space="0" w:color="000000"/>
              <w:right w:val="single" w:sz="4" w:space="0" w:color="000000"/>
            </w:tcBorders>
            <w:shd w:val="clear" w:color="auto" w:fill="auto"/>
            <w:noWrap/>
            <w:vAlign w:val="center"/>
            <w:hideMark/>
          </w:tcPr>
          <w:p w14:paraId="33B9EED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7F0B9C3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7B74F77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5145A7D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34120518"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16EDDA4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G1325</w:t>
            </w:r>
          </w:p>
        </w:tc>
        <w:tc>
          <w:tcPr>
            <w:tcW w:w="1720" w:type="dxa"/>
            <w:tcBorders>
              <w:top w:val="nil"/>
              <w:left w:val="nil"/>
              <w:bottom w:val="single" w:sz="4" w:space="0" w:color="000000"/>
              <w:right w:val="single" w:sz="4" w:space="0" w:color="000000"/>
            </w:tcBorders>
            <w:shd w:val="clear" w:color="auto" w:fill="auto"/>
            <w:noWrap/>
            <w:vAlign w:val="center"/>
            <w:hideMark/>
          </w:tcPr>
          <w:p w14:paraId="3DDBBA6C"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318B98E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53759D5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622156F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66872B2A"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325A288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G1323</w:t>
            </w:r>
          </w:p>
        </w:tc>
        <w:tc>
          <w:tcPr>
            <w:tcW w:w="1720" w:type="dxa"/>
            <w:tcBorders>
              <w:top w:val="nil"/>
              <w:left w:val="nil"/>
              <w:bottom w:val="single" w:sz="4" w:space="0" w:color="000000"/>
              <w:right w:val="single" w:sz="4" w:space="0" w:color="000000"/>
            </w:tcBorders>
            <w:shd w:val="clear" w:color="auto" w:fill="auto"/>
            <w:noWrap/>
            <w:vAlign w:val="center"/>
            <w:hideMark/>
          </w:tcPr>
          <w:p w14:paraId="47D0E54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33F9D89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12F82C3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55C44B3C"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544D587C"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6A8FD973"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G1318</w:t>
            </w:r>
          </w:p>
        </w:tc>
        <w:tc>
          <w:tcPr>
            <w:tcW w:w="1720" w:type="dxa"/>
            <w:tcBorders>
              <w:top w:val="nil"/>
              <w:left w:val="nil"/>
              <w:bottom w:val="single" w:sz="4" w:space="0" w:color="000000"/>
              <w:right w:val="single" w:sz="4" w:space="0" w:color="000000"/>
            </w:tcBorders>
            <w:shd w:val="clear" w:color="auto" w:fill="auto"/>
            <w:noWrap/>
            <w:vAlign w:val="center"/>
            <w:hideMark/>
          </w:tcPr>
          <w:p w14:paraId="2B95FFE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3486DC5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34BFE1E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40493A4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479B3D63"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36486AB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G1434</w:t>
            </w:r>
          </w:p>
        </w:tc>
        <w:tc>
          <w:tcPr>
            <w:tcW w:w="1720" w:type="dxa"/>
            <w:tcBorders>
              <w:top w:val="nil"/>
              <w:left w:val="nil"/>
              <w:bottom w:val="single" w:sz="4" w:space="0" w:color="000000"/>
              <w:right w:val="single" w:sz="4" w:space="0" w:color="000000"/>
            </w:tcBorders>
            <w:shd w:val="clear" w:color="auto" w:fill="auto"/>
            <w:noWrap/>
            <w:vAlign w:val="center"/>
            <w:hideMark/>
          </w:tcPr>
          <w:p w14:paraId="13327D8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1307048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0F45906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7AC08AD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75869152"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298ECC5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G1433</w:t>
            </w:r>
          </w:p>
        </w:tc>
        <w:tc>
          <w:tcPr>
            <w:tcW w:w="1720" w:type="dxa"/>
            <w:tcBorders>
              <w:top w:val="nil"/>
              <w:left w:val="nil"/>
              <w:bottom w:val="single" w:sz="4" w:space="0" w:color="000000"/>
              <w:right w:val="single" w:sz="4" w:space="0" w:color="000000"/>
            </w:tcBorders>
            <w:shd w:val="clear" w:color="auto" w:fill="auto"/>
            <w:noWrap/>
            <w:vAlign w:val="center"/>
            <w:hideMark/>
          </w:tcPr>
          <w:p w14:paraId="6642FDF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331632C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75A665F6"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0BA289A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20DBEC65"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4681DA9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G1434</w:t>
            </w:r>
          </w:p>
        </w:tc>
        <w:tc>
          <w:tcPr>
            <w:tcW w:w="1720" w:type="dxa"/>
            <w:tcBorders>
              <w:top w:val="nil"/>
              <w:left w:val="nil"/>
              <w:bottom w:val="single" w:sz="4" w:space="0" w:color="000000"/>
              <w:right w:val="single" w:sz="4" w:space="0" w:color="000000"/>
            </w:tcBorders>
            <w:shd w:val="clear" w:color="auto" w:fill="auto"/>
            <w:noWrap/>
            <w:vAlign w:val="center"/>
            <w:hideMark/>
          </w:tcPr>
          <w:p w14:paraId="7EABD0F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207C3BB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590CC1DC"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59760CF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5B782869"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3008ACE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G1387</w:t>
            </w:r>
          </w:p>
        </w:tc>
        <w:tc>
          <w:tcPr>
            <w:tcW w:w="1720" w:type="dxa"/>
            <w:tcBorders>
              <w:top w:val="nil"/>
              <w:left w:val="nil"/>
              <w:bottom w:val="single" w:sz="4" w:space="0" w:color="000000"/>
              <w:right w:val="single" w:sz="4" w:space="0" w:color="000000"/>
            </w:tcBorders>
            <w:shd w:val="clear" w:color="auto" w:fill="auto"/>
            <w:noWrap/>
            <w:vAlign w:val="center"/>
            <w:hideMark/>
          </w:tcPr>
          <w:p w14:paraId="57DE7F1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0DBFBA9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0F6686D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6B4F478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17B65DBD"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2BB335A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G1388</w:t>
            </w:r>
          </w:p>
        </w:tc>
        <w:tc>
          <w:tcPr>
            <w:tcW w:w="1720" w:type="dxa"/>
            <w:tcBorders>
              <w:top w:val="nil"/>
              <w:left w:val="nil"/>
              <w:bottom w:val="single" w:sz="4" w:space="0" w:color="000000"/>
              <w:right w:val="single" w:sz="4" w:space="0" w:color="000000"/>
            </w:tcBorders>
            <w:shd w:val="clear" w:color="auto" w:fill="auto"/>
            <w:noWrap/>
            <w:vAlign w:val="center"/>
            <w:hideMark/>
          </w:tcPr>
          <w:p w14:paraId="151E755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4C88D92F"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3900B19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6AAA060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4C6F7D07"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4A36E6A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G1417</w:t>
            </w:r>
          </w:p>
        </w:tc>
        <w:tc>
          <w:tcPr>
            <w:tcW w:w="1720" w:type="dxa"/>
            <w:tcBorders>
              <w:top w:val="nil"/>
              <w:left w:val="nil"/>
              <w:bottom w:val="single" w:sz="4" w:space="0" w:color="000000"/>
              <w:right w:val="single" w:sz="4" w:space="0" w:color="000000"/>
            </w:tcBorders>
            <w:shd w:val="clear" w:color="auto" w:fill="auto"/>
            <w:noWrap/>
            <w:vAlign w:val="center"/>
            <w:hideMark/>
          </w:tcPr>
          <w:p w14:paraId="373BDAC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0E44E807"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0485FEF5"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2392A924"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448CCA41"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6C1C6329"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G1418</w:t>
            </w:r>
          </w:p>
        </w:tc>
        <w:tc>
          <w:tcPr>
            <w:tcW w:w="1720" w:type="dxa"/>
            <w:tcBorders>
              <w:top w:val="nil"/>
              <w:left w:val="nil"/>
              <w:bottom w:val="single" w:sz="4" w:space="0" w:color="000000"/>
              <w:right w:val="single" w:sz="4" w:space="0" w:color="000000"/>
            </w:tcBorders>
            <w:shd w:val="clear" w:color="auto" w:fill="auto"/>
            <w:noWrap/>
            <w:vAlign w:val="center"/>
            <w:hideMark/>
          </w:tcPr>
          <w:p w14:paraId="18151222"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7B656E1A"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7D3DCDC8"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470C790D"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r w:rsidR="00F83A06" w:rsidRPr="00275F80" w14:paraId="5010E118" w14:textId="77777777" w:rsidTr="00EC0BD3">
        <w:trPr>
          <w:trHeight w:val="285"/>
        </w:trPr>
        <w:tc>
          <w:tcPr>
            <w:tcW w:w="1700" w:type="dxa"/>
            <w:tcBorders>
              <w:top w:val="nil"/>
              <w:left w:val="single" w:sz="4" w:space="0" w:color="000000"/>
              <w:bottom w:val="single" w:sz="4" w:space="0" w:color="000000"/>
              <w:right w:val="single" w:sz="4" w:space="0" w:color="000000"/>
            </w:tcBorders>
            <w:shd w:val="clear" w:color="auto" w:fill="auto"/>
            <w:noWrap/>
            <w:vAlign w:val="center"/>
            <w:hideMark/>
          </w:tcPr>
          <w:p w14:paraId="6837F3F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G1423</w:t>
            </w:r>
          </w:p>
        </w:tc>
        <w:tc>
          <w:tcPr>
            <w:tcW w:w="1720" w:type="dxa"/>
            <w:tcBorders>
              <w:top w:val="nil"/>
              <w:left w:val="nil"/>
              <w:bottom w:val="single" w:sz="4" w:space="0" w:color="000000"/>
              <w:right w:val="single" w:sz="4" w:space="0" w:color="000000"/>
            </w:tcBorders>
            <w:shd w:val="clear" w:color="auto" w:fill="auto"/>
            <w:noWrap/>
            <w:vAlign w:val="center"/>
            <w:hideMark/>
          </w:tcPr>
          <w:p w14:paraId="4597D24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1640" w:type="dxa"/>
            <w:tcBorders>
              <w:top w:val="nil"/>
              <w:left w:val="nil"/>
              <w:bottom w:val="single" w:sz="4" w:space="0" w:color="000000"/>
              <w:right w:val="single" w:sz="4" w:space="0" w:color="000000"/>
            </w:tcBorders>
            <w:shd w:val="clear" w:color="auto" w:fill="auto"/>
            <w:noWrap/>
            <w:vAlign w:val="center"/>
            <w:hideMark/>
          </w:tcPr>
          <w:p w14:paraId="6C69DAEE"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120" w:type="dxa"/>
            <w:tcBorders>
              <w:top w:val="nil"/>
              <w:left w:val="nil"/>
              <w:bottom w:val="single" w:sz="4" w:space="0" w:color="000000"/>
              <w:right w:val="single" w:sz="4" w:space="0" w:color="000000"/>
            </w:tcBorders>
            <w:shd w:val="clear" w:color="auto" w:fill="auto"/>
            <w:noWrap/>
            <w:vAlign w:val="center"/>
            <w:hideMark/>
          </w:tcPr>
          <w:p w14:paraId="3400DC11"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c>
          <w:tcPr>
            <w:tcW w:w="2280" w:type="dxa"/>
            <w:tcBorders>
              <w:top w:val="nil"/>
              <w:left w:val="nil"/>
              <w:bottom w:val="single" w:sz="4" w:space="0" w:color="000000"/>
              <w:right w:val="single" w:sz="4" w:space="0" w:color="000000"/>
            </w:tcBorders>
            <w:shd w:val="clear" w:color="auto" w:fill="auto"/>
            <w:noWrap/>
            <w:vAlign w:val="center"/>
            <w:hideMark/>
          </w:tcPr>
          <w:p w14:paraId="2007388B" w14:textId="77777777" w:rsidR="00F83A06" w:rsidRPr="00275F80" w:rsidRDefault="00F83A06" w:rsidP="006D6457">
            <w:pPr>
              <w:spacing w:line="480" w:lineRule="auto"/>
              <w:rPr>
                <w:rFonts w:ascii="Arial" w:hAnsi="Arial" w:cs="Arial"/>
                <w:color w:val="000000"/>
                <w:sz w:val="20"/>
              </w:rPr>
            </w:pPr>
            <w:r w:rsidRPr="00275F80">
              <w:rPr>
                <w:rFonts w:ascii="Arial" w:hAnsi="Arial" w:cs="Arial"/>
                <w:color w:val="000000"/>
                <w:sz w:val="20"/>
              </w:rPr>
              <w:t>-</w:t>
            </w:r>
          </w:p>
        </w:tc>
      </w:tr>
    </w:tbl>
    <w:p w14:paraId="19EB9B5D" w14:textId="77777777" w:rsidR="00451D5E" w:rsidRDefault="00451D5E" w:rsidP="001311FA">
      <w:pPr>
        <w:pStyle w:val="SMcaption"/>
        <w:spacing w:line="480" w:lineRule="auto"/>
        <w:rPr>
          <w:rFonts w:ascii="Arial" w:hAnsi="Arial" w:cs="Arial"/>
          <w:b/>
          <w:sz w:val="20"/>
        </w:rPr>
      </w:pPr>
    </w:p>
    <w:p w14:paraId="1EC65920" w14:textId="77777777" w:rsidR="008E30CA" w:rsidRPr="001311FA" w:rsidRDefault="008E30CA" w:rsidP="008E30CA">
      <w:pPr>
        <w:pStyle w:val="SMcaption"/>
        <w:spacing w:line="480" w:lineRule="auto"/>
        <w:rPr>
          <w:rFonts w:ascii="Arial" w:hAnsi="Arial" w:cs="Arial"/>
          <w:b/>
          <w:bCs/>
          <w:sz w:val="20"/>
        </w:rPr>
      </w:pPr>
      <w:r>
        <w:rPr>
          <w:rFonts w:ascii="Arial" w:hAnsi="Arial" w:cs="Arial"/>
          <w:b/>
          <w:sz w:val="20"/>
        </w:rPr>
        <w:t>Additional file</w:t>
      </w:r>
      <w:r w:rsidRPr="00275F80">
        <w:rPr>
          <w:rFonts w:ascii="Arial" w:hAnsi="Arial" w:cs="Arial"/>
          <w:b/>
          <w:sz w:val="20"/>
        </w:rPr>
        <w:t xml:space="preserve"> </w:t>
      </w:r>
      <w:r>
        <w:rPr>
          <w:rFonts w:ascii="Arial" w:hAnsi="Arial" w:cs="Arial"/>
          <w:b/>
          <w:sz w:val="20"/>
        </w:rPr>
        <w:t>1</w:t>
      </w:r>
      <w:r w:rsidRPr="00275F80">
        <w:rPr>
          <w:rFonts w:ascii="Arial" w:hAnsi="Arial" w:cs="Arial"/>
          <w:b/>
          <w:sz w:val="20"/>
        </w:rPr>
        <w:t xml:space="preserve"> </w:t>
      </w:r>
      <w:r w:rsidRPr="00275F80">
        <w:rPr>
          <w:rFonts w:ascii="Arial" w:hAnsi="Arial" w:cs="Arial"/>
          <w:b/>
          <w:bCs/>
          <w:sz w:val="20"/>
        </w:rPr>
        <w:t>(</w:t>
      </w:r>
      <w:r>
        <w:rPr>
          <w:rFonts w:ascii="Arial" w:hAnsi="Arial" w:cs="Arial"/>
          <w:b/>
          <w:bCs/>
          <w:sz w:val="20"/>
        </w:rPr>
        <w:t>.xlsx</w:t>
      </w:r>
      <w:r w:rsidRPr="00275F80">
        <w:rPr>
          <w:rFonts w:ascii="Arial" w:hAnsi="Arial" w:cs="Arial"/>
          <w:b/>
          <w:bCs/>
          <w:sz w:val="20"/>
        </w:rPr>
        <w:t xml:space="preserve">). </w:t>
      </w:r>
      <w:r w:rsidRPr="00275F80">
        <w:rPr>
          <w:rFonts w:ascii="Arial" w:hAnsi="Arial" w:cs="Arial"/>
          <w:sz w:val="20"/>
        </w:rPr>
        <w:t xml:space="preserve">Results of phenotypic growth experiments compared with predictions from </w:t>
      </w:r>
      <w:r w:rsidRPr="00275F80">
        <w:rPr>
          <w:rFonts w:ascii="Arial" w:hAnsi="Arial" w:cs="Arial"/>
          <w:i/>
          <w:iCs/>
          <w:sz w:val="20"/>
        </w:rPr>
        <w:t>i</w:t>
      </w:r>
      <w:r w:rsidRPr="00275F80">
        <w:rPr>
          <w:rFonts w:ascii="Arial" w:hAnsi="Arial" w:cs="Arial"/>
          <w:sz w:val="20"/>
        </w:rPr>
        <w:t xml:space="preserve">GC1310, </w:t>
      </w:r>
      <w:proofErr w:type="spellStart"/>
      <w:r w:rsidRPr="00275F80">
        <w:rPr>
          <w:rFonts w:ascii="Arial" w:hAnsi="Arial" w:cs="Arial"/>
          <w:sz w:val="20"/>
        </w:rPr>
        <w:t>CarveME</w:t>
      </w:r>
      <w:proofErr w:type="spellEnd"/>
      <w:r w:rsidRPr="00275F80">
        <w:rPr>
          <w:rFonts w:ascii="Arial" w:hAnsi="Arial" w:cs="Arial"/>
          <w:sz w:val="20"/>
        </w:rPr>
        <w:t xml:space="preserve">, and </w:t>
      </w:r>
      <w:proofErr w:type="spellStart"/>
      <w:r w:rsidRPr="00275F80">
        <w:rPr>
          <w:rFonts w:ascii="Arial" w:hAnsi="Arial" w:cs="Arial"/>
          <w:sz w:val="20"/>
        </w:rPr>
        <w:t>ModelSEED</w:t>
      </w:r>
      <w:proofErr w:type="spellEnd"/>
      <w:r w:rsidRPr="00275F80">
        <w:rPr>
          <w:rFonts w:ascii="Arial" w:hAnsi="Arial" w:cs="Arial"/>
          <w:sz w:val="20"/>
        </w:rPr>
        <w:t xml:space="preserve"> models.</w:t>
      </w:r>
    </w:p>
    <w:p w14:paraId="3A55EF4D" w14:textId="77777777" w:rsidR="008E30CA" w:rsidRPr="001311FA" w:rsidRDefault="008E30CA" w:rsidP="008E30CA">
      <w:pPr>
        <w:pStyle w:val="SMcaption"/>
        <w:spacing w:line="480" w:lineRule="auto"/>
        <w:rPr>
          <w:rFonts w:ascii="Arial" w:hAnsi="Arial" w:cs="Arial"/>
          <w:b/>
          <w:bCs/>
          <w:sz w:val="20"/>
        </w:rPr>
      </w:pPr>
      <w:r>
        <w:rPr>
          <w:rFonts w:ascii="Arial" w:hAnsi="Arial" w:cs="Arial"/>
          <w:b/>
          <w:sz w:val="20"/>
        </w:rPr>
        <w:t>Additional file</w:t>
      </w:r>
      <w:r w:rsidRPr="00275F80">
        <w:rPr>
          <w:rFonts w:ascii="Arial" w:hAnsi="Arial" w:cs="Arial"/>
          <w:b/>
          <w:sz w:val="20"/>
        </w:rPr>
        <w:t xml:space="preserve"> </w:t>
      </w:r>
      <w:r>
        <w:rPr>
          <w:rFonts w:ascii="Arial" w:hAnsi="Arial" w:cs="Arial"/>
          <w:b/>
          <w:sz w:val="20"/>
        </w:rPr>
        <w:t>2</w:t>
      </w:r>
      <w:r w:rsidRPr="00275F80">
        <w:rPr>
          <w:rFonts w:ascii="Arial" w:hAnsi="Arial" w:cs="Arial"/>
          <w:b/>
          <w:sz w:val="20"/>
        </w:rPr>
        <w:t xml:space="preserve"> </w:t>
      </w:r>
      <w:r w:rsidRPr="00275F80">
        <w:rPr>
          <w:rFonts w:ascii="Arial" w:hAnsi="Arial" w:cs="Arial"/>
          <w:b/>
          <w:bCs/>
          <w:sz w:val="20"/>
        </w:rPr>
        <w:t>(</w:t>
      </w:r>
      <w:r>
        <w:rPr>
          <w:rFonts w:ascii="Arial" w:hAnsi="Arial" w:cs="Arial"/>
          <w:b/>
          <w:bCs/>
          <w:sz w:val="20"/>
        </w:rPr>
        <w:t>.csv</w:t>
      </w:r>
      <w:r w:rsidRPr="00275F80">
        <w:rPr>
          <w:rFonts w:ascii="Arial" w:hAnsi="Arial" w:cs="Arial"/>
          <w:b/>
          <w:bCs/>
          <w:sz w:val="20"/>
        </w:rPr>
        <w:t xml:space="preserve">). </w:t>
      </w:r>
      <w:r w:rsidRPr="00275F80">
        <w:rPr>
          <w:rFonts w:ascii="Arial" w:hAnsi="Arial" w:cs="Arial"/>
          <w:sz w:val="20"/>
        </w:rPr>
        <w:t xml:space="preserve">Binarized growth rates of all </w:t>
      </w:r>
      <w:r w:rsidRPr="00275F80">
        <w:rPr>
          <w:rFonts w:ascii="Arial" w:hAnsi="Arial" w:cs="Arial"/>
          <w:i/>
          <w:iCs/>
          <w:sz w:val="20"/>
        </w:rPr>
        <w:t xml:space="preserve">Ax </w:t>
      </w:r>
      <w:r w:rsidRPr="00275F80">
        <w:rPr>
          <w:rFonts w:ascii="Arial" w:hAnsi="Arial" w:cs="Arial"/>
          <w:sz w:val="20"/>
        </w:rPr>
        <w:t>strains from human and non-human sources using several carbon sources</w:t>
      </w:r>
    </w:p>
    <w:p w14:paraId="0DCA2C2D" w14:textId="77777777" w:rsidR="008E30CA" w:rsidRPr="00275F80" w:rsidRDefault="008E30CA" w:rsidP="008E30CA">
      <w:pPr>
        <w:pStyle w:val="SMcaption"/>
        <w:spacing w:line="480" w:lineRule="auto"/>
        <w:rPr>
          <w:rFonts w:ascii="Arial" w:hAnsi="Arial" w:cs="Arial"/>
          <w:bCs/>
          <w:sz w:val="20"/>
        </w:rPr>
      </w:pPr>
      <w:r>
        <w:rPr>
          <w:rFonts w:ascii="Arial" w:hAnsi="Arial" w:cs="Arial"/>
          <w:b/>
          <w:sz w:val="20"/>
        </w:rPr>
        <w:t>Additional file</w:t>
      </w:r>
      <w:r w:rsidRPr="00275F80">
        <w:rPr>
          <w:rFonts w:ascii="Arial" w:hAnsi="Arial" w:cs="Arial"/>
          <w:b/>
          <w:sz w:val="20"/>
        </w:rPr>
        <w:t xml:space="preserve"> </w:t>
      </w:r>
      <w:r>
        <w:rPr>
          <w:rFonts w:ascii="Arial" w:hAnsi="Arial" w:cs="Arial"/>
          <w:b/>
          <w:sz w:val="20"/>
        </w:rPr>
        <w:t>3</w:t>
      </w:r>
      <w:r w:rsidRPr="00275F80">
        <w:rPr>
          <w:rFonts w:ascii="Arial" w:hAnsi="Arial" w:cs="Arial"/>
          <w:b/>
          <w:sz w:val="20"/>
        </w:rPr>
        <w:t xml:space="preserve"> </w:t>
      </w:r>
      <w:r w:rsidRPr="00275F80">
        <w:rPr>
          <w:rFonts w:ascii="Arial" w:hAnsi="Arial" w:cs="Arial"/>
          <w:b/>
          <w:bCs/>
          <w:sz w:val="20"/>
        </w:rPr>
        <w:t>(</w:t>
      </w:r>
      <w:r>
        <w:rPr>
          <w:rFonts w:ascii="Arial" w:hAnsi="Arial" w:cs="Arial"/>
          <w:b/>
          <w:bCs/>
          <w:sz w:val="20"/>
        </w:rPr>
        <w:t>.xlsx</w:t>
      </w:r>
      <w:r w:rsidRPr="00275F80">
        <w:rPr>
          <w:rFonts w:ascii="Arial" w:hAnsi="Arial" w:cs="Arial"/>
          <w:b/>
          <w:bCs/>
          <w:sz w:val="20"/>
        </w:rPr>
        <w:t xml:space="preserve">). </w:t>
      </w:r>
      <w:r w:rsidRPr="00275F80">
        <w:rPr>
          <w:rFonts w:ascii="Arial" w:hAnsi="Arial" w:cs="Arial"/>
          <w:bCs/>
          <w:sz w:val="20"/>
        </w:rPr>
        <w:t xml:space="preserve">List of </w:t>
      </w:r>
      <w:r w:rsidRPr="00275F80">
        <w:rPr>
          <w:rFonts w:ascii="Arial" w:hAnsi="Arial" w:cs="Arial"/>
          <w:bCs/>
          <w:i/>
          <w:iCs/>
          <w:sz w:val="20"/>
        </w:rPr>
        <w:t xml:space="preserve">Ax </w:t>
      </w:r>
      <w:r w:rsidRPr="00275F80">
        <w:rPr>
          <w:rFonts w:ascii="Arial" w:hAnsi="Arial" w:cs="Arial"/>
          <w:bCs/>
          <w:sz w:val="20"/>
        </w:rPr>
        <w:t>strains from NCBI and CF clinical isolates with isolation sources</w:t>
      </w:r>
    </w:p>
    <w:p w14:paraId="200D6D9A" w14:textId="77777777" w:rsidR="008E30CA" w:rsidRPr="001311FA" w:rsidRDefault="008E30CA" w:rsidP="008E30CA">
      <w:pPr>
        <w:pStyle w:val="SMcaption"/>
        <w:spacing w:line="480" w:lineRule="auto"/>
        <w:rPr>
          <w:rFonts w:ascii="Arial" w:hAnsi="Arial" w:cs="Arial"/>
          <w:b/>
          <w:bCs/>
          <w:sz w:val="20"/>
        </w:rPr>
      </w:pPr>
      <w:r>
        <w:rPr>
          <w:rFonts w:ascii="Arial" w:hAnsi="Arial" w:cs="Arial"/>
          <w:b/>
          <w:sz w:val="20"/>
        </w:rPr>
        <w:t>Additional file</w:t>
      </w:r>
      <w:r w:rsidRPr="00275F80">
        <w:rPr>
          <w:rFonts w:ascii="Arial" w:hAnsi="Arial" w:cs="Arial"/>
          <w:b/>
          <w:sz w:val="20"/>
        </w:rPr>
        <w:t xml:space="preserve"> </w:t>
      </w:r>
      <w:r>
        <w:rPr>
          <w:rFonts w:ascii="Arial" w:hAnsi="Arial" w:cs="Arial"/>
          <w:b/>
          <w:sz w:val="20"/>
        </w:rPr>
        <w:t>4</w:t>
      </w:r>
      <w:r w:rsidRPr="00275F80">
        <w:rPr>
          <w:rFonts w:ascii="Arial" w:hAnsi="Arial" w:cs="Arial"/>
          <w:b/>
          <w:sz w:val="20"/>
        </w:rPr>
        <w:t xml:space="preserve"> </w:t>
      </w:r>
      <w:r w:rsidRPr="00275F80">
        <w:rPr>
          <w:rFonts w:ascii="Arial" w:hAnsi="Arial" w:cs="Arial"/>
          <w:b/>
          <w:bCs/>
          <w:sz w:val="20"/>
        </w:rPr>
        <w:t>(</w:t>
      </w:r>
      <w:r>
        <w:rPr>
          <w:rFonts w:ascii="Arial" w:hAnsi="Arial" w:cs="Arial"/>
          <w:b/>
          <w:bCs/>
          <w:sz w:val="20"/>
        </w:rPr>
        <w:t>.csv</w:t>
      </w:r>
      <w:r w:rsidRPr="00275F80">
        <w:rPr>
          <w:rFonts w:ascii="Arial" w:hAnsi="Arial" w:cs="Arial"/>
          <w:b/>
          <w:bCs/>
          <w:sz w:val="20"/>
        </w:rPr>
        <w:t xml:space="preserve">). </w:t>
      </w:r>
      <w:r w:rsidRPr="00275F80">
        <w:rPr>
          <w:rFonts w:ascii="Arial" w:hAnsi="Arial" w:cs="Arial"/>
          <w:sz w:val="20"/>
        </w:rPr>
        <w:t>Persistent genes obtained from pan-genome analysis</w:t>
      </w:r>
    </w:p>
    <w:p w14:paraId="3E3269B6" w14:textId="77777777" w:rsidR="008E30CA" w:rsidRPr="001311FA" w:rsidRDefault="008E30CA" w:rsidP="008E30CA">
      <w:pPr>
        <w:pStyle w:val="SMcaption"/>
        <w:spacing w:line="480" w:lineRule="auto"/>
        <w:rPr>
          <w:rFonts w:ascii="Arial" w:hAnsi="Arial" w:cs="Arial"/>
          <w:b/>
          <w:bCs/>
          <w:sz w:val="20"/>
        </w:rPr>
      </w:pPr>
      <w:r>
        <w:rPr>
          <w:rFonts w:ascii="Arial" w:hAnsi="Arial" w:cs="Arial"/>
          <w:b/>
          <w:sz w:val="20"/>
        </w:rPr>
        <w:t>Additional file</w:t>
      </w:r>
      <w:r w:rsidRPr="00275F80">
        <w:rPr>
          <w:rFonts w:ascii="Arial" w:hAnsi="Arial" w:cs="Arial"/>
          <w:b/>
          <w:sz w:val="20"/>
        </w:rPr>
        <w:t xml:space="preserve"> </w:t>
      </w:r>
      <w:r>
        <w:rPr>
          <w:rFonts w:ascii="Arial" w:hAnsi="Arial" w:cs="Arial"/>
          <w:b/>
          <w:sz w:val="20"/>
        </w:rPr>
        <w:t>5</w:t>
      </w:r>
      <w:r w:rsidRPr="00275F80">
        <w:rPr>
          <w:rFonts w:ascii="Arial" w:hAnsi="Arial" w:cs="Arial"/>
          <w:b/>
          <w:sz w:val="20"/>
        </w:rPr>
        <w:t xml:space="preserve"> </w:t>
      </w:r>
      <w:r w:rsidRPr="00275F80">
        <w:rPr>
          <w:rFonts w:ascii="Arial" w:hAnsi="Arial" w:cs="Arial"/>
          <w:b/>
          <w:bCs/>
          <w:sz w:val="20"/>
        </w:rPr>
        <w:t>(</w:t>
      </w:r>
      <w:r>
        <w:rPr>
          <w:rFonts w:ascii="Arial" w:hAnsi="Arial" w:cs="Arial"/>
          <w:b/>
          <w:bCs/>
          <w:sz w:val="20"/>
        </w:rPr>
        <w:t>.csv</w:t>
      </w:r>
      <w:r w:rsidRPr="00275F80">
        <w:rPr>
          <w:rFonts w:ascii="Arial" w:hAnsi="Arial" w:cs="Arial"/>
          <w:b/>
          <w:bCs/>
          <w:sz w:val="20"/>
        </w:rPr>
        <w:t xml:space="preserve">). </w:t>
      </w:r>
      <w:r w:rsidRPr="00275F80">
        <w:rPr>
          <w:rFonts w:ascii="Arial" w:hAnsi="Arial" w:cs="Arial"/>
          <w:sz w:val="20"/>
        </w:rPr>
        <w:t>Shell genes identified during pan-genome analysis</w:t>
      </w:r>
    </w:p>
    <w:p w14:paraId="2F0E50DF" w14:textId="77777777" w:rsidR="008E30CA" w:rsidRPr="001311FA" w:rsidRDefault="008E30CA" w:rsidP="008E30CA">
      <w:pPr>
        <w:pStyle w:val="SMcaption"/>
        <w:spacing w:line="480" w:lineRule="auto"/>
        <w:rPr>
          <w:rFonts w:ascii="Arial" w:hAnsi="Arial" w:cs="Arial"/>
          <w:b/>
          <w:bCs/>
          <w:sz w:val="20"/>
        </w:rPr>
      </w:pPr>
      <w:r>
        <w:rPr>
          <w:rFonts w:ascii="Arial" w:hAnsi="Arial" w:cs="Arial"/>
          <w:b/>
          <w:sz w:val="20"/>
        </w:rPr>
        <w:t>Additional file 6</w:t>
      </w:r>
      <w:r w:rsidRPr="00275F80">
        <w:rPr>
          <w:rFonts w:ascii="Arial" w:hAnsi="Arial" w:cs="Arial"/>
          <w:b/>
          <w:sz w:val="20"/>
        </w:rPr>
        <w:t xml:space="preserve"> </w:t>
      </w:r>
      <w:r w:rsidRPr="00275F80">
        <w:rPr>
          <w:rFonts w:ascii="Arial" w:hAnsi="Arial" w:cs="Arial"/>
          <w:b/>
          <w:bCs/>
          <w:sz w:val="20"/>
        </w:rPr>
        <w:t>(</w:t>
      </w:r>
      <w:r>
        <w:rPr>
          <w:rFonts w:ascii="Arial" w:hAnsi="Arial" w:cs="Arial"/>
          <w:b/>
          <w:bCs/>
          <w:sz w:val="20"/>
        </w:rPr>
        <w:t>.csv</w:t>
      </w:r>
      <w:r w:rsidRPr="00275F80">
        <w:rPr>
          <w:rFonts w:ascii="Arial" w:hAnsi="Arial" w:cs="Arial"/>
          <w:b/>
          <w:bCs/>
          <w:sz w:val="20"/>
        </w:rPr>
        <w:t xml:space="preserve">). </w:t>
      </w:r>
      <w:r w:rsidRPr="00275F80">
        <w:rPr>
          <w:rFonts w:ascii="Arial" w:hAnsi="Arial" w:cs="Arial"/>
          <w:sz w:val="20"/>
        </w:rPr>
        <w:t>Cloud genes identified during pan-genome analysis</w:t>
      </w:r>
    </w:p>
    <w:p w14:paraId="5341481D" w14:textId="77777777" w:rsidR="008E30CA" w:rsidRPr="001311FA" w:rsidRDefault="008E30CA" w:rsidP="008E30CA">
      <w:pPr>
        <w:pStyle w:val="SMcaption"/>
        <w:spacing w:line="480" w:lineRule="auto"/>
        <w:rPr>
          <w:rFonts w:ascii="Arial" w:hAnsi="Arial" w:cs="Arial"/>
          <w:sz w:val="20"/>
        </w:rPr>
      </w:pPr>
      <w:r>
        <w:rPr>
          <w:rFonts w:ascii="Arial" w:hAnsi="Arial" w:cs="Arial"/>
          <w:b/>
          <w:sz w:val="20"/>
        </w:rPr>
        <w:t>Additional file</w:t>
      </w:r>
      <w:r w:rsidRPr="00275F80">
        <w:rPr>
          <w:rFonts w:ascii="Arial" w:hAnsi="Arial" w:cs="Arial"/>
          <w:b/>
          <w:sz w:val="20"/>
        </w:rPr>
        <w:t xml:space="preserve"> </w:t>
      </w:r>
      <w:r>
        <w:rPr>
          <w:rFonts w:ascii="Arial" w:hAnsi="Arial" w:cs="Arial"/>
          <w:b/>
          <w:sz w:val="20"/>
        </w:rPr>
        <w:t>7</w:t>
      </w:r>
      <w:r w:rsidRPr="00275F80">
        <w:rPr>
          <w:rFonts w:ascii="Arial" w:hAnsi="Arial" w:cs="Arial"/>
          <w:b/>
          <w:sz w:val="20"/>
        </w:rPr>
        <w:t xml:space="preserve"> </w:t>
      </w:r>
      <w:r w:rsidRPr="00275F80">
        <w:rPr>
          <w:rFonts w:ascii="Arial" w:hAnsi="Arial" w:cs="Arial"/>
          <w:b/>
          <w:bCs/>
          <w:sz w:val="20"/>
        </w:rPr>
        <w:t>(</w:t>
      </w:r>
      <w:r>
        <w:rPr>
          <w:rFonts w:ascii="Arial" w:hAnsi="Arial" w:cs="Arial"/>
          <w:b/>
          <w:bCs/>
          <w:sz w:val="20"/>
        </w:rPr>
        <w:t>.xlsx</w:t>
      </w:r>
      <w:r w:rsidRPr="00275F80">
        <w:rPr>
          <w:rFonts w:ascii="Arial" w:hAnsi="Arial" w:cs="Arial"/>
          <w:b/>
          <w:bCs/>
          <w:sz w:val="20"/>
        </w:rPr>
        <w:t>).</w:t>
      </w:r>
      <w:r w:rsidRPr="00275F80">
        <w:rPr>
          <w:rFonts w:ascii="Arial" w:hAnsi="Arial" w:cs="Arial"/>
          <w:sz w:val="20"/>
        </w:rPr>
        <w:t xml:space="preserve"> Properties of </w:t>
      </w:r>
      <w:r w:rsidRPr="00275F80">
        <w:rPr>
          <w:rFonts w:ascii="Arial" w:hAnsi="Arial" w:cs="Arial"/>
          <w:i/>
          <w:iCs/>
          <w:sz w:val="20"/>
        </w:rPr>
        <w:t>Ax</w:t>
      </w:r>
      <w:r w:rsidRPr="00275F80">
        <w:rPr>
          <w:rFonts w:ascii="Arial" w:hAnsi="Arial" w:cs="Arial"/>
          <w:sz w:val="20"/>
        </w:rPr>
        <w:t xml:space="preserve"> multi-strain scale metabolic models</w:t>
      </w:r>
    </w:p>
    <w:p w14:paraId="0A7856DB" w14:textId="77777777" w:rsidR="008E30CA" w:rsidRPr="001311FA" w:rsidRDefault="008E30CA" w:rsidP="008E30CA">
      <w:pPr>
        <w:pStyle w:val="SMcaption"/>
        <w:spacing w:line="480" w:lineRule="auto"/>
        <w:rPr>
          <w:rFonts w:ascii="Arial" w:hAnsi="Arial" w:cs="Arial"/>
          <w:b/>
          <w:bCs/>
          <w:sz w:val="20"/>
        </w:rPr>
      </w:pPr>
      <w:r>
        <w:rPr>
          <w:rFonts w:ascii="Arial" w:hAnsi="Arial" w:cs="Arial"/>
          <w:b/>
          <w:sz w:val="20"/>
        </w:rPr>
        <w:t>Additional file</w:t>
      </w:r>
      <w:r w:rsidRPr="00275F80">
        <w:rPr>
          <w:rFonts w:ascii="Arial" w:hAnsi="Arial" w:cs="Arial"/>
          <w:b/>
          <w:sz w:val="20"/>
        </w:rPr>
        <w:t xml:space="preserve"> </w:t>
      </w:r>
      <w:r>
        <w:rPr>
          <w:rFonts w:ascii="Arial" w:hAnsi="Arial" w:cs="Arial"/>
          <w:b/>
          <w:sz w:val="20"/>
        </w:rPr>
        <w:t>8</w:t>
      </w:r>
      <w:r w:rsidRPr="00275F80">
        <w:rPr>
          <w:rFonts w:ascii="Arial" w:hAnsi="Arial" w:cs="Arial"/>
          <w:b/>
          <w:sz w:val="20"/>
        </w:rPr>
        <w:t xml:space="preserve"> </w:t>
      </w:r>
      <w:r w:rsidRPr="00275F80">
        <w:rPr>
          <w:rFonts w:ascii="Arial" w:hAnsi="Arial" w:cs="Arial"/>
          <w:b/>
          <w:bCs/>
          <w:sz w:val="20"/>
        </w:rPr>
        <w:t>(</w:t>
      </w:r>
      <w:r>
        <w:rPr>
          <w:rFonts w:ascii="Arial" w:hAnsi="Arial" w:cs="Arial"/>
          <w:b/>
          <w:bCs/>
          <w:sz w:val="20"/>
        </w:rPr>
        <w:t>.xlsx</w:t>
      </w:r>
      <w:r w:rsidRPr="00275F80">
        <w:rPr>
          <w:rFonts w:ascii="Arial" w:hAnsi="Arial" w:cs="Arial"/>
          <w:b/>
          <w:bCs/>
          <w:sz w:val="20"/>
        </w:rPr>
        <w:t xml:space="preserve">). </w:t>
      </w:r>
      <w:r w:rsidRPr="00275F80">
        <w:rPr>
          <w:rFonts w:ascii="Arial" w:hAnsi="Arial" w:cs="Arial"/>
          <w:sz w:val="20"/>
        </w:rPr>
        <w:t xml:space="preserve">Genes and their amino acid sequences per GEM in the </w:t>
      </w:r>
      <w:r w:rsidRPr="00275F80">
        <w:rPr>
          <w:rFonts w:ascii="Arial" w:hAnsi="Arial" w:cs="Arial"/>
          <w:i/>
          <w:iCs/>
          <w:sz w:val="20"/>
        </w:rPr>
        <w:t xml:space="preserve">Ax </w:t>
      </w:r>
      <w:r w:rsidRPr="00275F80">
        <w:rPr>
          <w:rFonts w:ascii="Arial" w:hAnsi="Arial" w:cs="Arial"/>
          <w:sz w:val="20"/>
        </w:rPr>
        <w:t>multi-strain network</w:t>
      </w:r>
    </w:p>
    <w:p w14:paraId="45A8CCA0" w14:textId="77777777" w:rsidR="008E30CA" w:rsidRPr="001311FA" w:rsidRDefault="008E30CA" w:rsidP="008E30CA">
      <w:pPr>
        <w:pStyle w:val="SMcaption"/>
        <w:spacing w:line="480" w:lineRule="auto"/>
        <w:rPr>
          <w:rFonts w:ascii="Arial" w:hAnsi="Arial" w:cs="Arial"/>
          <w:b/>
          <w:bCs/>
          <w:sz w:val="20"/>
        </w:rPr>
      </w:pPr>
      <w:r>
        <w:rPr>
          <w:rFonts w:ascii="Arial" w:hAnsi="Arial" w:cs="Arial"/>
          <w:b/>
          <w:sz w:val="20"/>
        </w:rPr>
        <w:t>Additional file</w:t>
      </w:r>
      <w:r w:rsidRPr="00275F80">
        <w:rPr>
          <w:rFonts w:ascii="Arial" w:hAnsi="Arial" w:cs="Arial"/>
          <w:b/>
          <w:sz w:val="20"/>
        </w:rPr>
        <w:t xml:space="preserve"> </w:t>
      </w:r>
      <w:r>
        <w:rPr>
          <w:rFonts w:ascii="Arial" w:hAnsi="Arial" w:cs="Arial"/>
          <w:b/>
          <w:sz w:val="20"/>
        </w:rPr>
        <w:t>9</w:t>
      </w:r>
      <w:r w:rsidRPr="00275F80">
        <w:rPr>
          <w:rFonts w:ascii="Arial" w:hAnsi="Arial" w:cs="Arial"/>
          <w:b/>
          <w:sz w:val="20"/>
        </w:rPr>
        <w:t xml:space="preserve"> </w:t>
      </w:r>
      <w:r w:rsidRPr="00275F80">
        <w:rPr>
          <w:rFonts w:ascii="Arial" w:hAnsi="Arial" w:cs="Arial"/>
          <w:b/>
          <w:bCs/>
          <w:sz w:val="20"/>
        </w:rPr>
        <w:t>(</w:t>
      </w:r>
      <w:r>
        <w:rPr>
          <w:rFonts w:ascii="Arial" w:hAnsi="Arial" w:cs="Arial"/>
          <w:b/>
          <w:bCs/>
          <w:sz w:val="20"/>
        </w:rPr>
        <w:t>.csv</w:t>
      </w:r>
      <w:r w:rsidRPr="00275F80">
        <w:rPr>
          <w:rFonts w:ascii="Arial" w:hAnsi="Arial" w:cs="Arial"/>
          <w:b/>
          <w:bCs/>
          <w:sz w:val="20"/>
        </w:rPr>
        <w:t xml:space="preserve">). </w:t>
      </w:r>
      <w:r w:rsidRPr="00275F80">
        <w:rPr>
          <w:rFonts w:ascii="Arial" w:hAnsi="Arial" w:cs="Arial"/>
          <w:sz w:val="20"/>
        </w:rPr>
        <w:t xml:space="preserve">Genomic location of denitrifying genes across soil- and water-derived </w:t>
      </w:r>
      <w:r w:rsidRPr="00275F80">
        <w:rPr>
          <w:rFonts w:ascii="Arial" w:hAnsi="Arial" w:cs="Arial"/>
          <w:i/>
          <w:iCs/>
          <w:sz w:val="20"/>
        </w:rPr>
        <w:t xml:space="preserve">Ax </w:t>
      </w:r>
      <w:r w:rsidRPr="00275F80">
        <w:rPr>
          <w:rFonts w:ascii="Arial" w:hAnsi="Arial" w:cs="Arial"/>
          <w:sz w:val="20"/>
        </w:rPr>
        <w:t>strains</w:t>
      </w:r>
    </w:p>
    <w:p w14:paraId="77BEF162" w14:textId="77777777" w:rsidR="008E30CA" w:rsidRDefault="008E30CA" w:rsidP="008E30CA">
      <w:pPr>
        <w:pStyle w:val="SMcaption"/>
        <w:spacing w:line="480" w:lineRule="auto"/>
        <w:rPr>
          <w:rFonts w:ascii="Arial" w:hAnsi="Arial" w:cs="Arial"/>
          <w:sz w:val="20"/>
        </w:rPr>
      </w:pPr>
      <w:r>
        <w:rPr>
          <w:rFonts w:ascii="Arial" w:hAnsi="Arial" w:cs="Arial"/>
          <w:b/>
          <w:sz w:val="20"/>
        </w:rPr>
        <w:t>Additional file</w:t>
      </w:r>
      <w:r w:rsidRPr="00275F80">
        <w:rPr>
          <w:rFonts w:ascii="Arial" w:hAnsi="Arial" w:cs="Arial"/>
          <w:b/>
          <w:sz w:val="20"/>
        </w:rPr>
        <w:t xml:space="preserve"> </w:t>
      </w:r>
      <w:r>
        <w:rPr>
          <w:rFonts w:ascii="Arial" w:hAnsi="Arial" w:cs="Arial"/>
          <w:b/>
          <w:sz w:val="20"/>
        </w:rPr>
        <w:t>10</w:t>
      </w:r>
      <w:r w:rsidRPr="00275F80">
        <w:rPr>
          <w:rFonts w:ascii="Arial" w:hAnsi="Arial" w:cs="Arial"/>
          <w:b/>
          <w:sz w:val="20"/>
        </w:rPr>
        <w:t xml:space="preserve"> </w:t>
      </w:r>
      <w:r>
        <w:rPr>
          <w:rFonts w:ascii="Arial" w:hAnsi="Arial" w:cs="Arial"/>
          <w:b/>
          <w:sz w:val="20"/>
        </w:rPr>
        <w:t>(</w:t>
      </w:r>
      <w:r>
        <w:rPr>
          <w:rFonts w:ascii="Arial" w:hAnsi="Arial" w:cs="Arial"/>
          <w:b/>
          <w:bCs/>
          <w:sz w:val="20"/>
        </w:rPr>
        <w:t>.csv</w:t>
      </w:r>
      <w:r w:rsidRPr="00275F80">
        <w:rPr>
          <w:rFonts w:ascii="Arial" w:hAnsi="Arial" w:cs="Arial"/>
          <w:b/>
          <w:bCs/>
          <w:sz w:val="20"/>
        </w:rPr>
        <w:t xml:space="preserve">). </w:t>
      </w:r>
      <w:r w:rsidRPr="00275F80">
        <w:rPr>
          <w:rFonts w:ascii="Arial" w:hAnsi="Arial" w:cs="Arial"/>
          <w:sz w:val="20"/>
        </w:rPr>
        <w:t xml:space="preserve">GC content of denitrifying genes across soil- and water-derived </w:t>
      </w:r>
      <w:r w:rsidRPr="00275F80">
        <w:rPr>
          <w:rFonts w:ascii="Arial" w:hAnsi="Arial" w:cs="Arial"/>
          <w:i/>
          <w:iCs/>
          <w:sz w:val="20"/>
        </w:rPr>
        <w:t>Ax</w:t>
      </w:r>
      <w:r w:rsidRPr="00275F80">
        <w:rPr>
          <w:rFonts w:ascii="Arial" w:hAnsi="Arial" w:cs="Arial"/>
          <w:sz w:val="20"/>
        </w:rPr>
        <w:t xml:space="preserve"> strains</w:t>
      </w:r>
    </w:p>
    <w:p w14:paraId="027202F2" w14:textId="77777777" w:rsidR="00F83A06" w:rsidRPr="00275F80" w:rsidRDefault="00F83A06" w:rsidP="006D6457">
      <w:pPr>
        <w:pStyle w:val="SMcaption"/>
        <w:spacing w:line="480" w:lineRule="auto"/>
        <w:rPr>
          <w:rFonts w:ascii="Arial" w:hAnsi="Arial" w:cs="Arial"/>
          <w:b/>
          <w:sz w:val="20"/>
        </w:rPr>
      </w:pPr>
    </w:p>
    <w:p w14:paraId="6AE7C1CC" w14:textId="77777777" w:rsidR="00F83A06" w:rsidRPr="00275F80" w:rsidRDefault="00F83A06" w:rsidP="006D6457">
      <w:pPr>
        <w:pStyle w:val="SMcaption"/>
        <w:spacing w:line="480" w:lineRule="auto"/>
        <w:rPr>
          <w:rFonts w:ascii="Arial" w:hAnsi="Arial" w:cs="Arial"/>
          <w:b/>
          <w:bCs/>
          <w:sz w:val="20"/>
        </w:rPr>
      </w:pPr>
      <w:r w:rsidRPr="00275F80">
        <w:rPr>
          <w:rFonts w:ascii="Arial" w:hAnsi="Arial" w:cs="Arial"/>
          <w:b/>
          <w:bCs/>
          <w:sz w:val="20"/>
        </w:rPr>
        <w:br w:type="page"/>
      </w:r>
    </w:p>
    <w:p w14:paraId="58029EAE" w14:textId="4F76B168" w:rsidR="00F83A06" w:rsidRPr="00275F80" w:rsidRDefault="00F83A06" w:rsidP="006D6457">
      <w:pPr>
        <w:pStyle w:val="SMcaption"/>
        <w:spacing w:line="480" w:lineRule="auto"/>
        <w:rPr>
          <w:rFonts w:ascii="Arial" w:hAnsi="Arial" w:cs="Arial"/>
          <w:b/>
          <w:sz w:val="20"/>
        </w:rPr>
      </w:pPr>
      <w:r w:rsidRPr="00275F80">
        <w:rPr>
          <w:rFonts w:ascii="Arial" w:hAnsi="Arial" w:cs="Arial"/>
          <w:b/>
          <w:sz w:val="20"/>
        </w:rPr>
        <w:t>References</w:t>
      </w:r>
    </w:p>
    <w:p w14:paraId="778E5572" w14:textId="77777777" w:rsidR="00F83A06" w:rsidRPr="00275F80" w:rsidRDefault="00F83A06" w:rsidP="006D6457">
      <w:pPr>
        <w:pStyle w:val="SMcaption"/>
        <w:spacing w:line="480" w:lineRule="auto"/>
        <w:rPr>
          <w:rFonts w:ascii="Arial" w:hAnsi="Arial" w:cs="Arial"/>
          <w:b/>
          <w:sz w:val="20"/>
        </w:rPr>
      </w:pPr>
    </w:p>
    <w:p w14:paraId="077A28BE" w14:textId="77777777" w:rsidR="00C94281" w:rsidRPr="00C94281" w:rsidRDefault="00F83A06" w:rsidP="00C94281">
      <w:pPr>
        <w:pStyle w:val="Bibliography"/>
      </w:pPr>
      <w:r w:rsidRPr="00275F80">
        <w:rPr>
          <w:rFonts w:ascii="Arial" w:hAnsi="Arial" w:cs="Arial"/>
        </w:rPr>
        <w:fldChar w:fldCharType="begin"/>
      </w:r>
      <w:r w:rsidR="00C94281">
        <w:rPr>
          <w:rFonts w:ascii="Arial" w:hAnsi="Arial" w:cs="Arial"/>
        </w:rPr>
        <w:instrText xml:space="preserve"> ADDIN ZOTERO_BIBL {"uncited":[],"omitted":[],"custom":[]} CSL_BIBLIOGRAPHY </w:instrText>
      </w:r>
      <w:r w:rsidRPr="00275F80">
        <w:rPr>
          <w:rFonts w:ascii="Arial" w:hAnsi="Arial" w:cs="Arial"/>
        </w:rPr>
        <w:fldChar w:fldCharType="separate"/>
      </w:r>
      <w:r w:rsidR="00C94281" w:rsidRPr="00C94281">
        <w:fldChar w:fldCharType="begin"/>
      </w:r>
      <w:r w:rsidR="00C94281" w:rsidRPr="00C94281">
        <w:instrText xml:space="preserve"> INCLUDETEXT "C:\\Users\\GCANTO~1\\AppData\\Local\\Temp\\ZOT329B.tmp" \c MSRTF </w:instrText>
      </w:r>
      <w:r w:rsidR="00C94281" w:rsidRPr="00C94281">
        <w:fldChar w:fldCharType="separate"/>
      </w:r>
      <w:r w:rsidR="00C94281" w:rsidRPr="00C94281">
        <w:t>1.</w:t>
      </w:r>
      <w:r w:rsidR="00C94281" w:rsidRPr="00C94281">
        <w:tab/>
        <w:t xml:space="preserve">Padhi SK, Maiti NK. Molecular insight into the dynamic central metabolic pathways of </w:t>
      </w:r>
      <w:r w:rsidR="00C94281" w:rsidRPr="00C94281">
        <w:rPr>
          <w:i/>
          <w:iCs/>
        </w:rPr>
        <w:t>Achromobacter xylosoxidans</w:t>
      </w:r>
      <w:r w:rsidR="00C94281" w:rsidRPr="00C94281">
        <w:t xml:space="preserve"> CF-S36 during heterotrophic nitrogen removal processes. Journal of Bioscience and Bioengineering. 2017 Jan 1;123(1):46–55. doi:10.1016/j.jbiosc.2016.07.012</w:t>
      </w:r>
    </w:p>
    <w:p w14:paraId="7479B2C6" w14:textId="77777777" w:rsidR="00C94281" w:rsidRPr="00C94281" w:rsidRDefault="00C94281" w:rsidP="00C94281">
      <w:pPr>
        <w:pStyle w:val="Bibliography"/>
      </w:pPr>
      <w:r w:rsidRPr="00C94281">
        <w:t>2.</w:t>
      </w:r>
      <w:r w:rsidRPr="00C94281">
        <w:tab/>
        <w:t>Kundu P, Pramanik A, Mitra S, Choudhury JD, Mukherjee J, Mukherjee S. Heterotrophic nitrification by Achromobacter xylosoxidans S18 isolated from a small-scale slaughterhouse wastewater. Bioprocess Biosyst Eng. 2012 Jun 1;35(5):721–8. doi:10.1007/s00449-011-0652-6</w:t>
      </w:r>
    </w:p>
    <w:p w14:paraId="7BCC4725" w14:textId="77777777" w:rsidR="00C94281" w:rsidRPr="00C94281" w:rsidRDefault="00C94281" w:rsidP="00C94281">
      <w:pPr>
        <w:pStyle w:val="Bibliography"/>
      </w:pPr>
      <w:r w:rsidRPr="00C94281">
        <w:t>3.</w:t>
      </w:r>
      <w:r w:rsidRPr="00C94281">
        <w:tab/>
        <w:t>Wu MR, Hou TT, Liu Y, Miao LL, Ai GM, Ma L, et al. Novel Alcaligenes ammonioxydans sp. nov. from wastewater treatment sludge oxidizes ammonia to N2 with a previously unknown pathway. Environ Microbiol. 2021 Nov;23(11):6965–80. doi:10.1111/1462-2920.15751 PubMed PMID: 34581470.</w:t>
      </w:r>
    </w:p>
    <w:p w14:paraId="66D241F6" w14:textId="77777777" w:rsidR="00C94281" w:rsidRPr="00C94281" w:rsidRDefault="00C94281" w:rsidP="00C94281">
      <w:pPr>
        <w:pStyle w:val="Bibliography"/>
      </w:pPr>
      <w:r w:rsidRPr="00C94281">
        <w:t>4.</w:t>
      </w:r>
      <w:r w:rsidRPr="00C94281">
        <w:tab/>
        <w:t>Yabuuchi E, Kawamura Y, Kosako Y, Ezaki T. Emendation of Genus Achromobacter and Achromobacter xylosoxidans (Yabuuchi and Yano) and Proposal of Achromobacter ruhlandii (Packer and Vishniac) Comb. Nov., Achromobacter piechaudii (Kiredjian et al.) Comb. Nov., and Achromobacter xylosoxidans Subsp. denitrificans (Rüger and Tan) Comb. Nov. Microbiology and Immunology. 1998;42(6):429–38. doi:10.1111/j.1348-0421.1998.tb02306.x</w:t>
      </w:r>
    </w:p>
    <w:p w14:paraId="2B396D62" w14:textId="77777777" w:rsidR="00C94281" w:rsidRPr="00C94281" w:rsidRDefault="00C94281" w:rsidP="00C94281">
      <w:pPr>
        <w:pStyle w:val="Bibliography"/>
      </w:pPr>
      <w:r w:rsidRPr="00C94281">
        <w:t>5.</w:t>
      </w:r>
      <w:r w:rsidRPr="00C94281">
        <w:tab/>
        <w:t>Gomila M, Prince-Manzano C, Svensson-Stadler L, Busquets A, Erhard M, Martínez DL, et al. Genotypic and Phenotypic Applications for the Differentiation and Species-Level Identification of Achromobacter for Clinical Diagnoses. PLOS ONE. 2014 Dec 4;9(12):e114356. doi:10.1371/journal.pone.0114356</w:t>
      </w:r>
    </w:p>
    <w:p w14:paraId="55261B79" w14:textId="77777777" w:rsidR="00C94281" w:rsidRPr="00C94281" w:rsidRDefault="00C94281" w:rsidP="00C94281">
      <w:pPr>
        <w:pStyle w:val="Bibliography"/>
      </w:pPr>
      <w:r w:rsidRPr="00C94281">
        <w:t>6.</w:t>
      </w:r>
      <w:r w:rsidRPr="00C94281">
        <w:tab/>
        <w:t>Feist AM, Palsson BO. The biomass objective function. Current Opinion in Microbiology. 2010 Jun 1;Ecology and industrial microbiology • Special section: Systems biology13(3):344–9. doi:10.1016/j.mib.2010.03.003</w:t>
      </w:r>
    </w:p>
    <w:p w14:paraId="31F8C6C0" w14:textId="77777777" w:rsidR="00C94281" w:rsidRPr="00C94281" w:rsidRDefault="00C94281" w:rsidP="00C94281">
      <w:pPr>
        <w:pStyle w:val="Bibliography"/>
      </w:pPr>
      <w:r w:rsidRPr="00C94281">
        <w:t>7.</w:t>
      </w:r>
      <w:r w:rsidRPr="00C94281">
        <w:tab/>
        <w:t>Simensen V, Schulz C, Karlsen E, Bråtelund S, Burgos I, Thorfinnsdottir LB, et al. Experimental determination of Escherichia coli biomass composition for constraint-based metabolic modeling. PLOS ONE. 2022 Jan 27;17(1):e0262450. doi:10.1371/journal.pone.0262450</w:t>
      </w:r>
    </w:p>
    <w:p w14:paraId="2FED8CC4" w14:textId="77777777" w:rsidR="00C94281" w:rsidRPr="00C94281" w:rsidRDefault="00C94281" w:rsidP="00C94281">
      <w:pPr>
        <w:pStyle w:val="Bibliography"/>
      </w:pPr>
      <w:r w:rsidRPr="00C94281">
        <w:t>8.</w:t>
      </w:r>
      <w:r w:rsidRPr="00C94281">
        <w:tab/>
        <w:t>Chubukov V, Sauer U. Environmental Dependence of Stationary-Phase Metabolism in Bacillus subtilis and Escherichia coli. Applied and Environmental Microbiology. 2014 May;80(9):2901–9. doi:10.1128/AEM.00061-14</w:t>
      </w:r>
    </w:p>
    <w:p w14:paraId="473E0CF3" w14:textId="77777777" w:rsidR="00C94281" w:rsidRPr="00C94281" w:rsidRDefault="00C94281" w:rsidP="00C94281">
      <w:pPr>
        <w:pStyle w:val="Bibliography"/>
      </w:pPr>
      <w:r w:rsidRPr="00C94281">
        <w:t>9.</w:t>
      </w:r>
      <w:r w:rsidRPr="00C94281">
        <w:tab/>
        <w:t>Bhowmik N, Stubbendieck RM. Achromobacter spp.: Emerging pathogens in the cystic fibrosis lung. PLOS Pathogens. 2025 Apr 22;21(4):e1013067. doi:10.1371/journal.ppat.1013067</w:t>
      </w:r>
    </w:p>
    <w:p w14:paraId="3283A6A3" w14:textId="77777777" w:rsidR="00C94281" w:rsidRPr="00C94281" w:rsidRDefault="00C94281" w:rsidP="00C94281">
      <w:pPr>
        <w:pStyle w:val="Bibliography"/>
      </w:pPr>
      <w:r w:rsidRPr="00C94281">
        <w:t>10.</w:t>
      </w:r>
      <w:r w:rsidRPr="00C94281">
        <w:tab/>
        <w:t>Gabrielaite M, Bartell JA, Nørskov-Lauritsen N, Pressler T, Nielsen FC, Johansen HK, et al. Transmission and Antibiotic Resistance of Achromobacter in Cystic Fibrosis. Journal of Clinical Microbiology. 2021 Mar 19;59(4):10.1128/jcm.02911-20. doi:10.1128/jcm.02911-20</w:t>
      </w:r>
    </w:p>
    <w:p w14:paraId="7F9C8551" w14:textId="77777777" w:rsidR="00C94281" w:rsidRPr="00C94281" w:rsidRDefault="00C94281" w:rsidP="00C94281">
      <w:pPr>
        <w:pStyle w:val="Bibliography"/>
      </w:pPr>
      <w:r w:rsidRPr="00C94281">
        <w:t>11.</w:t>
      </w:r>
      <w:r w:rsidRPr="00C94281">
        <w:tab/>
        <w:t>Somayaji R, Stanojevic S, Tullis DE, Stephenson AL, Ratjen F, Waters V. Clinical Outcomes Associated with Achromobacter Species Infection in Patients with Cystic Fibrosis. Annals ATS. 2017 Sep;14(9):1412–8. doi:10.1513/AnnalsATS.201701-071OC</w:t>
      </w:r>
    </w:p>
    <w:p w14:paraId="32B366EB" w14:textId="77777777" w:rsidR="00C94281" w:rsidRPr="00C94281" w:rsidRDefault="00C94281" w:rsidP="00C94281">
      <w:pPr>
        <w:pStyle w:val="Bibliography"/>
      </w:pPr>
      <w:r w:rsidRPr="00C94281">
        <w:t>12.</w:t>
      </w:r>
      <w:r w:rsidRPr="00C94281">
        <w:tab/>
        <w:t>Awadh H, Mansour M, Aqtash O, Shweihat Y. Pneumonia due to a Rare Pathogen: Achromobacter xylosoxidans, Subspecies denitrificans. Case Reports in Infectious Diseases. 2017;2017(1):3969682. doi:10.1155/2017/3969682</w:t>
      </w:r>
    </w:p>
    <w:p w14:paraId="27800DD4" w14:textId="77777777" w:rsidR="00C94281" w:rsidRPr="00C94281" w:rsidRDefault="00C94281" w:rsidP="00C94281">
      <w:pPr>
        <w:pStyle w:val="Bibliography"/>
      </w:pPr>
      <w:r w:rsidRPr="00C94281">
        <w:t>13.</w:t>
      </w:r>
      <w:r w:rsidRPr="00C94281">
        <w:tab/>
        <w:t>Kotani T, Inazaki T, Kasai H, Rakuman S, Suzuki K, Urushibara T. Pneumonia due to Achromobacter xylosoxidans with a chronic course resembling non-tuberculous mycobacterial infection. Respirology Case Reports. 2024;12(2):e01287. doi:10.1002/rcr2.1287</w:t>
      </w:r>
    </w:p>
    <w:p w14:paraId="769F4A4A" w14:textId="77777777" w:rsidR="00C94281" w:rsidRPr="00C94281" w:rsidRDefault="00C94281" w:rsidP="00C94281">
      <w:pPr>
        <w:pStyle w:val="Bibliography"/>
      </w:pPr>
      <w:r w:rsidRPr="00C94281">
        <w:t>14.</w:t>
      </w:r>
      <w:r w:rsidRPr="00C94281">
        <w:tab/>
        <w:t>Nair A, Lucarelli V, Hoyt A. Rare case of resistant Achromobacter xylosoxidans-associated meningitis due to intrathecal catheter. Surg Neurol Int. 2024 Nov 15;15:424. doi:10.25259/SNI_764_2024 PubMed PMID: 39640325; PubMed Central PMCID: PMC11618729.</w:t>
      </w:r>
    </w:p>
    <w:p w14:paraId="57F1F5A3" w14:textId="77777777" w:rsidR="00C94281" w:rsidRPr="00C94281" w:rsidRDefault="00C94281" w:rsidP="00C94281">
      <w:pPr>
        <w:pStyle w:val="Bibliography"/>
      </w:pPr>
      <w:r w:rsidRPr="00C94281">
        <w:t>15.</w:t>
      </w:r>
      <w:r w:rsidRPr="00C94281">
        <w:tab/>
        <w:t>Manckoundia P, Mazen E, Coste AS, Somana S, Marilier S, Duez JM, et al. A case of meningitis due to Achromobacter xylosoxidans denitrificans 60 years after a cranial trauma. Med Sci Monit. 2011 Jun 1;17(6):CS63–5. doi:10.12659/MSM.881796 PubMed PMID: 21629191; PubMed Central PMCID: PMC3539539.</w:t>
      </w:r>
    </w:p>
    <w:p w14:paraId="786958AF" w14:textId="77777777" w:rsidR="00C94281" w:rsidRPr="00C94281" w:rsidRDefault="00C94281" w:rsidP="00C94281">
      <w:pPr>
        <w:pStyle w:val="Bibliography"/>
      </w:pPr>
      <w:r w:rsidRPr="00C94281">
        <w:t>16.</w:t>
      </w:r>
      <w:r w:rsidRPr="00C94281">
        <w:tab/>
        <w:t>D’Amato RF, Salemi M, Mathews A, Cleri DJ, Reddy G. Achromobacter xylosoxidans (Alcaligenes xylosoxidans subsp. xylosoxidans) meningitis associated with a gunshot wound. J Clin Microbiol. 1988 Nov;26(11):2425–6. doi:10.1128/jcm.26.11.2425-2426.1988 PubMed PMID: 3235669; PubMed Central PMCID: PMC266906.</w:t>
      </w:r>
    </w:p>
    <w:p w14:paraId="7C7C360B" w14:textId="77777777" w:rsidR="00C94281" w:rsidRPr="00C94281" w:rsidRDefault="00C94281" w:rsidP="00C94281">
      <w:pPr>
        <w:pStyle w:val="Bibliography"/>
      </w:pPr>
      <w:r w:rsidRPr="00C94281">
        <w:t>17.</w:t>
      </w:r>
      <w:r w:rsidRPr="00C94281">
        <w:tab/>
        <w:t>Derber C, Elam K, Forbes BA, Bearman G. Achromobacter species endocarditis: A case report and literature review. Can J Infect Dis Med Microbiol. 2011;22(3):e17–20. doi:10.1155/2011/527412 PubMed PMID: 22942890; PubMed Central PMCID: PMC3200376.</w:t>
      </w:r>
    </w:p>
    <w:p w14:paraId="44324998" w14:textId="77777777" w:rsidR="00C94281" w:rsidRPr="00C94281" w:rsidRDefault="00C94281" w:rsidP="00C94281">
      <w:pPr>
        <w:pStyle w:val="Bibliography"/>
      </w:pPr>
      <w:r w:rsidRPr="00C94281">
        <w:t>18.</w:t>
      </w:r>
      <w:r w:rsidRPr="00C94281">
        <w:tab/>
        <w:t>Rodrigues CG, Rays J, Kanegae MY. Native-valve endocarditis caused by Achromobacter xylosoxidans: a case report and review of literature. Autops Case Rep. 2017 Sep 30;7(3):50–5. doi:10.4322/acr.2017.029 PubMed PMID: 29043211; PubMed Central PMCID: PMC5634435.</w:t>
      </w:r>
    </w:p>
    <w:p w14:paraId="583E20F6" w14:textId="77777777" w:rsidR="00C94281" w:rsidRPr="00C94281" w:rsidRDefault="00C94281" w:rsidP="00C94281">
      <w:pPr>
        <w:pStyle w:val="Bibliography"/>
      </w:pPr>
      <w:r w:rsidRPr="00C94281">
        <w:t>19.</w:t>
      </w:r>
      <w:r w:rsidRPr="00C94281">
        <w:tab/>
        <w:t>Lee JH, Lee SY, Park IY, Park SY, Lee JS, Kang G, et al. A Case of Septic Shock caused by Achromobacter xylosoxidans in an Immunocompetent Female Patient after Extracorporeal Shock Wave Lithotripsy for a Ureteral Stone. Infect Chemother. 2016 Mar;48(1):47–50. doi:10.3947/ic.2016.48.1.47 PubMed PMID: 27104016; PubMed Central PMCID: PMC4835435.</w:t>
      </w:r>
    </w:p>
    <w:p w14:paraId="628367EA" w14:textId="77777777" w:rsidR="00C94281" w:rsidRPr="00C94281" w:rsidRDefault="00C94281" w:rsidP="00C94281">
      <w:pPr>
        <w:pStyle w:val="Bibliography"/>
      </w:pPr>
      <w:r w:rsidRPr="00C94281">
        <w:t>20.</w:t>
      </w:r>
      <w:r w:rsidRPr="00C94281">
        <w:tab/>
        <w:t>Tena D, González-Praetorius A, Pérez-Balsalobre M, Sancho O, Bisquert J. Urinary tract infection due to Achromobacter xylosoxidans: report of 9 cases. Scand J Infect Dis. 2008;40(2):84–7. doi:10.1080/00365540701558714 PubMed PMID: 17852927.</w:t>
      </w:r>
    </w:p>
    <w:p w14:paraId="66366116" w14:textId="77777777" w:rsidR="00C94281" w:rsidRPr="00C94281" w:rsidRDefault="00C94281" w:rsidP="00C94281">
      <w:pPr>
        <w:pStyle w:val="Bibliography"/>
      </w:pPr>
      <w:r w:rsidRPr="00C94281">
        <w:t>21.</w:t>
      </w:r>
      <w:r w:rsidRPr="00C94281">
        <w:tab/>
        <w:t>Sarı S, Yeşilyurt E, Yılmaz N, Gürel A, Gürtan E, Şanal L. Achromobacter xylosoxidans infection in urinary tract in a secondary kidney stone patient: Case Report. Journal of Surgery and Medicine. 2018 Sep 1;2(3):406–7. doi:10.28982/josam.437945</w:t>
      </w:r>
    </w:p>
    <w:p w14:paraId="4F37641B" w14:textId="77777777" w:rsidR="00C94281" w:rsidRPr="00C94281" w:rsidRDefault="00C94281" w:rsidP="00C94281">
      <w:pPr>
        <w:pStyle w:val="Bibliography"/>
      </w:pPr>
      <w:r w:rsidRPr="00C94281">
        <w:t>22.</w:t>
      </w:r>
      <w:r w:rsidRPr="00C94281">
        <w:tab/>
        <w:t>Donderski R, Grajewska M, Mikucka A, Sulikowska B, Gospodarek-Komkowska E, Manitius J. Achromobacter xylosoxidans Relapsing Peritonitis and Streptococcus suis Peritonitis in Peritoneal Dialysis Patients: A Report of Two Cases. Case Rep Nephrol. 2018 Jul 30;2018:9454520. doi:10.1155/2018/9454520 PubMed PMID: 30155325; PubMed Central PMCID: PMC6091324.</w:t>
      </w:r>
    </w:p>
    <w:p w14:paraId="1B0834DB" w14:textId="77777777" w:rsidR="00C94281" w:rsidRPr="00C94281" w:rsidRDefault="00C94281" w:rsidP="00C94281">
      <w:pPr>
        <w:pStyle w:val="Bibliography"/>
      </w:pPr>
      <w:r w:rsidRPr="00C94281">
        <w:t>23.</w:t>
      </w:r>
      <w:r w:rsidRPr="00C94281">
        <w:tab/>
        <w:t>Oh TG, Baek JH, Jeong SJ, Chae YT, Ku NS, Chin BS, et al. Continuous ambulatory peritoneal dialysis-associated peritonitis caused by achromobacter xylosoxidans: A case report and comprehensive literature review. Infection and Chemotherapy. 2011 Jun;43(3):275–8. doi:10.3947/ic.2011.43.3.275</w:t>
      </w:r>
    </w:p>
    <w:p w14:paraId="24E06F41" w14:textId="77777777" w:rsidR="00C94281" w:rsidRPr="00C94281" w:rsidRDefault="00C94281" w:rsidP="00C94281">
      <w:pPr>
        <w:pStyle w:val="Bibliography"/>
      </w:pPr>
      <w:r w:rsidRPr="00C94281">
        <w:t>24.</w:t>
      </w:r>
      <w:r w:rsidRPr="00C94281">
        <w:tab/>
        <w:t>Tawhari I, Saggese S, Alshahrani SS, Asiri G, Alshahrani SA, Summan S, et al. Peritoneal Dialysis-Associated Peritonitis Caused by Achromobacter xylosoxidans: A Case Report and Literature Review. J Investig Med High Impact Case Rep. 2024 Jan 2;12:23247096231220467. doi:10.1177/23247096231220467 PubMed PMID: 38164897; PubMed Central PMCID: PMC10762871.</w:t>
      </w:r>
    </w:p>
    <w:p w14:paraId="5118E535" w14:textId="77777777" w:rsidR="00C94281" w:rsidRPr="00C94281" w:rsidRDefault="00C94281" w:rsidP="00C94281">
      <w:pPr>
        <w:pStyle w:val="Bibliography"/>
      </w:pPr>
      <w:r w:rsidRPr="00C94281">
        <w:t>25.</w:t>
      </w:r>
      <w:r w:rsidRPr="00C94281">
        <w:tab/>
        <w:t>Imani S, Wijetunga A, Shumborski S, O’Leary E. Chronic osteomyelitis caused by Achromobacter xylosoxidans following orthopaedic trauma: A case report and review of the literature. IDCases. 2021 Jun 29;25:e01211. doi:10.1016/j.idcr.2021.e01211 PubMed PMID: 34277350; PubMed Central PMCID: PMC8267561.</w:t>
      </w:r>
    </w:p>
    <w:p w14:paraId="431DFEDE" w14:textId="77777777" w:rsidR="00C94281" w:rsidRPr="00C94281" w:rsidRDefault="00C94281" w:rsidP="00C94281">
      <w:pPr>
        <w:pStyle w:val="Bibliography"/>
      </w:pPr>
      <w:r w:rsidRPr="00C94281">
        <w:t>26.</w:t>
      </w:r>
      <w:r w:rsidRPr="00C94281">
        <w:tab/>
        <w:t xml:space="preserve">Shinha T, Oguagha IC. Osteomyelitis caused by </w:t>
      </w:r>
      <w:r w:rsidRPr="00C94281">
        <w:rPr>
          <w:i/>
          <w:iCs/>
        </w:rPr>
        <w:t>Achromobacter xylosoxidans</w:t>
      </w:r>
      <w:r w:rsidRPr="00C94281">
        <w:t>. IDCases. 2015 Jan 1;2(1):11–2. doi:10.1016/j.idcr.2015.01.001</w:t>
      </w:r>
    </w:p>
    <w:p w14:paraId="70C7519A" w14:textId="77777777" w:rsidR="00C94281" w:rsidRPr="00C94281" w:rsidRDefault="00C94281" w:rsidP="00C94281">
      <w:pPr>
        <w:pStyle w:val="Bibliography"/>
      </w:pPr>
      <w:r w:rsidRPr="00C94281">
        <w:t>27.</w:t>
      </w:r>
      <w:r w:rsidRPr="00C94281">
        <w:tab/>
        <w:t>Lee B, Cai CX, Srikumaran D, Woreta FA. Severe Achromobacter xylosoxidans keratitis with deep corneal involvement. Am J Ophthalmol Case Rep. 2018 Jun 20;11:128–30. doi:10.1016/j.ajoc.2018.06.006 PubMed PMID: 29984332; PubMed Central PMCID: PMC6031244.</w:t>
      </w:r>
    </w:p>
    <w:p w14:paraId="299281AC" w14:textId="77777777" w:rsidR="00C94281" w:rsidRPr="00C94281" w:rsidRDefault="00C94281" w:rsidP="00C94281">
      <w:pPr>
        <w:pStyle w:val="Bibliography"/>
      </w:pPr>
      <w:r w:rsidRPr="00C94281">
        <w:t>28.</w:t>
      </w:r>
      <w:r w:rsidRPr="00C94281">
        <w:tab/>
        <w:t>Park JH, Song NH, Koh JW. Achromobacter xylosoxidans Keratitis after Contact Lens Usage. Korean J Ophthalmol. 2012 Feb;26(1):49–53. doi:10.3341/kjo.2012.26.1.49 PubMed PMID: 22323886; PubMed Central PMCID: PMC3268169.</w:t>
      </w:r>
    </w:p>
    <w:p w14:paraId="74857FB8" w14:textId="77777777" w:rsidR="00C94281" w:rsidRPr="00C94281" w:rsidRDefault="00C94281" w:rsidP="00C94281">
      <w:pPr>
        <w:pStyle w:val="Bibliography"/>
      </w:pPr>
      <w:r w:rsidRPr="00C94281">
        <w:t>29.</w:t>
      </w:r>
      <w:r w:rsidRPr="00C94281">
        <w:tab/>
        <w:t>Sahawneh HF, Franco J, Abusamak M, Bartley J, Sahawneh HF, Franco J, et al. Recurrent Indolent Keratitis Caused by Achromobacter xylosoxidans: A Case Report and Literature Review. Cureus. 2024 Dec 10;16(12). doi:10.7759/cureus.75472</w:t>
      </w:r>
    </w:p>
    <w:p w14:paraId="4081A6B0" w14:textId="77777777" w:rsidR="00C94281" w:rsidRPr="00C94281" w:rsidRDefault="00C94281" w:rsidP="00C94281">
      <w:pPr>
        <w:pStyle w:val="Bibliography"/>
      </w:pPr>
      <w:r w:rsidRPr="00C94281">
        <w:t>30.</w:t>
      </w:r>
      <w:r w:rsidRPr="00C94281">
        <w:tab/>
        <w:t>Yabuuchi E, Ohyama A. Achromobacter xylosoxidans n. sp. from Human Ear Discharge. Japanese Journal of Microbiology. 1971;15(5):477–81. doi:10.1111/j.1348-0421.1971.tb00607.x</w:t>
      </w:r>
    </w:p>
    <w:p w14:paraId="48E476B1" w14:textId="77777777" w:rsidR="00C94281" w:rsidRPr="00C94281" w:rsidRDefault="00C94281" w:rsidP="00C94281">
      <w:pPr>
        <w:pStyle w:val="Bibliography"/>
      </w:pPr>
      <w:r w:rsidRPr="00C94281">
        <w:t>31.</w:t>
      </w:r>
      <w:r w:rsidRPr="00C94281">
        <w:tab/>
        <w:t xml:space="preserve">Curry S, Richman E, Hatch J. Chronic otomastoiditis and otitis externa caused by </w:t>
      </w:r>
      <w:r w:rsidRPr="00C94281">
        <w:rPr>
          <w:i/>
          <w:iCs/>
        </w:rPr>
        <w:t>Achromobacter xylosoxidans</w:t>
      </w:r>
      <w:r w:rsidRPr="00C94281">
        <w:t>. Otolaryngology Case Reports. 2020 Nov 1;17:100234. doi:10.1016/j.xocr.2020.100234</w:t>
      </w:r>
    </w:p>
    <w:p w14:paraId="7FAA4C73" w14:textId="77777777" w:rsidR="00C94281" w:rsidRPr="00C94281" w:rsidRDefault="00C94281" w:rsidP="00C94281">
      <w:pPr>
        <w:pStyle w:val="Bibliography"/>
      </w:pPr>
      <w:r w:rsidRPr="00C94281">
        <w:t>32.</w:t>
      </w:r>
      <w:r w:rsidRPr="00C94281">
        <w:tab/>
        <w:t>Grau-van Laak C, Ruiz-García C, Lassaletta L, Morales-Puebla JM. Chronic otorrhea and osteomyelitis of the external auditory canal by Achromobacter xylosoxidans: an uncommon diagnosis. Eur Arch Otorhinolaryngol. 2024 Apr;281(4):2031–5. doi:10.1007/s00405-024-08465-8 PubMed PMID: 38367073; PubMed Central PMCID: PMC10942891.</w:t>
      </w:r>
    </w:p>
    <w:p w14:paraId="4343C40D" w14:textId="77777777" w:rsidR="00C94281" w:rsidRPr="00C94281" w:rsidRDefault="00C94281" w:rsidP="00C94281">
      <w:pPr>
        <w:pStyle w:val="Bibliography"/>
      </w:pPr>
      <w:r w:rsidRPr="00C94281">
        <w:t>33.</w:t>
      </w:r>
      <w:r w:rsidRPr="00C94281">
        <w:tab/>
        <w:t>Gao YJ, Zhang T, Hu LK, Liu SY, Li CC, Jin YS, et al. Denitrification Characteristics of the Low-Temperature Tolerant Denitrification Strain Achromobacter spiritinus HS2 and Its Application. Microorganisms. 2024 Feb 23;12(3):451. doi:10.3390/microorganisms12030451 PubMed PMID: 38543502; PubMed Central PMCID: PMC10971896.</w:t>
      </w:r>
    </w:p>
    <w:p w14:paraId="19C4EC55" w14:textId="77777777" w:rsidR="00C94281" w:rsidRPr="00C94281" w:rsidRDefault="00C94281" w:rsidP="00C94281">
      <w:pPr>
        <w:pStyle w:val="Bibliography"/>
      </w:pPr>
      <w:r w:rsidRPr="00C94281">
        <w:t>34.</w:t>
      </w:r>
      <w:r w:rsidRPr="00C94281">
        <w:tab/>
        <w:t xml:space="preserve">Chen M, He T, Wu Q, Zhang M, He K. Enhanced heterotrophic nitrification and aerobic denitrification performance of </w:t>
      </w:r>
      <w:r w:rsidRPr="00C94281">
        <w:rPr>
          <w:i/>
          <w:iCs/>
        </w:rPr>
        <w:t>Glutamicibacter arilaitensis</w:t>
      </w:r>
      <w:r w:rsidRPr="00C94281">
        <w:t xml:space="preserve"> EM-H8 with different carbon sources. Chemosphere. 2023 May 1;323:138266. doi:10.1016/j.chemosphere.2023.138266</w:t>
      </w:r>
    </w:p>
    <w:p w14:paraId="32AB48E7" w14:textId="77777777" w:rsidR="00C94281" w:rsidRPr="00C94281" w:rsidRDefault="00C94281" w:rsidP="00C94281">
      <w:pPr>
        <w:pStyle w:val="Bibliography"/>
      </w:pPr>
      <w:r w:rsidRPr="00C94281">
        <w:t>35.</w:t>
      </w:r>
      <w:r w:rsidRPr="00C94281">
        <w:tab/>
        <w:t>Yang L, Wang XH, Cui S, Ren YX, Yu J, Chen N, et al. Simultaneous removal of nitrogen and phosphorous by heterotrophic nitrification-aerobic denitrification of a metal resistant bacterium Pseudomonas putida strain NP5. Bioresour Technol. 2019 Aug;285:121360. doi:10.1016/j.biortech.2019.121360 PubMed PMID: 31015182.</w:t>
      </w:r>
    </w:p>
    <w:p w14:paraId="70189F74" w14:textId="77777777" w:rsidR="00C94281" w:rsidRPr="00C94281" w:rsidRDefault="00C94281" w:rsidP="00C94281">
      <w:pPr>
        <w:pStyle w:val="Bibliography"/>
      </w:pPr>
      <w:r w:rsidRPr="00C94281">
        <w:t>36.</w:t>
      </w:r>
      <w:r w:rsidRPr="00C94281">
        <w:tab/>
        <w:t xml:space="preserve">Alefounder PR, Greenfield AJ, McCarthy JEG, Ferguson SJ. Selection and organisation of denitrifying electron-transfer pathways in </w:t>
      </w:r>
      <w:r w:rsidRPr="00C94281">
        <w:rPr>
          <w:i/>
          <w:iCs/>
        </w:rPr>
        <w:t>Paracoccus denitrificans</w:t>
      </w:r>
      <w:r w:rsidRPr="00C94281">
        <w:t>. Biochimica et Biophysica Acta (BBA) - Bioenergetics. 1983 Jul 29;724(1):20–39. doi:10.1016/0005-2728(83)90022-1</w:t>
      </w:r>
    </w:p>
    <w:p w14:paraId="7BAA27AA" w14:textId="77777777" w:rsidR="00C94281" w:rsidRPr="00C94281" w:rsidRDefault="00C94281" w:rsidP="00C94281">
      <w:pPr>
        <w:pStyle w:val="Bibliography"/>
      </w:pPr>
      <w:r w:rsidRPr="00C94281">
        <w:t>37.</w:t>
      </w:r>
      <w:r w:rsidRPr="00C94281">
        <w:tab/>
        <w:t>Olaya-Abril A, Hidalgo-Carrillo J, Luque-Almagro VM, Fuentes-Almagro C, Urbano FJ, Moreno-Vivián C, et al. Exploring the Denitrification Proteome of Paracoccus denitrificans PD1222. Front Microbiol. 2018;9:1137. doi:10.3389/fmicb.2018.01137 PubMed PMID: 29896187; PubMed Central PMCID: PMC5987163.</w:t>
      </w:r>
    </w:p>
    <w:p w14:paraId="49C08EC8" w14:textId="77777777" w:rsidR="00C94281" w:rsidRPr="00C94281" w:rsidRDefault="00C94281" w:rsidP="00C94281">
      <w:pPr>
        <w:pStyle w:val="Bibliography"/>
      </w:pPr>
      <w:r w:rsidRPr="00C94281">
        <w:t>38.</w:t>
      </w:r>
      <w:r w:rsidRPr="00C94281">
        <w:tab/>
        <w:t>Zhu SM, Deng YL, Ruan YJ, Guo XS, Shi MM, Shen JZ. Biological denitrification using poly(butylene succinate) as carbon source and biofilm carrier for recirculating aquaculture system effluent treatment. Bioresource Technology. 2015 Sep 1;192:603–10. doi:10.1016/j.biortech.2015.06.021</w:t>
      </w:r>
    </w:p>
    <w:p w14:paraId="7B326964" w14:textId="77777777" w:rsidR="00C94281" w:rsidRPr="00C94281" w:rsidRDefault="00C94281" w:rsidP="00C94281">
      <w:pPr>
        <w:pStyle w:val="Bibliography"/>
      </w:pPr>
      <w:r w:rsidRPr="00C94281">
        <w:t>39.</w:t>
      </w:r>
      <w:r w:rsidRPr="00C94281">
        <w:tab/>
        <w:t>Chu L, Wang J. Denitrification of groundwater using a biodegradable polymer as a carbon source: long-term performance and microbial diversity. RSC Adv. 2017 Nov 16;7(84):53454–62. doi:10.1039/C7RA11151G</w:t>
      </w:r>
    </w:p>
    <w:p w14:paraId="6A510FB2" w14:textId="649C526D" w:rsidR="00F83A06" w:rsidRPr="00275F80" w:rsidRDefault="00C94281" w:rsidP="00C94281">
      <w:pPr>
        <w:pStyle w:val="Bibliography"/>
        <w:rPr>
          <w:rFonts w:ascii="Arial" w:hAnsi="Arial" w:cs="Arial"/>
        </w:rPr>
      </w:pPr>
      <w:r w:rsidRPr="00C94281">
        <w:fldChar w:fldCharType="end"/>
      </w:r>
      <w:r w:rsidR="00F83A06" w:rsidRPr="00275F80">
        <w:rPr>
          <w:rFonts w:ascii="Arial" w:hAnsi="Arial" w:cs="Arial"/>
        </w:rPr>
        <w:fldChar w:fldCharType="end"/>
      </w:r>
    </w:p>
    <w:bookmarkEnd w:id="0"/>
    <w:p w14:paraId="3FCA1EB8" w14:textId="77777777" w:rsidR="00F83A06" w:rsidRPr="00F83A06" w:rsidRDefault="00F83A06" w:rsidP="006D6457">
      <w:pPr>
        <w:spacing w:line="480" w:lineRule="auto"/>
        <w:rPr>
          <w:highlight w:val="white"/>
        </w:rPr>
      </w:pPr>
    </w:p>
    <w:sectPr w:rsidR="00F83A06" w:rsidRPr="00F83A06" w:rsidSect="0040158E">
      <w:headerReference w:type="default" r:id="rId13"/>
      <w:footerReference w:type="default" r:id="rId14"/>
      <w:pgSz w:w="12240" w:h="15840"/>
      <w:pgMar w:top="1440" w:right="1800" w:bottom="1440" w:left="1800" w:header="720" w:footer="720" w:gutter="0"/>
      <w:lnNumType w:countBy="1" w:restart="newSection"/>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43C58" w14:textId="77777777" w:rsidR="00A609A9" w:rsidRDefault="00A609A9">
      <w:pPr>
        <w:spacing w:after="0"/>
      </w:pPr>
      <w:r>
        <w:separator/>
      </w:r>
    </w:p>
  </w:endnote>
  <w:endnote w:type="continuationSeparator" w:id="0">
    <w:p w14:paraId="5365E700" w14:textId="77777777" w:rsidR="00A609A9" w:rsidRDefault="00A609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444FA" w14:textId="1FB46D1A" w:rsidR="00E6133D" w:rsidRDefault="00E6133D">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7527BE">
      <w:rPr>
        <w:noProof/>
        <w:color w:val="000000"/>
      </w:rPr>
      <w:t>2</w:t>
    </w:r>
    <w:r>
      <w:rPr>
        <w:color w:val="000000"/>
      </w:rPr>
      <w:fldChar w:fldCharType="end"/>
    </w:r>
  </w:p>
  <w:p w14:paraId="5346F214" w14:textId="77777777" w:rsidR="00E6133D" w:rsidRDefault="00E6133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1017B" w14:textId="77777777" w:rsidR="00A609A9" w:rsidRDefault="00A609A9">
      <w:pPr>
        <w:spacing w:after="0"/>
      </w:pPr>
      <w:r>
        <w:separator/>
      </w:r>
    </w:p>
  </w:footnote>
  <w:footnote w:type="continuationSeparator" w:id="0">
    <w:p w14:paraId="7E399E55" w14:textId="77777777" w:rsidR="00A609A9" w:rsidRDefault="00A609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04CCF" w14:textId="77777777" w:rsidR="00E6133D" w:rsidRDefault="00E6133D">
    <w:pPr>
      <w:jc w:val="right"/>
      <w:rPr>
        <w:sz w:val="20"/>
        <w:szCs w:val="20"/>
      </w:rPr>
    </w:pPr>
  </w:p>
  <w:p w14:paraId="186F9857" w14:textId="77777777" w:rsidR="00E6133D" w:rsidRDefault="00E613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A8898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hybridMultilevel"/>
    <w:tmpl w:val="C8306B60"/>
    <w:lvl w:ilvl="0" w:tplc="7304FF5E">
      <w:start w:val="1"/>
      <w:numFmt w:val="decimal"/>
      <w:lvlText w:val="%1."/>
      <w:lvlJc w:val="left"/>
      <w:pPr>
        <w:tabs>
          <w:tab w:val="num" w:pos="1800"/>
        </w:tabs>
        <w:ind w:left="1800" w:hanging="360"/>
      </w:pPr>
    </w:lvl>
    <w:lvl w:ilvl="1" w:tplc="6436CA44">
      <w:numFmt w:val="decimal"/>
      <w:lvlText w:val=""/>
      <w:lvlJc w:val="left"/>
    </w:lvl>
    <w:lvl w:ilvl="2" w:tplc="11B6FA4E">
      <w:numFmt w:val="decimal"/>
      <w:lvlText w:val=""/>
      <w:lvlJc w:val="left"/>
    </w:lvl>
    <w:lvl w:ilvl="3" w:tplc="25CA29AA">
      <w:numFmt w:val="decimal"/>
      <w:lvlText w:val=""/>
      <w:lvlJc w:val="left"/>
    </w:lvl>
    <w:lvl w:ilvl="4" w:tplc="D674BF2E">
      <w:numFmt w:val="decimal"/>
      <w:lvlText w:val=""/>
      <w:lvlJc w:val="left"/>
    </w:lvl>
    <w:lvl w:ilvl="5" w:tplc="C46C1C2E">
      <w:numFmt w:val="decimal"/>
      <w:lvlText w:val=""/>
      <w:lvlJc w:val="left"/>
    </w:lvl>
    <w:lvl w:ilvl="6" w:tplc="89D680B8">
      <w:numFmt w:val="decimal"/>
      <w:lvlText w:val=""/>
      <w:lvlJc w:val="left"/>
    </w:lvl>
    <w:lvl w:ilvl="7" w:tplc="A46AE3A8">
      <w:numFmt w:val="decimal"/>
      <w:lvlText w:val=""/>
      <w:lvlJc w:val="left"/>
    </w:lvl>
    <w:lvl w:ilvl="8" w:tplc="5A58773E">
      <w:numFmt w:val="decimal"/>
      <w:lvlText w:val=""/>
      <w:lvlJc w:val="left"/>
    </w:lvl>
  </w:abstractNum>
  <w:abstractNum w:abstractNumId="2"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1622C7"/>
    <w:multiLevelType w:val="hybridMultilevel"/>
    <w:tmpl w:val="ADECAC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1478067D"/>
    <w:multiLevelType w:val="hybridMultilevel"/>
    <w:tmpl w:val="9FB67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AC5390"/>
    <w:multiLevelType w:val="multilevel"/>
    <w:tmpl w:val="E0FCC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F5E69A7"/>
    <w:multiLevelType w:val="hybridMultilevel"/>
    <w:tmpl w:val="DC543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577F10"/>
    <w:multiLevelType w:val="hybridMultilevel"/>
    <w:tmpl w:val="DC14A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AFB29D4"/>
    <w:multiLevelType w:val="hybridMultilevel"/>
    <w:tmpl w:val="AFE0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110143">
    <w:abstractNumId w:val="14"/>
  </w:num>
  <w:num w:numId="2" w16cid:durableId="1975063327">
    <w:abstractNumId w:val="17"/>
  </w:num>
  <w:num w:numId="3" w16cid:durableId="872693113">
    <w:abstractNumId w:val="19"/>
  </w:num>
  <w:num w:numId="4" w16cid:durableId="660429087">
    <w:abstractNumId w:val="13"/>
  </w:num>
  <w:num w:numId="5" w16cid:durableId="1585724281">
    <w:abstractNumId w:val="10"/>
  </w:num>
  <w:num w:numId="6" w16cid:durableId="364208916">
    <w:abstractNumId w:val="8"/>
  </w:num>
  <w:num w:numId="7" w16cid:durableId="1651981728">
    <w:abstractNumId w:val="7"/>
  </w:num>
  <w:num w:numId="8" w16cid:durableId="1348870129">
    <w:abstractNumId w:val="6"/>
  </w:num>
  <w:num w:numId="9" w16cid:durableId="1197700625">
    <w:abstractNumId w:val="5"/>
  </w:num>
  <w:num w:numId="10" w16cid:durableId="1220290404">
    <w:abstractNumId w:val="9"/>
  </w:num>
  <w:num w:numId="11" w16cid:durableId="1236015126">
    <w:abstractNumId w:val="4"/>
  </w:num>
  <w:num w:numId="12" w16cid:durableId="157812285">
    <w:abstractNumId w:val="3"/>
  </w:num>
  <w:num w:numId="13" w16cid:durableId="1785683982">
    <w:abstractNumId w:val="2"/>
  </w:num>
  <w:num w:numId="14" w16cid:durableId="959382075">
    <w:abstractNumId w:val="1"/>
  </w:num>
  <w:num w:numId="15" w16cid:durableId="1524827325">
    <w:abstractNumId w:val="15"/>
  </w:num>
  <w:num w:numId="16" w16cid:durableId="150633620">
    <w:abstractNumId w:val="12"/>
  </w:num>
  <w:num w:numId="17" w16cid:durableId="1059590431">
    <w:abstractNumId w:val="18"/>
  </w:num>
  <w:num w:numId="18" w16cid:durableId="741372314">
    <w:abstractNumId w:val="0"/>
  </w:num>
  <w:num w:numId="19" w16cid:durableId="2143037510">
    <w:abstractNumId w:val="11"/>
  </w:num>
  <w:num w:numId="20" w16cid:durableId="319190897">
    <w:abstractNumId w:val="20"/>
  </w:num>
  <w:num w:numId="21" w16cid:durableId="10534298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A2MrQwNzU0sjQxMDFV0lEKTi0uzszPAykwMqgFAIScZJgtAAAA"/>
  </w:docVars>
  <w:rsids>
    <w:rsidRoot w:val="00E6133D"/>
    <w:rsid w:val="0000153A"/>
    <w:rsid w:val="00030DEB"/>
    <w:rsid w:val="000327F4"/>
    <w:rsid w:val="00034B9C"/>
    <w:rsid w:val="000359AB"/>
    <w:rsid w:val="000370FB"/>
    <w:rsid w:val="00050166"/>
    <w:rsid w:val="0006205B"/>
    <w:rsid w:val="0006263A"/>
    <w:rsid w:val="00064D0F"/>
    <w:rsid w:val="00073A5B"/>
    <w:rsid w:val="00076073"/>
    <w:rsid w:val="00076770"/>
    <w:rsid w:val="00090003"/>
    <w:rsid w:val="000B15FD"/>
    <w:rsid w:val="000C3044"/>
    <w:rsid w:val="000E3957"/>
    <w:rsid w:val="000E4A96"/>
    <w:rsid w:val="000E5247"/>
    <w:rsid w:val="0010376C"/>
    <w:rsid w:val="00120F2D"/>
    <w:rsid w:val="00125653"/>
    <w:rsid w:val="001311FA"/>
    <w:rsid w:val="00151FF2"/>
    <w:rsid w:val="0016364A"/>
    <w:rsid w:val="00177D40"/>
    <w:rsid w:val="00182A3E"/>
    <w:rsid w:val="00183A23"/>
    <w:rsid w:val="001B0070"/>
    <w:rsid w:val="001B3873"/>
    <w:rsid w:val="001C1E4E"/>
    <w:rsid w:val="001D0F18"/>
    <w:rsid w:val="001D5C80"/>
    <w:rsid w:val="001F53C2"/>
    <w:rsid w:val="00201E6B"/>
    <w:rsid w:val="0021573E"/>
    <w:rsid w:val="00224116"/>
    <w:rsid w:val="002370B4"/>
    <w:rsid w:val="00240A9F"/>
    <w:rsid w:val="00244429"/>
    <w:rsid w:val="00251B1A"/>
    <w:rsid w:val="00257410"/>
    <w:rsid w:val="00270945"/>
    <w:rsid w:val="002712CB"/>
    <w:rsid w:val="00291352"/>
    <w:rsid w:val="002A3166"/>
    <w:rsid w:val="002A4E65"/>
    <w:rsid w:val="002A6978"/>
    <w:rsid w:val="002A7053"/>
    <w:rsid w:val="002B03CB"/>
    <w:rsid w:val="002B2848"/>
    <w:rsid w:val="002C1563"/>
    <w:rsid w:val="002D6101"/>
    <w:rsid w:val="002D7060"/>
    <w:rsid w:val="0030568F"/>
    <w:rsid w:val="003063C0"/>
    <w:rsid w:val="003073E1"/>
    <w:rsid w:val="00311C58"/>
    <w:rsid w:val="003219F6"/>
    <w:rsid w:val="00322BA3"/>
    <w:rsid w:val="00324B54"/>
    <w:rsid w:val="00333F4D"/>
    <w:rsid w:val="00346277"/>
    <w:rsid w:val="00351705"/>
    <w:rsid w:val="0035606D"/>
    <w:rsid w:val="00370526"/>
    <w:rsid w:val="00373357"/>
    <w:rsid w:val="00381744"/>
    <w:rsid w:val="003830A5"/>
    <w:rsid w:val="003A0AA1"/>
    <w:rsid w:val="003A1DB4"/>
    <w:rsid w:val="003A58F4"/>
    <w:rsid w:val="003B168F"/>
    <w:rsid w:val="003B3D1E"/>
    <w:rsid w:val="003C2794"/>
    <w:rsid w:val="003D2BE0"/>
    <w:rsid w:val="003D5097"/>
    <w:rsid w:val="003E1F4C"/>
    <w:rsid w:val="003E408D"/>
    <w:rsid w:val="003F13B9"/>
    <w:rsid w:val="0040158E"/>
    <w:rsid w:val="00401F3E"/>
    <w:rsid w:val="00423168"/>
    <w:rsid w:val="00424541"/>
    <w:rsid w:val="00433E1C"/>
    <w:rsid w:val="00435364"/>
    <w:rsid w:val="00440111"/>
    <w:rsid w:val="004517A3"/>
    <w:rsid w:val="00451D5E"/>
    <w:rsid w:val="0045757B"/>
    <w:rsid w:val="0046489A"/>
    <w:rsid w:val="00470D4E"/>
    <w:rsid w:val="00474D11"/>
    <w:rsid w:val="004768C8"/>
    <w:rsid w:val="00476D4B"/>
    <w:rsid w:val="00483D1D"/>
    <w:rsid w:val="0049197F"/>
    <w:rsid w:val="0049297D"/>
    <w:rsid w:val="00493E8A"/>
    <w:rsid w:val="004A32EB"/>
    <w:rsid w:val="004B135C"/>
    <w:rsid w:val="004C01CC"/>
    <w:rsid w:val="004C164B"/>
    <w:rsid w:val="004C5F17"/>
    <w:rsid w:val="004D1BC9"/>
    <w:rsid w:val="004D7C14"/>
    <w:rsid w:val="004F5A97"/>
    <w:rsid w:val="005118BE"/>
    <w:rsid w:val="0052396A"/>
    <w:rsid w:val="00532A7B"/>
    <w:rsid w:val="0053621C"/>
    <w:rsid w:val="005416BB"/>
    <w:rsid w:val="005417F9"/>
    <w:rsid w:val="00544E46"/>
    <w:rsid w:val="00547C70"/>
    <w:rsid w:val="00551E53"/>
    <w:rsid w:val="005702EF"/>
    <w:rsid w:val="00585150"/>
    <w:rsid w:val="0059292C"/>
    <w:rsid w:val="00595027"/>
    <w:rsid w:val="00595073"/>
    <w:rsid w:val="00595EBE"/>
    <w:rsid w:val="00596EA3"/>
    <w:rsid w:val="005A78D5"/>
    <w:rsid w:val="005C1669"/>
    <w:rsid w:val="005C58AA"/>
    <w:rsid w:val="005C7DD7"/>
    <w:rsid w:val="005D232A"/>
    <w:rsid w:val="005F7A99"/>
    <w:rsid w:val="00607F06"/>
    <w:rsid w:val="00620B6C"/>
    <w:rsid w:val="00623869"/>
    <w:rsid w:val="00660AC7"/>
    <w:rsid w:val="00661004"/>
    <w:rsid w:val="00663305"/>
    <w:rsid w:val="00666596"/>
    <w:rsid w:val="0067351B"/>
    <w:rsid w:val="006B5D26"/>
    <w:rsid w:val="006C4363"/>
    <w:rsid w:val="006D6457"/>
    <w:rsid w:val="006F7B6A"/>
    <w:rsid w:val="00701201"/>
    <w:rsid w:val="007040AD"/>
    <w:rsid w:val="00715160"/>
    <w:rsid w:val="007245FA"/>
    <w:rsid w:val="00727A79"/>
    <w:rsid w:val="00744C38"/>
    <w:rsid w:val="007527BE"/>
    <w:rsid w:val="00753F71"/>
    <w:rsid w:val="00756CC2"/>
    <w:rsid w:val="00764914"/>
    <w:rsid w:val="00765D9C"/>
    <w:rsid w:val="00770997"/>
    <w:rsid w:val="00777DE8"/>
    <w:rsid w:val="00787696"/>
    <w:rsid w:val="00791086"/>
    <w:rsid w:val="007A024E"/>
    <w:rsid w:val="007A135C"/>
    <w:rsid w:val="007A18F0"/>
    <w:rsid w:val="007C44D4"/>
    <w:rsid w:val="007C6740"/>
    <w:rsid w:val="007F6F61"/>
    <w:rsid w:val="0080533D"/>
    <w:rsid w:val="00834BC6"/>
    <w:rsid w:val="00847FAE"/>
    <w:rsid w:val="00860C19"/>
    <w:rsid w:val="00862389"/>
    <w:rsid w:val="00864C7D"/>
    <w:rsid w:val="00870862"/>
    <w:rsid w:val="00872518"/>
    <w:rsid w:val="00875808"/>
    <w:rsid w:val="008768FC"/>
    <w:rsid w:val="008A4345"/>
    <w:rsid w:val="008A4AF8"/>
    <w:rsid w:val="008B4C76"/>
    <w:rsid w:val="008D0EBE"/>
    <w:rsid w:val="008E1514"/>
    <w:rsid w:val="008E30CA"/>
    <w:rsid w:val="008E6DB8"/>
    <w:rsid w:val="00904FBD"/>
    <w:rsid w:val="009355B4"/>
    <w:rsid w:val="0095112B"/>
    <w:rsid w:val="0097034D"/>
    <w:rsid w:val="00980C22"/>
    <w:rsid w:val="009A0DF7"/>
    <w:rsid w:val="009A3B92"/>
    <w:rsid w:val="009A63EA"/>
    <w:rsid w:val="009A7EDD"/>
    <w:rsid w:val="009B7B1D"/>
    <w:rsid w:val="009C50F1"/>
    <w:rsid w:val="009E0369"/>
    <w:rsid w:val="009F1B17"/>
    <w:rsid w:val="009F66BE"/>
    <w:rsid w:val="00A1401C"/>
    <w:rsid w:val="00A371C5"/>
    <w:rsid w:val="00A500E3"/>
    <w:rsid w:val="00A53343"/>
    <w:rsid w:val="00A609A9"/>
    <w:rsid w:val="00A635A9"/>
    <w:rsid w:val="00A6689A"/>
    <w:rsid w:val="00A66A14"/>
    <w:rsid w:val="00A72084"/>
    <w:rsid w:val="00A815D3"/>
    <w:rsid w:val="00A81F19"/>
    <w:rsid w:val="00A82EEB"/>
    <w:rsid w:val="00A82F49"/>
    <w:rsid w:val="00A84DC9"/>
    <w:rsid w:val="00A851BC"/>
    <w:rsid w:val="00A85CC3"/>
    <w:rsid w:val="00A87E71"/>
    <w:rsid w:val="00AA0104"/>
    <w:rsid w:val="00AA3331"/>
    <w:rsid w:val="00AB2695"/>
    <w:rsid w:val="00AC5708"/>
    <w:rsid w:val="00AD07CB"/>
    <w:rsid w:val="00AE0EB5"/>
    <w:rsid w:val="00AE60EF"/>
    <w:rsid w:val="00AF7B8A"/>
    <w:rsid w:val="00B2559F"/>
    <w:rsid w:val="00B271A0"/>
    <w:rsid w:val="00B30924"/>
    <w:rsid w:val="00B4169B"/>
    <w:rsid w:val="00B427BE"/>
    <w:rsid w:val="00B675D2"/>
    <w:rsid w:val="00B84DFB"/>
    <w:rsid w:val="00B86E1D"/>
    <w:rsid w:val="00B9147E"/>
    <w:rsid w:val="00BB0EEB"/>
    <w:rsid w:val="00BB4ADF"/>
    <w:rsid w:val="00BC3AC4"/>
    <w:rsid w:val="00BC4ED6"/>
    <w:rsid w:val="00BC60A8"/>
    <w:rsid w:val="00BC65CB"/>
    <w:rsid w:val="00BD67B7"/>
    <w:rsid w:val="00BE4840"/>
    <w:rsid w:val="00BF04A2"/>
    <w:rsid w:val="00BF2964"/>
    <w:rsid w:val="00C00ADA"/>
    <w:rsid w:val="00C33F07"/>
    <w:rsid w:val="00C35351"/>
    <w:rsid w:val="00C639F9"/>
    <w:rsid w:val="00C828F4"/>
    <w:rsid w:val="00C912BA"/>
    <w:rsid w:val="00C94281"/>
    <w:rsid w:val="00C97AF8"/>
    <w:rsid w:val="00CA1879"/>
    <w:rsid w:val="00CA1C1E"/>
    <w:rsid w:val="00CB1422"/>
    <w:rsid w:val="00CB2D3D"/>
    <w:rsid w:val="00CB5B28"/>
    <w:rsid w:val="00CC28D9"/>
    <w:rsid w:val="00CF60D2"/>
    <w:rsid w:val="00D030B3"/>
    <w:rsid w:val="00D074F3"/>
    <w:rsid w:val="00D11371"/>
    <w:rsid w:val="00D43008"/>
    <w:rsid w:val="00D66312"/>
    <w:rsid w:val="00D77DA8"/>
    <w:rsid w:val="00D81FB5"/>
    <w:rsid w:val="00D84DC7"/>
    <w:rsid w:val="00DA728B"/>
    <w:rsid w:val="00DC5567"/>
    <w:rsid w:val="00DD1B05"/>
    <w:rsid w:val="00DE3A31"/>
    <w:rsid w:val="00DF48AE"/>
    <w:rsid w:val="00DF7EA3"/>
    <w:rsid w:val="00E01958"/>
    <w:rsid w:val="00E213A9"/>
    <w:rsid w:val="00E229F1"/>
    <w:rsid w:val="00E27A1E"/>
    <w:rsid w:val="00E365E0"/>
    <w:rsid w:val="00E6133D"/>
    <w:rsid w:val="00E62015"/>
    <w:rsid w:val="00E708E3"/>
    <w:rsid w:val="00E77C7E"/>
    <w:rsid w:val="00E82F86"/>
    <w:rsid w:val="00EA1956"/>
    <w:rsid w:val="00EA268C"/>
    <w:rsid w:val="00EB5DD5"/>
    <w:rsid w:val="00EC2CC1"/>
    <w:rsid w:val="00ED082C"/>
    <w:rsid w:val="00EE1972"/>
    <w:rsid w:val="00EE34D4"/>
    <w:rsid w:val="00F21D52"/>
    <w:rsid w:val="00F26220"/>
    <w:rsid w:val="00F40D6B"/>
    <w:rsid w:val="00F649EE"/>
    <w:rsid w:val="00F6656D"/>
    <w:rsid w:val="00F74886"/>
    <w:rsid w:val="00F74E2A"/>
    <w:rsid w:val="00F81500"/>
    <w:rsid w:val="00F82196"/>
    <w:rsid w:val="00F839A7"/>
    <w:rsid w:val="00F83A06"/>
    <w:rsid w:val="00FA5D74"/>
    <w:rsid w:val="00FD590F"/>
    <w:rsid w:val="00FF4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22619"/>
  <w15:chartTrackingRefBased/>
  <w15:docId w15:val="{0BACA329-D68F-41E1-8712-30BE2256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C912BA"/>
    <w:pPr>
      <w:keepNext/>
      <w:spacing w:before="240" w:after="60"/>
      <w:outlineLvl w:val="0"/>
    </w:pPr>
    <w:rPr>
      <w:rFonts w:ascii="Times New Roman" w:eastAsia="Times New Roman" w:hAnsi="Times New Roman" w:cs="Times New Roman"/>
      <w:b/>
      <w:bCs/>
      <w:kern w:val="32"/>
      <w:sz w:val="24"/>
      <w:szCs w:val="24"/>
    </w:rPr>
  </w:style>
  <w:style w:type="paragraph" w:styleId="Heading2">
    <w:name w:val="heading 2"/>
    <w:basedOn w:val="Normal"/>
    <w:next w:val="Normal"/>
    <w:link w:val="Heading2Char"/>
    <w:unhideWhenUsed/>
    <w:qFormat/>
    <w:rsid w:val="00C912B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C912B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nhideWhenUsed/>
    <w:qFormat/>
    <w:rsid w:val="00C91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A66A1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qFormat/>
    <w:rsid w:val="00C912BA"/>
    <w:pPr>
      <w:spacing w:before="240" w:after="60"/>
      <w:outlineLvl w:val="5"/>
    </w:pPr>
    <w:rPr>
      <w:rFonts w:ascii="Calibri" w:eastAsia="Times New Roman" w:hAnsi="Calibri" w:cs="Times New Roman"/>
      <w:b/>
      <w:bCs/>
    </w:rPr>
  </w:style>
  <w:style w:type="paragraph" w:styleId="Heading7">
    <w:name w:val="heading 7"/>
    <w:basedOn w:val="Normal"/>
    <w:next w:val="Normal"/>
    <w:link w:val="Heading7Char"/>
    <w:semiHidden/>
    <w:qFormat/>
    <w:rsid w:val="00C912BA"/>
    <w:pPr>
      <w:spacing w:before="240" w:after="60"/>
      <w:outlineLvl w:val="6"/>
    </w:pPr>
    <w:rPr>
      <w:rFonts w:ascii="Calibri" w:eastAsia="Times New Roman" w:hAnsi="Calibri" w:cs="Times New Roman"/>
      <w:sz w:val="24"/>
      <w:szCs w:val="24"/>
    </w:rPr>
  </w:style>
  <w:style w:type="paragraph" w:styleId="Heading8">
    <w:name w:val="heading 8"/>
    <w:basedOn w:val="Normal"/>
    <w:next w:val="Normal"/>
    <w:link w:val="Heading8Char"/>
    <w:semiHidden/>
    <w:qFormat/>
    <w:rsid w:val="00C912BA"/>
    <w:pPr>
      <w:spacing w:before="240" w:after="60"/>
      <w:outlineLvl w:val="7"/>
    </w:pPr>
    <w:rPr>
      <w:rFonts w:ascii="Calibri" w:eastAsia="Times New Roman" w:hAnsi="Calibri" w:cs="Times New Roman"/>
      <w:i/>
      <w:iCs/>
      <w:sz w:val="24"/>
      <w:szCs w:val="24"/>
    </w:rPr>
  </w:style>
  <w:style w:type="paragraph" w:styleId="Heading9">
    <w:name w:val="heading 9"/>
    <w:basedOn w:val="Normal"/>
    <w:next w:val="Normal"/>
    <w:link w:val="Heading9Char"/>
    <w:semiHidden/>
    <w:qFormat/>
    <w:rsid w:val="00C912BA"/>
    <w:pPr>
      <w:spacing w:before="240" w:after="60"/>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E6133D"/>
    <w:rPr>
      <w:sz w:val="16"/>
      <w:szCs w:val="16"/>
    </w:rPr>
  </w:style>
  <w:style w:type="paragraph" w:styleId="CommentText">
    <w:name w:val="annotation text"/>
    <w:basedOn w:val="Normal"/>
    <w:link w:val="CommentTextChar"/>
    <w:semiHidden/>
    <w:unhideWhenUsed/>
    <w:rsid w:val="00E6133D"/>
    <w:pPr>
      <w:spacing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E6133D"/>
    <w:rPr>
      <w:rFonts w:ascii="Times New Roman" w:eastAsia="Times New Roman" w:hAnsi="Times New Roman" w:cs="Times New Roman"/>
      <w:sz w:val="20"/>
      <w:szCs w:val="20"/>
    </w:rPr>
  </w:style>
  <w:style w:type="character" w:styleId="Hyperlink">
    <w:name w:val="Hyperlink"/>
    <w:basedOn w:val="DefaultParagraphFont"/>
    <w:unhideWhenUsed/>
    <w:rsid w:val="00E6133D"/>
    <w:rPr>
      <w:color w:val="0000FF" w:themeColor="hyperlink"/>
      <w:u w:val="single"/>
    </w:rPr>
  </w:style>
  <w:style w:type="paragraph" w:styleId="BalloonText">
    <w:name w:val="Balloon Text"/>
    <w:basedOn w:val="Normal"/>
    <w:link w:val="BalloonTextChar"/>
    <w:semiHidden/>
    <w:unhideWhenUsed/>
    <w:rsid w:val="00E6133D"/>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E6133D"/>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E6133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semiHidden/>
    <w:rsid w:val="00E6133D"/>
    <w:rPr>
      <w:rFonts w:ascii="Times New Roman" w:eastAsia="Times New Roman" w:hAnsi="Times New Roman" w:cs="Times New Roman"/>
      <w:b/>
      <w:bCs/>
      <w:sz w:val="20"/>
      <w:szCs w:val="20"/>
    </w:rPr>
  </w:style>
  <w:style w:type="paragraph" w:customStyle="1" w:styleId="SMcaption">
    <w:name w:val="SM caption"/>
    <w:basedOn w:val="Normal"/>
    <w:qFormat/>
    <w:rsid w:val="00483D1D"/>
    <w:pPr>
      <w:spacing w:after="0"/>
    </w:pPr>
    <w:rPr>
      <w:rFonts w:ascii="Times New Roman" w:eastAsia="Times New Roman" w:hAnsi="Times New Roman" w:cs="Times New Roman"/>
      <w:sz w:val="24"/>
      <w:szCs w:val="20"/>
    </w:rPr>
  </w:style>
  <w:style w:type="paragraph" w:styleId="NormalWeb">
    <w:name w:val="Normal (Web)"/>
    <w:basedOn w:val="Normal"/>
    <w:uiPriority w:val="99"/>
    <w:semiHidden/>
    <w:rsid w:val="00483D1D"/>
    <w:pPr>
      <w:spacing w:after="0"/>
    </w:pPr>
    <w:rPr>
      <w:rFonts w:ascii="Times New Roman" w:eastAsia="Times New Roman" w:hAnsi="Times New Roman" w:cs="Times New Roman"/>
      <w:sz w:val="24"/>
      <w:szCs w:val="24"/>
    </w:rPr>
  </w:style>
  <w:style w:type="character" w:styleId="LineNumber">
    <w:name w:val="line number"/>
    <w:basedOn w:val="DefaultParagraphFont"/>
    <w:unhideWhenUsed/>
    <w:rsid w:val="0040158E"/>
  </w:style>
  <w:style w:type="paragraph" w:styleId="Revision">
    <w:name w:val="Revision"/>
    <w:hidden/>
    <w:uiPriority w:val="99"/>
    <w:semiHidden/>
    <w:rsid w:val="002C1563"/>
    <w:pPr>
      <w:spacing w:after="0"/>
    </w:pPr>
  </w:style>
  <w:style w:type="character" w:styleId="UnresolvedMention">
    <w:name w:val="Unresolved Mention"/>
    <w:basedOn w:val="DefaultParagraphFont"/>
    <w:uiPriority w:val="99"/>
    <w:semiHidden/>
    <w:unhideWhenUsed/>
    <w:rsid w:val="00A84DC9"/>
    <w:rPr>
      <w:color w:val="605E5C"/>
      <w:shd w:val="clear" w:color="auto" w:fill="E1DFDD"/>
    </w:rPr>
  </w:style>
  <w:style w:type="character" w:customStyle="1" w:styleId="Heading5Char">
    <w:name w:val="Heading 5 Char"/>
    <w:basedOn w:val="DefaultParagraphFont"/>
    <w:link w:val="Heading5"/>
    <w:semiHidden/>
    <w:rsid w:val="00A66A14"/>
    <w:rPr>
      <w:rFonts w:asciiTheme="majorHAnsi" w:eastAsiaTheme="majorEastAsia" w:hAnsiTheme="majorHAnsi" w:cstheme="majorBidi"/>
      <w:color w:val="365F91" w:themeColor="accent1" w:themeShade="BF"/>
    </w:rPr>
  </w:style>
  <w:style w:type="character" w:customStyle="1" w:styleId="Heading2Char">
    <w:name w:val="Heading 2 Char"/>
    <w:basedOn w:val="DefaultParagraphFont"/>
    <w:link w:val="Heading2"/>
    <w:rsid w:val="00C912BA"/>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rsid w:val="00C912BA"/>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rsid w:val="00C912BA"/>
    <w:rPr>
      <w:rFonts w:ascii="Times New Roman" w:eastAsia="Times New Roman" w:hAnsi="Times New Roman" w:cs="Times New Roman"/>
      <w:b/>
      <w:bCs/>
      <w:kern w:val="32"/>
      <w:sz w:val="24"/>
      <w:szCs w:val="24"/>
    </w:rPr>
  </w:style>
  <w:style w:type="character" w:customStyle="1" w:styleId="Heading3Char">
    <w:name w:val="Heading 3 Char"/>
    <w:basedOn w:val="DefaultParagraphFont"/>
    <w:link w:val="Heading3"/>
    <w:semiHidden/>
    <w:rsid w:val="00C912BA"/>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sid w:val="00C912BA"/>
    <w:rPr>
      <w:rFonts w:ascii="Calibri" w:eastAsia="Times New Roman" w:hAnsi="Calibri" w:cs="Times New Roman"/>
      <w:b/>
      <w:bCs/>
    </w:rPr>
  </w:style>
  <w:style w:type="character" w:customStyle="1" w:styleId="Heading7Char">
    <w:name w:val="Heading 7 Char"/>
    <w:basedOn w:val="DefaultParagraphFont"/>
    <w:link w:val="Heading7"/>
    <w:semiHidden/>
    <w:rsid w:val="00C912BA"/>
    <w:rPr>
      <w:rFonts w:ascii="Calibri" w:eastAsia="Times New Roman" w:hAnsi="Calibri" w:cs="Times New Roman"/>
      <w:sz w:val="24"/>
      <w:szCs w:val="24"/>
    </w:rPr>
  </w:style>
  <w:style w:type="character" w:customStyle="1" w:styleId="Heading8Char">
    <w:name w:val="Heading 8 Char"/>
    <w:basedOn w:val="DefaultParagraphFont"/>
    <w:link w:val="Heading8"/>
    <w:semiHidden/>
    <w:rsid w:val="00C912BA"/>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C912BA"/>
    <w:rPr>
      <w:rFonts w:ascii="Cambria" w:eastAsia="Times New Roman" w:hAnsi="Cambria" w:cs="Times New Roman"/>
    </w:rPr>
  </w:style>
  <w:style w:type="paragraph" w:customStyle="1" w:styleId="BaseText">
    <w:name w:val="Base_Text"/>
    <w:rsid w:val="00C912BA"/>
    <w:pPr>
      <w:spacing w:before="120" w:after="0"/>
    </w:pPr>
    <w:rPr>
      <w:rFonts w:ascii="Times New Roman" w:eastAsia="Times New Roman" w:hAnsi="Times New Roman" w:cs="Times New Roman"/>
      <w:sz w:val="24"/>
      <w:szCs w:val="24"/>
    </w:rPr>
  </w:style>
  <w:style w:type="paragraph" w:customStyle="1" w:styleId="1stparatext">
    <w:name w:val="1st para text"/>
    <w:basedOn w:val="BaseText"/>
    <w:rsid w:val="00C912BA"/>
  </w:style>
  <w:style w:type="paragraph" w:customStyle="1" w:styleId="BaseHeading">
    <w:name w:val="Base_Heading"/>
    <w:rsid w:val="00C912BA"/>
    <w:pPr>
      <w:keepNext/>
      <w:spacing w:before="240" w:after="0"/>
      <w:outlineLvl w:val="0"/>
    </w:pPr>
    <w:rPr>
      <w:rFonts w:ascii="Times New Roman" w:eastAsia="Times New Roman" w:hAnsi="Times New Roman" w:cs="Times New Roman"/>
      <w:kern w:val="28"/>
      <w:sz w:val="28"/>
      <w:szCs w:val="28"/>
    </w:rPr>
  </w:style>
  <w:style w:type="paragraph" w:customStyle="1" w:styleId="AbstractHead">
    <w:name w:val="Abstract Head"/>
    <w:basedOn w:val="BaseHeading"/>
    <w:rsid w:val="00C912BA"/>
  </w:style>
  <w:style w:type="paragraph" w:customStyle="1" w:styleId="AbstractSummary">
    <w:name w:val="Abstract/Summary"/>
    <w:basedOn w:val="BaseText"/>
    <w:rsid w:val="00C912BA"/>
  </w:style>
  <w:style w:type="paragraph" w:customStyle="1" w:styleId="Referencesandnotes">
    <w:name w:val="References and notes"/>
    <w:basedOn w:val="BaseText"/>
    <w:rsid w:val="00C912BA"/>
    <w:pPr>
      <w:ind w:left="720" w:hanging="720"/>
    </w:pPr>
  </w:style>
  <w:style w:type="paragraph" w:customStyle="1" w:styleId="Acknowledgement">
    <w:name w:val="Acknowledgement"/>
    <w:basedOn w:val="Referencesandnotes"/>
    <w:rsid w:val="00C912BA"/>
  </w:style>
  <w:style w:type="paragraph" w:customStyle="1" w:styleId="Subhead">
    <w:name w:val="Subhead"/>
    <w:basedOn w:val="BaseHeading"/>
    <w:rsid w:val="00C912BA"/>
    <w:rPr>
      <w:b/>
      <w:bCs/>
      <w:sz w:val="24"/>
      <w:szCs w:val="24"/>
    </w:rPr>
  </w:style>
  <w:style w:type="paragraph" w:customStyle="1" w:styleId="AppendixHead">
    <w:name w:val="AppendixHead"/>
    <w:basedOn w:val="Subhead"/>
    <w:rsid w:val="00C912BA"/>
  </w:style>
  <w:style w:type="paragraph" w:customStyle="1" w:styleId="AppendixSubhead">
    <w:name w:val="AppendixSubhead"/>
    <w:basedOn w:val="Subhead"/>
    <w:rsid w:val="00C912BA"/>
  </w:style>
  <w:style w:type="paragraph" w:customStyle="1" w:styleId="Articletype">
    <w:name w:val="Article type"/>
    <w:basedOn w:val="BaseText"/>
    <w:rsid w:val="00C912BA"/>
  </w:style>
  <w:style w:type="character" w:customStyle="1" w:styleId="aubase">
    <w:name w:val="au_base"/>
    <w:rsid w:val="00C912BA"/>
    <w:rPr>
      <w:sz w:val="24"/>
    </w:rPr>
  </w:style>
  <w:style w:type="character" w:customStyle="1" w:styleId="aucollab">
    <w:name w:val="au_collab"/>
    <w:rsid w:val="00C912BA"/>
    <w:rPr>
      <w:sz w:val="24"/>
      <w:bdr w:val="none" w:sz="0" w:space="0" w:color="auto"/>
      <w:shd w:val="clear" w:color="auto" w:fill="C0C0C0"/>
    </w:rPr>
  </w:style>
  <w:style w:type="character" w:customStyle="1" w:styleId="audeg">
    <w:name w:val="au_deg"/>
    <w:rsid w:val="00C912BA"/>
    <w:rPr>
      <w:sz w:val="24"/>
      <w:bdr w:val="none" w:sz="0" w:space="0" w:color="auto"/>
      <w:shd w:val="clear" w:color="auto" w:fill="FFFF00"/>
    </w:rPr>
  </w:style>
  <w:style w:type="character" w:customStyle="1" w:styleId="aufname">
    <w:name w:val="au_fname"/>
    <w:rsid w:val="00C912BA"/>
    <w:rPr>
      <w:sz w:val="24"/>
      <w:bdr w:val="none" w:sz="0" w:space="0" w:color="auto"/>
      <w:shd w:val="clear" w:color="auto" w:fill="00FFFF"/>
    </w:rPr>
  </w:style>
  <w:style w:type="character" w:customStyle="1" w:styleId="aurole">
    <w:name w:val="au_role"/>
    <w:rsid w:val="00C912BA"/>
    <w:rPr>
      <w:sz w:val="24"/>
      <w:bdr w:val="none" w:sz="0" w:space="0" w:color="auto"/>
      <w:shd w:val="clear" w:color="auto" w:fill="808000"/>
    </w:rPr>
  </w:style>
  <w:style w:type="character" w:customStyle="1" w:styleId="ausuffix">
    <w:name w:val="au_suffix"/>
    <w:rsid w:val="00C912BA"/>
    <w:rPr>
      <w:sz w:val="24"/>
      <w:bdr w:val="none" w:sz="0" w:space="0" w:color="auto"/>
      <w:shd w:val="clear" w:color="auto" w:fill="FF00FF"/>
    </w:rPr>
  </w:style>
  <w:style w:type="character" w:customStyle="1" w:styleId="ausurname">
    <w:name w:val="au_surname"/>
    <w:rsid w:val="00C912BA"/>
    <w:rPr>
      <w:sz w:val="24"/>
      <w:bdr w:val="none" w:sz="0" w:space="0" w:color="auto"/>
      <w:shd w:val="clear" w:color="auto" w:fill="00FF00"/>
    </w:rPr>
  </w:style>
  <w:style w:type="paragraph" w:customStyle="1" w:styleId="AuthorAttribute">
    <w:name w:val="Author Attribute"/>
    <w:basedOn w:val="BaseText"/>
    <w:rsid w:val="00C912BA"/>
    <w:pPr>
      <w:spacing w:before="480"/>
    </w:pPr>
  </w:style>
  <w:style w:type="paragraph" w:customStyle="1" w:styleId="Footnote">
    <w:name w:val="Footnote"/>
    <w:basedOn w:val="BaseText"/>
    <w:rsid w:val="00C912BA"/>
  </w:style>
  <w:style w:type="paragraph" w:customStyle="1" w:styleId="AuthorFootnote">
    <w:name w:val="AuthorFootnote"/>
    <w:basedOn w:val="Footnote"/>
    <w:rsid w:val="00C912BA"/>
    <w:pPr>
      <w:autoSpaceDE w:val="0"/>
      <w:autoSpaceDN w:val="0"/>
      <w:adjustRightInd w:val="0"/>
    </w:pPr>
    <w:rPr>
      <w:lang w:bidi="he-IL"/>
    </w:rPr>
  </w:style>
  <w:style w:type="paragraph" w:customStyle="1" w:styleId="Authors">
    <w:name w:val="Authors"/>
    <w:basedOn w:val="BaseText"/>
    <w:rsid w:val="00C912BA"/>
    <w:pPr>
      <w:spacing w:after="360"/>
      <w:jc w:val="center"/>
    </w:pPr>
  </w:style>
  <w:style w:type="character" w:customStyle="1" w:styleId="bibarticle">
    <w:name w:val="bib_article"/>
    <w:rsid w:val="00C912BA"/>
    <w:rPr>
      <w:sz w:val="24"/>
      <w:bdr w:val="none" w:sz="0" w:space="0" w:color="auto"/>
      <w:shd w:val="clear" w:color="auto" w:fill="00FFFF"/>
    </w:rPr>
  </w:style>
  <w:style w:type="character" w:customStyle="1" w:styleId="bibbase">
    <w:name w:val="bib_base"/>
    <w:rsid w:val="00C912BA"/>
    <w:rPr>
      <w:sz w:val="24"/>
    </w:rPr>
  </w:style>
  <w:style w:type="character" w:customStyle="1" w:styleId="bibcomment">
    <w:name w:val="bib_comment"/>
    <w:rsid w:val="00C912BA"/>
    <w:rPr>
      <w:sz w:val="24"/>
    </w:rPr>
  </w:style>
  <w:style w:type="character" w:customStyle="1" w:styleId="bibdeg">
    <w:name w:val="bib_deg"/>
    <w:rsid w:val="00C912BA"/>
    <w:rPr>
      <w:sz w:val="24"/>
    </w:rPr>
  </w:style>
  <w:style w:type="character" w:customStyle="1" w:styleId="bibdoi">
    <w:name w:val="bib_doi"/>
    <w:rsid w:val="00C912BA"/>
    <w:rPr>
      <w:sz w:val="24"/>
      <w:bdr w:val="none" w:sz="0" w:space="0" w:color="auto"/>
      <w:shd w:val="clear" w:color="auto" w:fill="00FF00"/>
    </w:rPr>
  </w:style>
  <w:style w:type="character" w:customStyle="1" w:styleId="bibetal">
    <w:name w:val="bib_etal"/>
    <w:rsid w:val="00C912BA"/>
    <w:rPr>
      <w:sz w:val="24"/>
      <w:bdr w:val="none" w:sz="0" w:space="0" w:color="auto"/>
      <w:shd w:val="clear" w:color="auto" w:fill="008080"/>
    </w:rPr>
  </w:style>
  <w:style w:type="character" w:customStyle="1" w:styleId="bibfname">
    <w:name w:val="bib_fname"/>
    <w:rsid w:val="00C912BA"/>
    <w:rPr>
      <w:sz w:val="24"/>
      <w:bdr w:val="none" w:sz="0" w:space="0" w:color="auto"/>
      <w:shd w:val="clear" w:color="auto" w:fill="FFFF00"/>
    </w:rPr>
  </w:style>
  <w:style w:type="character" w:customStyle="1" w:styleId="bibfpage">
    <w:name w:val="bib_fpage"/>
    <w:rsid w:val="00C912BA"/>
    <w:rPr>
      <w:sz w:val="24"/>
      <w:bdr w:val="none" w:sz="0" w:space="0" w:color="auto"/>
      <w:shd w:val="clear" w:color="auto" w:fill="808080"/>
    </w:rPr>
  </w:style>
  <w:style w:type="character" w:customStyle="1" w:styleId="bibissue">
    <w:name w:val="bib_issue"/>
    <w:rsid w:val="00C912BA"/>
    <w:rPr>
      <w:sz w:val="24"/>
      <w:bdr w:val="none" w:sz="0" w:space="0" w:color="auto"/>
      <w:shd w:val="clear" w:color="auto" w:fill="FFFF00"/>
    </w:rPr>
  </w:style>
  <w:style w:type="character" w:customStyle="1" w:styleId="bibjournal">
    <w:name w:val="bib_journal"/>
    <w:rsid w:val="00C912BA"/>
    <w:rPr>
      <w:sz w:val="24"/>
      <w:bdr w:val="none" w:sz="0" w:space="0" w:color="auto"/>
      <w:shd w:val="clear" w:color="auto" w:fill="808000"/>
    </w:rPr>
  </w:style>
  <w:style w:type="character" w:customStyle="1" w:styleId="biblpage">
    <w:name w:val="bib_lpage"/>
    <w:rsid w:val="00C912BA"/>
    <w:rPr>
      <w:sz w:val="24"/>
      <w:bdr w:val="none" w:sz="0" w:space="0" w:color="auto"/>
      <w:shd w:val="clear" w:color="auto" w:fill="808080"/>
    </w:rPr>
  </w:style>
  <w:style w:type="character" w:customStyle="1" w:styleId="bibmedline">
    <w:name w:val="bib_medline"/>
    <w:rsid w:val="00C912BA"/>
    <w:rPr>
      <w:sz w:val="24"/>
    </w:rPr>
  </w:style>
  <w:style w:type="character" w:customStyle="1" w:styleId="bibnumber">
    <w:name w:val="bib_number"/>
    <w:rsid w:val="00C912BA"/>
    <w:rPr>
      <w:sz w:val="24"/>
    </w:rPr>
  </w:style>
  <w:style w:type="character" w:customStyle="1" w:styleId="biborganization">
    <w:name w:val="bib_organization"/>
    <w:rsid w:val="00C912BA"/>
    <w:rPr>
      <w:sz w:val="24"/>
      <w:bdr w:val="none" w:sz="0" w:space="0" w:color="auto"/>
      <w:shd w:val="clear" w:color="auto" w:fill="808000"/>
    </w:rPr>
  </w:style>
  <w:style w:type="character" w:customStyle="1" w:styleId="bibsuffix">
    <w:name w:val="bib_suffix"/>
    <w:rsid w:val="00C912BA"/>
    <w:rPr>
      <w:sz w:val="24"/>
    </w:rPr>
  </w:style>
  <w:style w:type="character" w:customStyle="1" w:styleId="bibsuppl">
    <w:name w:val="bib_suppl"/>
    <w:rsid w:val="00C912BA"/>
    <w:rPr>
      <w:sz w:val="24"/>
      <w:bdr w:val="none" w:sz="0" w:space="0" w:color="auto"/>
      <w:shd w:val="clear" w:color="auto" w:fill="FFFF00"/>
    </w:rPr>
  </w:style>
  <w:style w:type="character" w:customStyle="1" w:styleId="bibsurname">
    <w:name w:val="bib_surname"/>
    <w:rsid w:val="00C912BA"/>
    <w:rPr>
      <w:sz w:val="24"/>
      <w:bdr w:val="none" w:sz="0" w:space="0" w:color="auto"/>
      <w:shd w:val="clear" w:color="auto" w:fill="FFFF00"/>
    </w:rPr>
  </w:style>
  <w:style w:type="character" w:customStyle="1" w:styleId="bibunpubl">
    <w:name w:val="bib_unpubl"/>
    <w:rsid w:val="00C912BA"/>
    <w:rPr>
      <w:sz w:val="24"/>
    </w:rPr>
  </w:style>
  <w:style w:type="character" w:customStyle="1" w:styleId="biburl">
    <w:name w:val="bib_url"/>
    <w:rsid w:val="00C912BA"/>
    <w:rPr>
      <w:sz w:val="24"/>
      <w:bdr w:val="none" w:sz="0" w:space="0" w:color="auto"/>
      <w:shd w:val="clear" w:color="auto" w:fill="00FF00"/>
    </w:rPr>
  </w:style>
  <w:style w:type="character" w:customStyle="1" w:styleId="bibvolume">
    <w:name w:val="bib_volume"/>
    <w:rsid w:val="00C912BA"/>
    <w:rPr>
      <w:sz w:val="24"/>
      <w:bdr w:val="none" w:sz="0" w:space="0" w:color="auto"/>
      <w:shd w:val="clear" w:color="auto" w:fill="00FF00"/>
    </w:rPr>
  </w:style>
  <w:style w:type="character" w:customStyle="1" w:styleId="bibyear">
    <w:name w:val="bib_year"/>
    <w:rsid w:val="00C912BA"/>
    <w:rPr>
      <w:sz w:val="24"/>
      <w:bdr w:val="none" w:sz="0" w:space="0" w:color="auto"/>
      <w:shd w:val="clear" w:color="auto" w:fill="FF00FF"/>
    </w:rPr>
  </w:style>
  <w:style w:type="paragraph" w:customStyle="1" w:styleId="BookorMeetingInformation">
    <w:name w:val="Book or Meeting Information"/>
    <w:basedOn w:val="BaseText"/>
    <w:rsid w:val="00C912BA"/>
  </w:style>
  <w:style w:type="paragraph" w:customStyle="1" w:styleId="BookInformation">
    <w:name w:val="BookInformation"/>
    <w:basedOn w:val="BaseText"/>
    <w:rsid w:val="00C912BA"/>
  </w:style>
  <w:style w:type="paragraph" w:customStyle="1" w:styleId="Level2Head">
    <w:name w:val="Level 2 Head"/>
    <w:basedOn w:val="BaseHeading"/>
    <w:rsid w:val="00C912BA"/>
    <w:pPr>
      <w:outlineLvl w:val="1"/>
    </w:pPr>
    <w:rPr>
      <w:i/>
      <w:iCs/>
      <w:sz w:val="24"/>
      <w:szCs w:val="24"/>
    </w:rPr>
  </w:style>
  <w:style w:type="paragraph" w:customStyle="1" w:styleId="BoxLevel2Head">
    <w:name w:val="BoxLevel 2 Head"/>
    <w:basedOn w:val="Level2Head"/>
    <w:rsid w:val="00C912BA"/>
    <w:pPr>
      <w:shd w:val="clear" w:color="auto" w:fill="E6E6E6"/>
    </w:pPr>
  </w:style>
  <w:style w:type="paragraph" w:customStyle="1" w:styleId="BoxListUnnumbered">
    <w:name w:val="BoxListUnnumbered"/>
    <w:basedOn w:val="BaseText"/>
    <w:rsid w:val="00C912BA"/>
    <w:pPr>
      <w:shd w:val="clear" w:color="auto" w:fill="E6E6E6"/>
      <w:ind w:left="1080" w:hanging="360"/>
    </w:pPr>
  </w:style>
  <w:style w:type="paragraph" w:customStyle="1" w:styleId="BoxList">
    <w:name w:val="BoxList"/>
    <w:basedOn w:val="BoxListUnnumbered"/>
    <w:rsid w:val="00C912BA"/>
  </w:style>
  <w:style w:type="paragraph" w:customStyle="1" w:styleId="BoxSubhead">
    <w:name w:val="BoxSubhead"/>
    <w:basedOn w:val="Subhead"/>
    <w:rsid w:val="00C912BA"/>
    <w:pPr>
      <w:shd w:val="clear" w:color="auto" w:fill="E6E6E6"/>
    </w:pPr>
  </w:style>
  <w:style w:type="paragraph" w:customStyle="1" w:styleId="Paragraph">
    <w:name w:val="Paragraph"/>
    <w:basedOn w:val="BaseText"/>
    <w:rsid w:val="00C912BA"/>
    <w:pPr>
      <w:ind w:firstLine="720"/>
    </w:pPr>
  </w:style>
  <w:style w:type="paragraph" w:customStyle="1" w:styleId="BoxText">
    <w:name w:val="BoxText"/>
    <w:basedOn w:val="Paragraph"/>
    <w:rsid w:val="00C912BA"/>
    <w:pPr>
      <w:shd w:val="clear" w:color="auto" w:fill="E6E6E6"/>
    </w:pPr>
  </w:style>
  <w:style w:type="paragraph" w:customStyle="1" w:styleId="BoxTitle">
    <w:name w:val="BoxTitle"/>
    <w:basedOn w:val="BaseHeading"/>
    <w:rsid w:val="00C912BA"/>
    <w:pPr>
      <w:shd w:val="clear" w:color="auto" w:fill="E6E6E6"/>
    </w:pPr>
    <w:rPr>
      <w:b/>
      <w:sz w:val="24"/>
      <w:szCs w:val="24"/>
    </w:rPr>
  </w:style>
  <w:style w:type="paragraph" w:customStyle="1" w:styleId="BulletedText">
    <w:name w:val="Bulleted Text"/>
    <w:basedOn w:val="BaseText"/>
    <w:rsid w:val="00C912BA"/>
    <w:pPr>
      <w:ind w:left="720" w:hanging="720"/>
    </w:pPr>
  </w:style>
  <w:style w:type="paragraph" w:customStyle="1" w:styleId="career-magazine">
    <w:name w:val="career-magazine"/>
    <w:basedOn w:val="BaseText"/>
    <w:rsid w:val="00C912BA"/>
    <w:pPr>
      <w:jc w:val="right"/>
    </w:pPr>
    <w:rPr>
      <w:color w:val="FF0000"/>
    </w:rPr>
  </w:style>
  <w:style w:type="paragraph" w:customStyle="1" w:styleId="career-stage">
    <w:name w:val="career-stage"/>
    <w:basedOn w:val="BaseText"/>
    <w:rsid w:val="00C912BA"/>
    <w:pPr>
      <w:jc w:val="right"/>
    </w:pPr>
    <w:rPr>
      <w:color w:val="339966"/>
    </w:rPr>
  </w:style>
  <w:style w:type="character" w:customStyle="1" w:styleId="citebase">
    <w:name w:val="cite_base"/>
    <w:rsid w:val="00C912BA"/>
    <w:rPr>
      <w:sz w:val="24"/>
    </w:rPr>
  </w:style>
  <w:style w:type="character" w:customStyle="1" w:styleId="citebib">
    <w:name w:val="cite_bib"/>
    <w:rsid w:val="00C912BA"/>
    <w:rPr>
      <w:sz w:val="24"/>
      <w:bdr w:val="none" w:sz="0" w:space="0" w:color="auto"/>
      <w:shd w:val="clear" w:color="auto" w:fill="00FFFF"/>
    </w:rPr>
  </w:style>
  <w:style w:type="character" w:customStyle="1" w:styleId="citebox">
    <w:name w:val="cite_box"/>
    <w:rsid w:val="00C912BA"/>
    <w:rPr>
      <w:sz w:val="24"/>
    </w:rPr>
  </w:style>
  <w:style w:type="character" w:customStyle="1" w:styleId="citeen">
    <w:name w:val="cite_en"/>
    <w:rsid w:val="00C912BA"/>
    <w:rPr>
      <w:sz w:val="24"/>
      <w:shd w:val="clear" w:color="auto" w:fill="FFFF00"/>
      <w:vertAlign w:val="superscript"/>
    </w:rPr>
  </w:style>
  <w:style w:type="character" w:customStyle="1" w:styleId="citeeq">
    <w:name w:val="cite_eq"/>
    <w:rsid w:val="00C912BA"/>
    <w:rPr>
      <w:sz w:val="24"/>
      <w:bdr w:val="none" w:sz="0" w:space="0" w:color="auto"/>
      <w:shd w:val="clear" w:color="auto" w:fill="FF99CC"/>
    </w:rPr>
  </w:style>
  <w:style w:type="character" w:customStyle="1" w:styleId="citefig">
    <w:name w:val="cite_fig"/>
    <w:rsid w:val="00C912BA"/>
    <w:rPr>
      <w:color w:val="000000"/>
      <w:sz w:val="24"/>
      <w:bdr w:val="none" w:sz="0" w:space="0" w:color="auto"/>
      <w:shd w:val="clear" w:color="auto" w:fill="00FF00"/>
    </w:rPr>
  </w:style>
  <w:style w:type="character" w:customStyle="1" w:styleId="citefn">
    <w:name w:val="cite_fn"/>
    <w:rsid w:val="00C912BA"/>
    <w:rPr>
      <w:sz w:val="24"/>
      <w:bdr w:val="none" w:sz="0" w:space="0" w:color="auto"/>
      <w:shd w:val="clear" w:color="auto" w:fill="FF0000"/>
    </w:rPr>
  </w:style>
  <w:style w:type="character" w:customStyle="1" w:styleId="citetbl">
    <w:name w:val="cite_tbl"/>
    <w:rsid w:val="00C912BA"/>
    <w:rPr>
      <w:color w:val="000000"/>
      <w:sz w:val="24"/>
      <w:bdr w:val="none" w:sz="0" w:space="0" w:color="auto"/>
      <w:shd w:val="clear" w:color="auto" w:fill="FF00FF"/>
    </w:rPr>
  </w:style>
  <w:style w:type="paragraph" w:customStyle="1" w:styleId="ContinuedParagraph">
    <w:name w:val="ContinuedParagraph"/>
    <w:basedOn w:val="Paragraph"/>
    <w:rsid w:val="00C912BA"/>
    <w:pPr>
      <w:ind w:firstLine="0"/>
    </w:pPr>
  </w:style>
  <w:style w:type="character" w:customStyle="1" w:styleId="ContractNumber">
    <w:name w:val="Contract Number"/>
    <w:rsid w:val="00C912BA"/>
    <w:rPr>
      <w:sz w:val="24"/>
      <w:szCs w:val="24"/>
      <w:bdr w:val="none" w:sz="0" w:space="0" w:color="auto"/>
      <w:shd w:val="clear" w:color="auto" w:fill="CCFFCC"/>
    </w:rPr>
  </w:style>
  <w:style w:type="character" w:customStyle="1" w:styleId="ContractSponsor">
    <w:name w:val="Contract Sponsor"/>
    <w:rsid w:val="00C912BA"/>
    <w:rPr>
      <w:sz w:val="24"/>
      <w:szCs w:val="24"/>
      <w:bdr w:val="none" w:sz="0" w:space="0" w:color="auto"/>
      <w:shd w:val="clear" w:color="auto" w:fill="FFCC99"/>
    </w:rPr>
  </w:style>
  <w:style w:type="paragraph" w:customStyle="1" w:styleId="Correspondence">
    <w:name w:val="Correspondence"/>
    <w:basedOn w:val="BaseText"/>
    <w:rsid w:val="00C912BA"/>
    <w:pPr>
      <w:spacing w:before="0" w:after="240"/>
    </w:pPr>
  </w:style>
  <w:style w:type="paragraph" w:customStyle="1" w:styleId="DateAccepted">
    <w:name w:val="Date Accepted"/>
    <w:basedOn w:val="BaseText"/>
    <w:rsid w:val="00C912BA"/>
    <w:pPr>
      <w:spacing w:before="360"/>
    </w:pPr>
  </w:style>
  <w:style w:type="paragraph" w:customStyle="1" w:styleId="Deck">
    <w:name w:val="Deck"/>
    <w:basedOn w:val="BaseHeading"/>
    <w:rsid w:val="00C912BA"/>
    <w:pPr>
      <w:outlineLvl w:val="1"/>
    </w:pPr>
  </w:style>
  <w:style w:type="paragraph" w:customStyle="1" w:styleId="DefTerm">
    <w:name w:val="DefTerm"/>
    <w:basedOn w:val="BaseText"/>
    <w:rsid w:val="00C912BA"/>
    <w:pPr>
      <w:ind w:left="720"/>
    </w:pPr>
  </w:style>
  <w:style w:type="paragraph" w:customStyle="1" w:styleId="Definition">
    <w:name w:val="Definition"/>
    <w:basedOn w:val="DefTerm"/>
    <w:rsid w:val="00C912BA"/>
    <w:pPr>
      <w:ind w:left="1080" w:hanging="360"/>
    </w:pPr>
  </w:style>
  <w:style w:type="paragraph" w:customStyle="1" w:styleId="DefListTitle">
    <w:name w:val="DefListTitle"/>
    <w:basedOn w:val="BaseHeading"/>
    <w:rsid w:val="00C912BA"/>
  </w:style>
  <w:style w:type="paragraph" w:customStyle="1" w:styleId="discipline">
    <w:name w:val="discipline"/>
    <w:basedOn w:val="BaseText"/>
    <w:rsid w:val="00C912BA"/>
    <w:pPr>
      <w:jc w:val="right"/>
    </w:pPr>
    <w:rPr>
      <w:color w:val="993366"/>
    </w:rPr>
  </w:style>
  <w:style w:type="paragraph" w:customStyle="1" w:styleId="Editors">
    <w:name w:val="Editors"/>
    <w:basedOn w:val="Authors"/>
    <w:rsid w:val="00C912BA"/>
  </w:style>
  <w:style w:type="character" w:styleId="Emphasis">
    <w:name w:val="Emphasis"/>
    <w:uiPriority w:val="20"/>
    <w:qFormat/>
    <w:rsid w:val="00C912BA"/>
    <w:rPr>
      <w:i/>
      <w:iCs/>
    </w:rPr>
  </w:style>
  <w:style w:type="character" w:styleId="EndnoteReference">
    <w:name w:val="endnote reference"/>
    <w:semiHidden/>
    <w:rsid w:val="00C912BA"/>
    <w:rPr>
      <w:vertAlign w:val="superscript"/>
    </w:rPr>
  </w:style>
  <w:style w:type="paragraph" w:styleId="EndnoteText">
    <w:name w:val="endnote text"/>
    <w:basedOn w:val="Normal"/>
    <w:link w:val="EndnoteTextChar"/>
    <w:semiHidden/>
    <w:rsid w:val="00C912BA"/>
    <w:pPr>
      <w:spacing w:after="0"/>
    </w:pPr>
    <w:rPr>
      <w:rFonts w:ascii="Cambria" w:eastAsia="Cambria" w:hAnsi="Cambria" w:cs="Times New Roman"/>
      <w:sz w:val="20"/>
      <w:szCs w:val="20"/>
    </w:rPr>
  </w:style>
  <w:style w:type="character" w:customStyle="1" w:styleId="EndnoteTextChar">
    <w:name w:val="Endnote Text Char"/>
    <w:basedOn w:val="DefaultParagraphFont"/>
    <w:link w:val="EndnoteText"/>
    <w:semiHidden/>
    <w:rsid w:val="00C912BA"/>
    <w:rPr>
      <w:rFonts w:ascii="Cambria" w:eastAsia="Cambria" w:hAnsi="Cambria" w:cs="Times New Roman"/>
      <w:sz w:val="20"/>
      <w:szCs w:val="20"/>
    </w:rPr>
  </w:style>
  <w:style w:type="character" w:customStyle="1" w:styleId="eqno">
    <w:name w:val="eq_no"/>
    <w:rsid w:val="00C912BA"/>
    <w:rPr>
      <w:sz w:val="24"/>
    </w:rPr>
  </w:style>
  <w:style w:type="paragraph" w:customStyle="1" w:styleId="Equation">
    <w:name w:val="Equation"/>
    <w:basedOn w:val="BaseText"/>
    <w:rsid w:val="00C912BA"/>
    <w:pPr>
      <w:jc w:val="center"/>
    </w:pPr>
  </w:style>
  <w:style w:type="paragraph" w:customStyle="1" w:styleId="FieldCodes">
    <w:name w:val="FieldCodes"/>
    <w:basedOn w:val="BaseText"/>
    <w:rsid w:val="00C912BA"/>
  </w:style>
  <w:style w:type="paragraph" w:customStyle="1" w:styleId="Legend">
    <w:name w:val="Legend"/>
    <w:basedOn w:val="BaseHeading"/>
    <w:rsid w:val="00C912BA"/>
    <w:rPr>
      <w:sz w:val="24"/>
      <w:szCs w:val="24"/>
    </w:rPr>
  </w:style>
  <w:style w:type="paragraph" w:customStyle="1" w:styleId="FigureCopyright">
    <w:name w:val="FigureCopyright"/>
    <w:basedOn w:val="Legend"/>
    <w:rsid w:val="00C912BA"/>
    <w:pPr>
      <w:autoSpaceDE w:val="0"/>
      <w:autoSpaceDN w:val="0"/>
      <w:adjustRightInd w:val="0"/>
      <w:spacing w:before="80"/>
    </w:pPr>
    <w:rPr>
      <w:lang w:bidi="he-IL"/>
    </w:rPr>
  </w:style>
  <w:style w:type="paragraph" w:customStyle="1" w:styleId="FigureCredit">
    <w:name w:val="FigureCredit"/>
    <w:basedOn w:val="FigureCopyright"/>
    <w:rsid w:val="00C912BA"/>
  </w:style>
  <w:style w:type="character" w:styleId="FollowedHyperlink">
    <w:name w:val="FollowedHyperlink"/>
    <w:rsid w:val="00C912BA"/>
    <w:rPr>
      <w:color w:val="800080"/>
      <w:u w:val="single"/>
    </w:rPr>
  </w:style>
  <w:style w:type="paragraph" w:styleId="Footer">
    <w:name w:val="footer"/>
    <w:basedOn w:val="Normal"/>
    <w:link w:val="FooterChar"/>
    <w:rsid w:val="00C912BA"/>
    <w:pPr>
      <w:tabs>
        <w:tab w:val="center" w:pos="4320"/>
        <w:tab w:val="right" w:pos="8640"/>
      </w:tabs>
      <w:spacing w:after="0"/>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C912BA"/>
    <w:rPr>
      <w:rFonts w:ascii="Times New Roman" w:eastAsia="Times New Roman" w:hAnsi="Times New Roman" w:cs="Times New Roman"/>
      <w:sz w:val="20"/>
      <w:szCs w:val="20"/>
    </w:rPr>
  </w:style>
  <w:style w:type="character" w:styleId="FootnoteReference">
    <w:name w:val="footnote reference"/>
    <w:semiHidden/>
    <w:rsid w:val="00C912BA"/>
    <w:rPr>
      <w:vertAlign w:val="superscript"/>
    </w:rPr>
  </w:style>
  <w:style w:type="paragraph" w:customStyle="1" w:styleId="Gloss">
    <w:name w:val="Gloss"/>
    <w:basedOn w:val="AbstractSummary"/>
    <w:rsid w:val="00C912BA"/>
  </w:style>
  <w:style w:type="paragraph" w:customStyle="1" w:styleId="Glossary">
    <w:name w:val="Glossary"/>
    <w:basedOn w:val="BaseText"/>
    <w:rsid w:val="00C912BA"/>
  </w:style>
  <w:style w:type="paragraph" w:customStyle="1" w:styleId="GlossHead">
    <w:name w:val="GlossHead"/>
    <w:basedOn w:val="AbstractHead"/>
    <w:rsid w:val="00C912BA"/>
  </w:style>
  <w:style w:type="paragraph" w:customStyle="1" w:styleId="GraphicAltText">
    <w:name w:val="GraphicAltText"/>
    <w:basedOn w:val="Legend"/>
    <w:rsid w:val="00C912BA"/>
    <w:pPr>
      <w:autoSpaceDE w:val="0"/>
      <w:autoSpaceDN w:val="0"/>
      <w:adjustRightInd w:val="0"/>
    </w:pPr>
  </w:style>
  <w:style w:type="paragraph" w:customStyle="1" w:styleId="GraphicCredit">
    <w:name w:val="GraphicCredit"/>
    <w:basedOn w:val="FigureCredit"/>
    <w:rsid w:val="00C912BA"/>
  </w:style>
  <w:style w:type="paragraph" w:customStyle="1" w:styleId="Head">
    <w:name w:val="Head"/>
    <w:basedOn w:val="BaseHeading"/>
    <w:rsid w:val="00C912BA"/>
    <w:pPr>
      <w:spacing w:before="120" w:after="120"/>
      <w:jc w:val="center"/>
    </w:pPr>
    <w:rPr>
      <w:b/>
      <w:bCs/>
    </w:rPr>
  </w:style>
  <w:style w:type="paragraph" w:styleId="Header">
    <w:name w:val="header"/>
    <w:basedOn w:val="Normal"/>
    <w:link w:val="HeaderChar"/>
    <w:rsid w:val="00C912BA"/>
    <w:pPr>
      <w:tabs>
        <w:tab w:val="center" w:pos="4320"/>
        <w:tab w:val="right" w:pos="8640"/>
      </w:tabs>
      <w:spacing w:after="0"/>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C912BA"/>
    <w:rPr>
      <w:rFonts w:ascii="Times New Roman" w:eastAsia="Times New Roman" w:hAnsi="Times New Roman" w:cs="Times New Roman"/>
      <w:sz w:val="20"/>
      <w:szCs w:val="20"/>
    </w:rPr>
  </w:style>
  <w:style w:type="character" w:styleId="HTMLAcronym">
    <w:name w:val="HTML Acronym"/>
    <w:basedOn w:val="DefaultParagraphFont"/>
    <w:rsid w:val="00C912BA"/>
  </w:style>
  <w:style w:type="character" w:styleId="HTMLCite">
    <w:name w:val="HTML Cite"/>
    <w:rsid w:val="00C912BA"/>
    <w:rPr>
      <w:i/>
      <w:iCs/>
    </w:rPr>
  </w:style>
  <w:style w:type="character" w:styleId="HTMLCode">
    <w:name w:val="HTML Code"/>
    <w:rsid w:val="00C912BA"/>
    <w:rPr>
      <w:rFonts w:ascii="Courier New" w:hAnsi="Courier New" w:cs="Courier New"/>
      <w:sz w:val="20"/>
      <w:szCs w:val="20"/>
    </w:rPr>
  </w:style>
  <w:style w:type="character" w:styleId="HTMLDefinition">
    <w:name w:val="HTML Definition"/>
    <w:rsid w:val="00C912BA"/>
    <w:rPr>
      <w:i/>
      <w:iCs/>
    </w:rPr>
  </w:style>
  <w:style w:type="character" w:styleId="HTMLKeyboard">
    <w:name w:val="HTML Keyboard"/>
    <w:rsid w:val="00C912BA"/>
    <w:rPr>
      <w:rFonts w:ascii="Courier New" w:hAnsi="Courier New" w:cs="Courier New"/>
      <w:sz w:val="20"/>
      <w:szCs w:val="20"/>
    </w:rPr>
  </w:style>
  <w:style w:type="paragraph" w:styleId="HTMLPreformatted">
    <w:name w:val="HTML Preformatted"/>
    <w:basedOn w:val="Normal"/>
    <w:link w:val="HTMLPreformattedChar"/>
    <w:rsid w:val="00C912BA"/>
    <w:pPr>
      <w:spacing w:after="0"/>
    </w:pPr>
    <w:rPr>
      <w:rFonts w:ascii="Consolas" w:eastAsia="Times New Roman" w:hAnsi="Consolas" w:cs="Times New Roman"/>
      <w:sz w:val="20"/>
      <w:szCs w:val="20"/>
    </w:rPr>
  </w:style>
  <w:style w:type="character" w:customStyle="1" w:styleId="HTMLPreformattedChar">
    <w:name w:val="HTML Preformatted Char"/>
    <w:basedOn w:val="DefaultParagraphFont"/>
    <w:link w:val="HTMLPreformatted"/>
    <w:rsid w:val="00C912BA"/>
    <w:rPr>
      <w:rFonts w:ascii="Consolas" w:eastAsia="Times New Roman" w:hAnsi="Consolas" w:cs="Times New Roman"/>
      <w:sz w:val="20"/>
      <w:szCs w:val="20"/>
    </w:rPr>
  </w:style>
  <w:style w:type="character" w:styleId="HTMLSample">
    <w:name w:val="HTML Sample"/>
    <w:rsid w:val="00C912BA"/>
    <w:rPr>
      <w:rFonts w:ascii="Courier New" w:hAnsi="Courier New" w:cs="Courier New"/>
    </w:rPr>
  </w:style>
  <w:style w:type="character" w:styleId="HTMLTypewriter">
    <w:name w:val="HTML Typewriter"/>
    <w:rsid w:val="00C912BA"/>
    <w:rPr>
      <w:rFonts w:ascii="Courier New" w:hAnsi="Courier New" w:cs="Courier New"/>
      <w:sz w:val="20"/>
      <w:szCs w:val="20"/>
    </w:rPr>
  </w:style>
  <w:style w:type="character" w:styleId="HTMLVariable">
    <w:name w:val="HTML Variable"/>
    <w:rsid w:val="00C912BA"/>
    <w:rPr>
      <w:i/>
      <w:iCs/>
    </w:rPr>
  </w:style>
  <w:style w:type="paragraph" w:customStyle="1" w:styleId="InstructionsText">
    <w:name w:val="Instructions Text"/>
    <w:basedOn w:val="BaseText"/>
    <w:rsid w:val="00C912BA"/>
  </w:style>
  <w:style w:type="paragraph" w:customStyle="1" w:styleId="Overline">
    <w:name w:val="Overline"/>
    <w:basedOn w:val="BaseText"/>
    <w:rsid w:val="00C912BA"/>
  </w:style>
  <w:style w:type="paragraph" w:customStyle="1" w:styleId="IssueName">
    <w:name w:val="IssueName"/>
    <w:basedOn w:val="Overline"/>
    <w:rsid w:val="00C912BA"/>
  </w:style>
  <w:style w:type="paragraph" w:customStyle="1" w:styleId="Keywords">
    <w:name w:val="Keywords"/>
    <w:basedOn w:val="BaseText"/>
    <w:rsid w:val="00C912BA"/>
  </w:style>
  <w:style w:type="paragraph" w:customStyle="1" w:styleId="Level3Head">
    <w:name w:val="Level 3 Head"/>
    <w:basedOn w:val="BaseHeading"/>
    <w:rsid w:val="00C912BA"/>
    <w:pPr>
      <w:outlineLvl w:val="2"/>
    </w:pPr>
    <w:rPr>
      <w:sz w:val="24"/>
      <w:szCs w:val="24"/>
      <w:u w:val="single"/>
    </w:rPr>
  </w:style>
  <w:style w:type="paragraph" w:customStyle="1" w:styleId="Level4Head">
    <w:name w:val="Level 4 Head"/>
    <w:basedOn w:val="BaseHeading"/>
    <w:rsid w:val="00C912BA"/>
    <w:pPr>
      <w:ind w:left="346"/>
    </w:pPr>
    <w:rPr>
      <w:sz w:val="24"/>
      <w:szCs w:val="24"/>
    </w:rPr>
  </w:style>
  <w:style w:type="paragraph" w:customStyle="1" w:styleId="Literaryquote">
    <w:name w:val="Literary quote"/>
    <w:basedOn w:val="BaseText"/>
    <w:rsid w:val="00C912BA"/>
    <w:pPr>
      <w:ind w:left="1440" w:right="1440"/>
    </w:pPr>
  </w:style>
  <w:style w:type="paragraph" w:customStyle="1" w:styleId="MaterialsText">
    <w:name w:val="Materials Text"/>
    <w:basedOn w:val="BaseText"/>
    <w:rsid w:val="00C912BA"/>
  </w:style>
  <w:style w:type="paragraph" w:customStyle="1" w:styleId="NoteInProof">
    <w:name w:val="NoteInProof"/>
    <w:basedOn w:val="BaseText"/>
    <w:rsid w:val="00C912BA"/>
  </w:style>
  <w:style w:type="paragraph" w:customStyle="1" w:styleId="Notes">
    <w:name w:val="Notes"/>
    <w:basedOn w:val="BaseText"/>
    <w:rsid w:val="00C912BA"/>
    <w:rPr>
      <w:i/>
    </w:rPr>
  </w:style>
  <w:style w:type="paragraph" w:customStyle="1" w:styleId="Notes-Helvetica">
    <w:name w:val="Notes-Helvetica"/>
    <w:basedOn w:val="BaseText"/>
    <w:rsid w:val="00C912BA"/>
    <w:rPr>
      <w:i/>
    </w:rPr>
  </w:style>
  <w:style w:type="paragraph" w:customStyle="1" w:styleId="NumberedInstructions">
    <w:name w:val="Numbered Instructions"/>
    <w:basedOn w:val="BaseText"/>
    <w:rsid w:val="00C912BA"/>
  </w:style>
  <w:style w:type="paragraph" w:customStyle="1" w:styleId="OutlineLevel1">
    <w:name w:val="OutlineLevel1"/>
    <w:basedOn w:val="BaseHeading"/>
    <w:rsid w:val="00C912BA"/>
    <w:rPr>
      <w:b/>
      <w:bCs/>
    </w:rPr>
  </w:style>
  <w:style w:type="paragraph" w:customStyle="1" w:styleId="OutlineLevel2">
    <w:name w:val="OutlineLevel2"/>
    <w:basedOn w:val="BaseHeading"/>
    <w:rsid w:val="00C912BA"/>
    <w:pPr>
      <w:ind w:left="360"/>
      <w:outlineLvl w:val="1"/>
    </w:pPr>
    <w:rPr>
      <w:b/>
      <w:bCs/>
      <w:sz w:val="24"/>
      <w:szCs w:val="24"/>
    </w:rPr>
  </w:style>
  <w:style w:type="paragraph" w:customStyle="1" w:styleId="OutlineLevel3">
    <w:name w:val="OutlineLevel3"/>
    <w:basedOn w:val="BaseHeading"/>
    <w:rsid w:val="00C912BA"/>
    <w:pPr>
      <w:ind w:left="720"/>
      <w:outlineLvl w:val="2"/>
    </w:pPr>
    <w:rPr>
      <w:b/>
      <w:bCs/>
      <w:sz w:val="24"/>
      <w:szCs w:val="24"/>
    </w:rPr>
  </w:style>
  <w:style w:type="character" w:styleId="PageNumber">
    <w:name w:val="page number"/>
    <w:basedOn w:val="DefaultParagraphFont"/>
    <w:rsid w:val="00C912BA"/>
  </w:style>
  <w:style w:type="paragraph" w:customStyle="1" w:styleId="Preformat">
    <w:name w:val="Preformat"/>
    <w:basedOn w:val="BaseText"/>
    <w:rsid w:val="00C912BA"/>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C912BA"/>
  </w:style>
  <w:style w:type="paragraph" w:customStyle="1" w:styleId="ProductInformation">
    <w:name w:val="ProductInformation"/>
    <w:basedOn w:val="BaseText"/>
    <w:rsid w:val="00C912BA"/>
  </w:style>
  <w:style w:type="paragraph" w:customStyle="1" w:styleId="ProductTitle">
    <w:name w:val="ProductTitle"/>
    <w:basedOn w:val="BaseText"/>
    <w:rsid w:val="00C912BA"/>
    <w:rPr>
      <w:b/>
      <w:bCs/>
    </w:rPr>
  </w:style>
  <w:style w:type="paragraph" w:customStyle="1" w:styleId="PublishedOnline">
    <w:name w:val="Published Online"/>
    <w:basedOn w:val="DateAccepted"/>
    <w:rsid w:val="00C912BA"/>
  </w:style>
  <w:style w:type="paragraph" w:customStyle="1" w:styleId="RecipeMaterials">
    <w:name w:val="Recipe Materials"/>
    <w:basedOn w:val="BaseText"/>
    <w:rsid w:val="00C912BA"/>
  </w:style>
  <w:style w:type="paragraph" w:customStyle="1" w:styleId="Refhead">
    <w:name w:val="Ref head"/>
    <w:basedOn w:val="BaseHeading"/>
    <w:rsid w:val="00C912BA"/>
    <w:pPr>
      <w:spacing w:before="120" w:after="120"/>
    </w:pPr>
    <w:rPr>
      <w:b/>
      <w:bCs/>
      <w:sz w:val="24"/>
      <w:szCs w:val="24"/>
    </w:rPr>
  </w:style>
  <w:style w:type="paragraph" w:customStyle="1" w:styleId="ReferenceNote">
    <w:name w:val="Reference Note"/>
    <w:basedOn w:val="Referencesandnotes"/>
    <w:rsid w:val="00C912BA"/>
  </w:style>
  <w:style w:type="paragraph" w:customStyle="1" w:styleId="ReferencesandnotesLong">
    <w:name w:val="References and notes Long"/>
    <w:basedOn w:val="BaseText"/>
    <w:rsid w:val="00C912BA"/>
    <w:pPr>
      <w:ind w:left="720" w:hanging="720"/>
    </w:pPr>
  </w:style>
  <w:style w:type="paragraph" w:customStyle="1" w:styleId="region">
    <w:name w:val="region"/>
    <w:basedOn w:val="BaseText"/>
    <w:rsid w:val="00C912BA"/>
    <w:pPr>
      <w:jc w:val="right"/>
    </w:pPr>
    <w:rPr>
      <w:color w:val="0000FF"/>
    </w:rPr>
  </w:style>
  <w:style w:type="paragraph" w:customStyle="1" w:styleId="RelatedArticle">
    <w:name w:val="RelatedArticle"/>
    <w:basedOn w:val="Referencesandnotes"/>
    <w:rsid w:val="00C912BA"/>
  </w:style>
  <w:style w:type="paragraph" w:customStyle="1" w:styleId="RunHead">
    <w:name w:val="RunHead"/>
    <w:basedOn w:val="BaseText"/>
    <w:rsid w:val="00C912BA"/>
  </w:style>
  <w:style w:type="paragraph" w:customStyle="1" w:styleId="SOMContent">
    <w:name w:val="SOMContent"/>
    <w:basedOn w:val="1stparatext"/>
    <w:rsid w:val="00C912BA"/>
  </w:style>
  <w:style w:type="paragraph" w:customStyle="1" w:styleId="SOMHead">
    <w:name w:val="SOMHead"/>
    <w:basedOn w:val="BaseHeading"/>
    <w:rsid w:val="00C912BA"/>
    <w:rPr>
      <w:b/>
      <w:sz w:val="24"/>
      <w:szCs w:val="24"/>
    </w:rPr>
  </w:style>
  <w:style w:type="paragraph" w:customStyle="1" w:styleId="Speaker">
    <w:name w:val="Speaker"/>
    <w:basedOn w:val="Paragraph"/>
    <w:rsid w:val="00C912BA"/>
    <w:pPr>
      <w:autoSpaceDE w:val="0"/>
      <w:autoSpaceDN w:val="0"/>
      <w:adjustRightInd w:val="0"/>
    </w:pPr>
    <w:rPr>
      <w:b/>
      <w:lang w:bidi="he-IL"/>
    </w:rPr>
  </w:style>
  <w:style w:type="paragraph" w:customStyle="1" w:styleId="Speech">
    <w:name w:val="Speech"/>
    <w:basedOn w:val="Paragraph"/>
    <w:rsid w:val="00C912BA"/>
    <w:pPr>
      <w:autoSpaceDE w:val="0"/>
      <w:autoSpaceDN w:val="0"/>
      <w:adjustRightInd w:val="0"/>
    </w:pPr>
    <w:rPr>
      <w:lang w:bidi="he-IL"/>
    </w:rPr>
  </w:style>
  <w:style w:type="character" w:styleId="Strong">
    <w:name w:val="Strong"/>
    <w:uiPriority w:val="22"/>
    <w:qFormat/>
    <w:rsid w:val="00C912BA"/>
    <w:rPr>
      <w:b/>
      <w:bCs/>
    </w:rPr>
  </w:style>
  <w:style w:type="paragraph" w:customStyle="1" w:styleId="SX-Abstract">
    <w:name w:val="SX-Abstract"/>
    <w:basedOn w:val="Normal"/>
    <w:qFormat/>
    <w:rsid w:val="00C912BA"/>
    <w:pPr>
      <w:widowControl w:val="0"/>
      <w:spacing w:before="120" w:after="240" w:line="210" w:lineRule="exact"/>
      <w:ind w:left="700" w:right="700"/>
      <w:jc w:val="both"/>
    </w:pPr>
    <w:rPr>
      <w:rFonts w:ascii="BlissRegular" w:eastAsia="Times New Roman" w:hAnsi="BlissRegular" w:cs="Times New Roman"/>
      <w:b/>
      <w:sz w:val="20"/>
      <w:szCs w:val="20"/>
    </w:rPr>
  </w:style>
  <w:style w:type="paragraph" w:customStyle="1" w:styleId="SX-Affiliation">
    <w:name w:val="SX-Affiliation"/>
    <w:basedOn w:val="Normal"/>
    <w:next w:val="Normal"/>
    <w:qFormat/>
    <w:rsid w:val="00C912BA"/>
    <w:pPr>
      <w:spacing w:after="160" w:line="190" w:lineRule="exact"/>
    </w:pPr>
    <w:rPr>
      <w:rFonts w:ascii="BlissRegular" w:eastAsia="Times New Roman" w:hAnsi="BlissRegular" w:cs="Times New Roman"/>
      <w:sz w:val="16"/>
      <w:szCs w:val="20"/>
    </w:rPr>
  </w:style>
  <w:style w:type="paragraph" w:customStyle="1" w:styleId="SX-Articlehead">
    <w:name w:val="SX-Article head"/>
    <w:basedOn w:val="Normal"/>
    <w:qFormat/>
    <w:rsid w:val="00C912BA"/>
    <w:pPr>
      <w:spacing w:before="210" w:after="0" w:line="210" w:lineRule="exact"/>
      <w:ind w:firstLine="288"/>
      <w:jc w:val="both"/>
    </w:pPr>
    <w:rPr>
      <w:rFonts w:ascii="Times New Roman" w:eastAsia="Times New Roman" w:hAnsi="Times New Roman" w:cs="Times New Roman"/>
      <w:b/>
      <w:sz w:val="18"/>
      <w:szCs w:val="20"/>
    </w:rPr>
  </w:style>
  <w:style w:type="paragraph" w:customStyle="1" w:styleId="SX-Authornames">
    <w:name w:val="SX-Author names"/>
    <w:basedOn w:val="Normal"/>
    <w:rsid w:val="00C912BA"/>
    <w:pPr>
      <w:spacing w:after="120" w:line="210" w:lineRule="exact"/>
    </w:pPr>
    <w:rPr>
      <w:rFonts w:ascii="BlissMedium" w:eastAsia="Times New Roman" w:hAnsi="BlissMedium" w:cs="Times New Roman"/>
      <w:sz w:val="20"/>
      <w:szCs w:val="20"/>
    </w:rPr>
  </w:style>
  <w:style w:type="paragraph" w:customStyle="1" w:styleId="SX-Bodytext">
    <w:name w:val="SX-Body text"/>
    <w:basedOn w:val="Normal"/>
    <w:next w:val="Normal"/>
    <w:rsid w:val="00C912BA"/>
    <w:pPr>
      <w:spacing w:after="0" w:line="210" w:lineRule="exact"/>
      <w:ind w:firstLine="288"/>
      <w:jc w:val="both"/>
    </w:pPr>
    <w:rPr>
      <w:rFonts w:ascii="Times New Roman" w:eastAsia="Times New Roman" w:hAnsi="Times New Roman" w:cs="Times New Roman"/>
      <w:sz w:val="18"/>
      <w:szCs w:val="20"/>
    </w:rPr>
  </w:style>
  <w:style w:type="paragraph" w:customStyle="1" w:styleId="SX-Bodytextflush">
    <w:name w:val="SX-Body text flush"/>
    <w:basedOn w:val="SX-Bodytext"/>
    <w:next w:val="SX-Bodytext"/>
    <w:rsid w:val="00C912BA"/>
    <w:pPr>
      <w:ind w:firstLine="0"/>
    </w:pPr>
  </w:style>
  <w:style w:type="paragraph" w:customStyle="1" w:styleId="SX-Correspondence">
    <w:name w:val="SX-Correspondence"/>
    <w:basedOn w:val="SX-Affiliation"/>
    <w:qFormat/>
    <w:rsid w:val="00C912BA"/>
    <w:pPr>
      <w:spacing w:after="80"/>
    </w:pPr>
  </w:style>
  <w:style w:type="paragraph" w:customStyle="1" w:styleId="SX-Date">
    <w:name w:val="SX-Date"/>
    <w:basedOn w:val="Normal"/>
    <w:qFormat/>
    <w:rsid w:val="00C912BA"/>
    <w:pPr>
      <w:spacing w:before="180" w:after="0" w:line="190" w:lineRule="exact"/>
      <w:ind w:left="245" w:hanging="245"/>
      <w:jc w:val="both"/>
    </w:pPr>
    <w:rPr>
      <w:rFonts w:ascii="Times New Roman" w:eastAsia="Times New Roman" w:hAnsi="Times New Roman" w:cs="Times New Roman"/>
      <w:sz w:val="16"/>
      <w:szCs w:val="20"/>
    </w:rPr>
  </w:style>
  <w:style w:type="paragraph" w:customStyle="1" w:styleId="SX-Equation">
    <w:name w:val="SX-Equation"/>
    <w:basedOn w:val="SX-Bodytextflush"/>
    <w:next w:val="SX-Bodytext"/>
    <w:rsid w:val="00C912BA"/>
    <w:pPr>
      <w:autoSpaceDE w:val="0"/>
      <w:autoSpaceDN w:val="0"/>
      <w:adjustRightInd w:val="0"/>
      <w:spacing w:line="240" w:lineRule="auto"/>
      <w:jc w:val="center"/>
    </w:pPr>
  </w:style>
  <w:style w:type="paragraph" w:customStyle="1" w:styleId="SX-Legend">
    <w:name w:val="SX-Legend"/>
    <w:basedOn w:val="SX-Authornames"/>
    <w:rsid w:val="00C912BA"/>
    <w:pPr>
      <w:jc w:val="both"/>
    </w:pPr>
    <w:rPr>
      <w:sz w:val="18"/>
    </w:rPr>
  </w:style>
  <w:style w:type="paragraph" w:customStyle="1" w:styleId="SX-References">
    <w:name w:val="SX-References"/>
    <w:basedOn w:val="Normal"/>
    <w:rsid w:val="00C912BA"/>
    <w:pPr>
      <w:spacing w:after="0" w:line="190" w:lineRule="exact"/>
      <w:ind w:left="245" w:hanging="245"/>
      <w:jc w:val="both"/>
    </w:pPr>
    <w:rPr>
      <w:rFonts w:ascii="Times New Roman" w:eastAsia="Times New Roman" w:hAnsi="Times New Roman" w:cs="Times New Roman"/>
      <w:sz w:val="16"/>
      <w:szCs w:val="20"/>
    </w:rPr>
  </w:style>
  <w:style w:type="paragraph" w:customStyle="1" w:styleId="SX-RefHead">
    <w:name w:val="SX-RefHead"/>
    <w:basedOn w:val="Normal"/>
    <w:rsid w:val="00C912BA"/>
    <w:pPr>
      <w:spacing w:before="200" w:after="0" w:line="190" w:lineRule="exact"/>
    </w:pPr>
    <w:rPr>
      <w:rFonts w:ascii="Times New Roman" w:eastAsia="Times New Roman" w:hAnsi="Times New Roman" w:cs="Times New Roman"/>
      <w:b/>
      <w:sz w:val="16"/>
      <w:szCs w:val="20"/>
    </w:rPr>
  </w:style>
  <w:style w:type="character" w:customStyle="1" w:styleId="SX-reflink">
    <w:name w:val="SX-reflink"/>
    <w:uiPriority w:val="1"/>
    <w:qFormat/>
    <w:rsid w:val="00C912BA"/>
    <w:rPr>
      <w:color w:val="0000FF"/>
      <w:sz w:val="16"/>
      <w:u w:val="words"/>
      <w:bdr w:val="none" w:sz="0" w:space="0" w:color="auto"/>
      <w:shd w:val="clear" w:color="auto" w:fill="FFFFFF"/>
    </w:rPr>
  </w:style>
  <w:style w:type="paragraph" w:customStyle="1" w:styleId="SX-SOMHead">
    <w:name w:val="SX-SOMHead"/>
    <w:basedOn w:val="SX-RefHead"/>
    <w:rsid w:val="00C912BA"/>
  </w:style>
  <w:style w:type="paragraph" w:customStyle="1" w:styleId="SX-Tablehead">
    <w:name w:val="SX-Tablehead"/>
    <w:basedOn w:val="Normal"/>
    <w:qFormat/>
    <w:rsid w:val="00C912BA"/>
    <w:pPr>
      <w:spacing w:after="0"/>
    </w:pPr>
    <w:rPr>
      <w:rFonts w:ascii="Times New Roman" w:eastAsia="Times New Roman" w:hAnsi="Times New Roman" w:cs="Times New Roman"/>
      <w:sz w:val="20"/>
      <w:szCs w:val="24"/>
    </w:rPr>
  </w:style>
  <w:style w:type="paragraph" w:customStyle="1" w:styleId="SX-Tablelegend">
    <w:name w:val="SX-Tablelegend"/>
    <w:basedOn w:val="Normal"/>
    <w:qFormat/>
    <w:rsid w:val="00C912BA"/>
    <w:pPr>
      <w:spacing w:after="0" w:line="190" w:lineRule="exact"/>
      <w:ind w:left="245" w:hanging="245"/>
      <w:jc w:val="both"/>
    </w:pPr>
    <w:rPr>
      <w:rFonts w:ascii="Times New Roman" w:eastAsia="Times New Roman" w:hAnsi="Times New Roman" w:cs="Times New Roman"/>
      <w:sz w:val="16"/>
      <w:szCs w:val="20"/>
    </w:rPr>
  </w:style>
  <w:style w:type="paragraph" w:customStyle="1" w:styleId="SX-Tabletext">
    <w:name w:val="SX-Tabletext"/>
    <w:basedOn w:val="Normal"/>
    <w:qFormat/>
    <w:rsid w:val="00C912BA"/>
    <w:pPr>
      <w:spacing w:after="0" w:line="210" w:lineRule="exact"/>
      <w:jc w:val="center"/>
    </w:pPr>
    <w:rPr>
      <w:rFonts w:ascii="Times New Roman" w:eastAsia="Times New Roman" w:hAnsi="Times New Roman" w:cs="Times New Roman"/>
      <w:sz w:val="18"/>
      <w:szCs w:val="20"/>
    </w:rPr>
  </w:style>
  <w:style w:type="paragraph" w:customStyle="1" w:styleId="SX-Tabletitle">
    <w:name w:val="SX-Tabletitle"/>
    <w:basedOn w:val="Normal"/>
    <w:qFormat/>
    <w:rsid w:val="00C912BA"/>
    <w:pPr>
      <w:spacing w:after="120" w:line="210" w:lineRule="exact"/>
      <w:jc w:val="both"/>
    </w:pPr>
    <w:rPr>
      <w:rFonts w:ascii="BlissMedium" w:eastAsia="Times New Roman" w:hAnsi="BlissMedium" w:cs="Times New Roman"/>
      <w:sz w:val="18"/>
      <w:szCs w:val="20"/>
    </w:rPr>
  </w:style>
  <w:style w:type="paragraph" w:customStyle="1" w:styleId="SX-Title">
    <w:name w:val="SX-Title"/>
    <w:basedOn w:val="Normal"/>
    <w:rsid w:val="00C912BA"/>
    <w:pPr>
      <w:spacing w:after="240" w:line="500" w:lineRule="exact"/>
    </w:pPr>
    <w:rPr>
      <w:rFonts w:ascii="BlissBold" w:eastAsia="Times New Roman" w:hAnsi="BlissBold" w:cs="Times New Roman"/>
      <w:b/>
      <w:sz w:val="44"/>
      <w:szCs w:val="20"/>
    </w:rPr>
  </w:style>
  <w:style w:type="paragraph" w:customStyle="1" w:styleId="Tablecolumnhead">
    <w:name w:val="Table column head"/>
    <w:basedOn w:val="BaseText"/>
    <w:rsid w:val="00C912BA"/>
    <w:pPr>
      <w:spacing w:before="0"/>
    </w:pPr>
  </w:style>
  <w:style w:type="paragraph" w:customStyle="1" w:styleId="Tabletext">
    <w:name w:val="Table text"/>
    <w:basedOn w:val="BaseText"/>
    <w:rsid w:val="00C912BA"/>
    <w:pPr>
      <w:spacing w:before="0"/>
    </w:pPr>
  </w:style>
  <w:style w:type="paragraph" w:customStyle="1" w:styleId="TableLegend">
    <w:name w:val="TableLegend"/>
    <w:basedOn w:val="BaseText"/>
    <w:rsid w:val="00C912BA"/>
    <w:pPr>
      <w:spacing w:before="0"/>
    </w:pPr>
  </w:style>
  <w:style w:type="paragraph" w:customStyle="1" w:styleId="TableTitle">
    <w:name w:val="TableTitle"/>
    <w:basedOn w:val="BaseHeading"/>
    <w:rsid w:val="00C912BA"/>
  </w:style>
  <w:style w:type="paragraph" w:customStyle="1" w:styleId="Teaser">
    <w:name w:val="Teaser"/>
    <w:basedOn w:val="BaseText"/>
    <w:rsid w:val="00C912BA"/>
  </w:style>
  <w:style w:type="paragraph" w:customStyle="1" w:styleId="TWIS">
    <w:name w:val="TWIS"/>
    <w:basedOn w:val="AbstractSummary"/>
    <w:rsid w:val="00C912BA"/>
    <w:pPr>
      <w:autoSpaceDE w:val="0"/>
      <w:autoSpaceDN w:val="0"/>
      <w:adjustRightInd w:val="0"/>
    </w:pPr>
  </w:style>
  <w:style w:type="paragraph" w:customStyle="1" w:styleId="TWISorEC">
    <w:name w:val="TWIS or EC"/>
    <w:basedOn w:val="Normal"/>
    <w:rsid w:val="00C912BA"/>
    <w:pPr>
      <w:spacing w:after="0" w:line="210" w:lineRule="exact"/>
    </w:pPr>
    <w:rPr>
      <w:rFonts w:ascii="BlissRegular" w:eastAsia="Times New Roman" w:hAnsi="BlissRegular" w:cs="Times New Roman"/>
      <w:sz w:val="19"/>
      <w:szCs w:val="20"/>
    </w:rPr>
  </w:style>
  <w:style w:type="paragraph" w:customStyle="1" w:styleId="work-sector">
    <w:name w:val="work-sector"/>
    <w:basedOn w:val="BaseText"/>
    <w:rsid w:val="00C912BA"/>
    <w:pPr>
      <w:jc w:val="right"/>
    </w:pPr>
    <w:rPr>
      <w:color w:val="003300"/>
    </w:rPr>
  </w:style>
  <w:style w:type="paragraph" w:customStyle="1" w:styleId="DOI">
    <w:name w:val="DOI"/>
    <w:basedOn w:val="DateAccepted"/>
    <w:qFormat/>
    <w:rsid w:val="00C912BA"/>
  </w:style>
  <w:style w:type="character" w:customStyle="1" w:styleId="custom-cit-author">
    <w:name w:val="custom-cit-author"/>
    <w:basedOn w:val="DefaultParagraphFont"/>
    <w:rsid w:val="00C912BA"/>
  </w:style>
  <w:style w:type="character" w:customStyle="1" w:styleId="custom-cit-title">
    <w:name w:val="custom-cit-title"/>
    <w:basedOn w:val="DefaultParagraphFont"/>
    <w:rsid w:val="00C912BA"/>
  </w:style>
  <w:style w:type="character" w:customStyle="1" w:styleId="custom-cit-jour-title">
    <w:name w:val="custom-cit-jour-title"/>
    <w:basedOn w:val="DefaultParagraphFont"/>
    <w:rsid w:val="00C912BA"/>
  </w:style>
  <w:style w:type="character" w:customStyle="1" w:styleId="custom-cit-volume">
    <w:name w:val="custom-cit-volume"/>
    <w:basedOn w:val="DefaultParagraphFont"/>
    <w:rsid w:val="00C912BA"/>
  </w:style>
  <w:style w:type="character" w:customStyle="1" w:styleId="custom-cit-volume-sep">
    <w:name w:val="custom-cit-volume-sep"/>
    <w:basedOn w:val="DefaultParagraphFont"/>
    <w:rsid w:val="00C912BA"/>
  </w:style>
  <w:style w:type="character" w:customStyle="1" w:styleId="custom-cit-fpage">
    <w:name w:val="custom-cit-fpage"/>
    <w:basedOn w:val="DefaultParagraphFont"/>
    <w:rsid w:val="00C912BA"/>
  </w:style>
  <w:style w:type="character" w:customStyle="1" w:styleId="custom-cit-date">
    <w:name w:val="custom-cit-date"/>
    <w:basedOn w:val="DefaultParagraphFont"/>
    <w:rsid w:val="00C912BA"/>
  </w:style>
  <w:style w:type="paragraph" w:customStyle="1" w:styleId="MediumList2-Accent21">
    <w:name w:val="Medium List 2 - Accent 21"/>
    <w:hidden/>
    <w:uiPriority w:val="99"/>
    <w:semiHidden/>
    <w:rsid w:val="00C912BA"/>
    <w:pPr>
      <w:spacing w:after="0"/>
    </w:pPr>
    <w:rPr>
      <w:rFonts w:ascii="Times New Roman" w:eastAsia="Calibri" w:hAnsi="Times New Roman" w:cs="Times New Roman"/>
      <w:sz w:val="20"/>
      <w:szCs w:val="20"/>
    </w:rPr>
  </w:style>
  <w:style w:type="table" w:styleId="TableGrid">
    <w:name w:val="Table Grid"/>
    <w:basedOn w:val="TableNormal"/>
    <w:rsid w:val="00C912BA"/>
    <w:pPr>
      <w:spacing w:after="0"/>
    </w:pPr>
    <w:rPr>
      <w:rFonts w:ascii="Times" w:eastAsia="Times New Roman"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12BA"/>
    <w:pPr>
      <w:spacing w:after="0"/>
      <w:ind w:left="720"/>
      <w:contextualSpacing/>
    </w:pPr>
    <w:rPr>
      <w:rFonts w:ascii="Times New Roman" w:eastAsia="Calibri" w:hAnsi="Times New Roman" w:cs="Times New Roman"/>
      <w:sz w:val="20"/>
      <w:szCs w:val="20"/>
    </w:rPr>
  </w:style>
  <w:style w:type="paragraph" w:styleId="Bibliography">
    <w:name w:val="Bibliography"/>
    <w:basedOn w:val="Normal"/>
    <w:next w:val="Normal"/>
    <w:uiPriority w:val="37"/>
    <w:unhideWhenUsed/>
    <w:rsid w:val="00C912BA"/>
    <w:pPr>
      <w:tabs>
        <w:tab w:val="left" w:pos="384"/>
      </w:tabs>
      <w:spacing w:after="240"/>
      <w:ind w:left="384" w:hanging="384"/>
    </w:pPr>
    <w:rPr>
      <w:rFonts w:ascii="Times New Roman" w:eastAsia="Calibri" w:hAnsi="Times New Roman" w:cs="Times New Roman"/>
      <w:sz w:val="20"/>
      <w:szCs w:val="20"/>
    </w:rPr>
  </w:style>
  <w:style w:type="paragraph" w:customStyle="1" w:styleId="SMHeading">
    <w:name w:val="SM Heading"/>
    <w:basedOn w:val="Heading1"/>
    <w:qFormat/>
    <w:rsid w:val="00C912BA"/>
  </w:style>
  <w:style w:type="paragraph" w:customStyle="1" w:styleId="SMSubheading">
    <w:name w:val="SM Subheading"/>
    <w:basedOn w:val="Normal"/>
    <w:qFormat/>
    <w:rsid w:val="00C912BA"/>
    <w:pPr>
      <w:spacing w:after="0"/>
    </w:pPr>
    <w:rPr>
      <w:rFonts w:ascii="Times New Roman" w:eastAsia="Times New Roman" w:hAnsi="Times New Roman" w:cs="Times New Roman"/>
      <w:sz w:val="24"/>
      <w:szCs w:val="20"/>
      <w:u w:val="words"/>
    </w:rPr>
  </w:style>
  <w:style w:type="paragraph" w:customStyle="1" w:styleId="SMText">
    <w:name w:val="SM Text"/>
    <w:basedOn w:val="Normal"/>
    <w:qFormat/>
    <w:rsid w:val="00C912BA"/>
    <w:pPr>
      <w:spacing w:after="0"/>
      <w:ind w:firstLine="480"/>
    </w:pPr>
    <w:rPr>
      <w:rFonts w:ascii="Times New Roman" w:eastAsia="Times New Roman" w:hAnsi="Times New Roman" w:cs="Times New Roman"/>
      <w:sz w:val="24"/>
      <w:szCs w:val="20"/>
    </w:rPr>
  </w:style>
  <w:style w:type="paragraph" w:styleId="BlockText">
    <w:name w:val="Block Text"/>
    <w:basedOn w:val="Normal"/>
    <w:semiHidden/>
    <w:rsid w:val="00C912BA"/>
    <w:pPr>
      <w:spacing w:after="120"/>
      <w:ind w:left="1440" w:right="1440"/>
    </w:pPr>
    <w:rPr>
      <w:rFonts w:ascii="Times New Roman" w:eastAsia="Times New Roman" w:hAnsi="Times New Roman" w:cs="Times New Roman"/>
      <w:sz w:val="24"/>
      <w:szCs w:val="20"/>
    </w:rPr>
  </w:style>
  <w:style w:type="paragraph" w:styleId="BodyText">
    <w:name w:val="Body Text"/>
    <w:basedOn w:val="Normal"/>
    <w:link w:val="BodyTextChar"/>
    <w:semiHidden/>
    <w:rsid w:val="00C912BA"/>
    <w:pPr>
      <w:spacing w:after="120"/>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C912BA"/>
    <w:rPr>
      <w:rFonts w:ascii="Times New Roman" w:eastAsia="Times New Roman" w:hAnsi="Times New Roman" w:cs="Times New Roman"/>
      <w:sz w:val="24"/>
      <w:szCs w:val="20"/>
    </w:rPr>
  </w:style>
  <w:style w:type="paragraph" w:styleId="BodyText2">
    <w:name w:val="Body Text 2"/>
    <w:basedOn w:val="Normal"/>
    <w:link w:val="BodyText2Char"/>
    <w:semiHidden/>
    <w:rsid w:val="00C912BA"/>
    <w:pPr>
      <w:spacing w:after="120" w:line="48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semiHidden/>
    <w:rsid w:val="00C912BA"/>
    <w:rPr>
      <w:rFonts w:ascii="Times New Roman" w:eastAsia="Times New Roman" w:hAnsi="Times New Roman" w:cs="Times New Roman"/>
      <w:sz w:val="24"/>
      <w:szCs w:val="20"/>
    </w:rPr>
  </w:style>
  <w:style w:type="paragraph" w:styleId="BodyText3">
    <w:name w:val="Body Text 3"/>
    <w:basedOn w:val="Normal"/>
    <w:link w:val="BodyText3Char"/>
    <w:semiHidden/>
    <w:rsid w:val="00C912BA"/>
    <w:pPr>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sid w:val="00C912BA"/>
    <w:rPr>
      <w:rFonts w:ascii="Times New Roman" w:eastAsia="Times New Roman" w:hAnsi="Times New Roman" w:cs="Times New Roman"/>
      <w:sz w:val="16"/>
      <w:szCs w:val="16"/>
    </w:rPr>
  </w:style>
  <w:style w:type="paragraph" w:styleId="BodyTextFirstIndent">
    <w:name w:val="Body Text First Indent"/>
    <w:basedOn w:val="BodyText"/>
    <w:link w:val="BodyTextFirstIndentChar"/>
    <w:semiHidden/>
    <w:rsid w:val="00C912BA"/>
    <w:pPr>
      <w:ind w:firstLine="210"/>
    </w:pPr>
  </w:style>
  <w:style w:type="character" w:customStyle="1" w:styleId="BodyTextFirstIndentChar">
    <w:name w:val="Body Text First Indent Char"/>
    <w:basedOn w:val="BodyTextChar"/>
    <w:link w:val="BodyTextFirstIndent"/>
    <w:semiHidden/>
    <w:rsid w:val="00C912BA"/>
    <w:rPr>
      <w:rFonts w:ascii="Times New Roman" w:eastAsia="Times New Roman" w:hAnsi="Times New Roman" w:cs="Times New Roman"/>
      <w:sz w:val="24"/>
      <w:szCs w:val="20"/>
    </w:rPr>
  </w:style>
  <w:style w:type="paragraph" w:styleId="BodyTextIndent">
    <w:name w:val="Body Text Indent"/>
    <w:basedOn w:val="Normal"/>
    <w:link w:val="BodyTextIndentChar"/>
    <w:semiHidden/>
    <w:rsid w:val="00C912BA"/>
    <w:pPr>
      <w:spacing w:after="120"/>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semiHidden/>
    <w:rsid w:val="00C912BA"/>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semiHidden/>
    <w:rsid w:val="00C912BA"/>
    <w:pPr>
      <w:ind w:firstLine="210"/>
    </w:pPr>
  </w:style>
  <w:style w:type="character" w:customStyle="1" w:styleId="BodyTextFirstIndent2Char">
    <w:name w:val="Body Text First Indent 2 Char"/>
    <w:basedOn w:val="BodyTextIndentChar"/>
    <w:link w:val="BodyTextFirstIndent2"/>
    <w:semiHidden/>
    <w:rsid w:val="00C912BA"/>
    <w:rPr>
      <w:rFonts w:ascii="Times New Roman" w:eastAsia="Times New Roman" w:hAnsi="Times New Roman" w:cs="Times New Roman"/>
      <w:sz w:val="24"/>
      <w:szCs w:val="20"/>
    </w:rPr>
  </w:style>
  <w:style w:type="paragraph" w:styleId="BodyTextIndent2">
    <w:name w:val="Body Text Indent 2"/>
    <w:basedOn w:val="Normal"/>
    <w:link w:val="BodyTextIndent2Char"/>
    <w:semiHidden/>
    <w:rsid w:val="00C912BA"/>
    <w:pPr>
      <w:spacing w:after="120" w:line="480" w:lineRule="auto"/>
      <w:ind w:left="36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semiHidden/>
    <w:rsid w:val="00C912BA"/>
    <w:rPr>
      <w:rFonts w:ascii="Times New Roman" w:eastAsia="Times New Roman" w:hAnsi="Times New Roman" w:cs="Times New Roman"/>
      <w:sz w:val="24"/>
      <w:szCs w:val="20"/>
    </w:rPr>
  </w:style>
  <w:style w:type="paragraph" w:styleId="BodyTextIndent3">
    <w:name w:val="Body Text Indent 3"/>
    <w:basedOn w:val="Normal"/>
    <w:link w:val="BodyTextIndent3Char"/>
    <w:semiHidden/>
    <w:rsid w:val="00C912BA"/>
    <w:pPr>
      <w:spacing w:after="120"/>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C912BA"/>
    <w:rPr>
      <w:rFonts w:ascii="Times New Roman" w:eastAsia="Times New Roman" w:hAnsi="Times New Roman" w:cs="Times New Roman"/>
      <w:sz w:val="16"/>
      <w:szCs w:val="16"/>
    </w:rPr>
  </w:style>
  <w:style w:type="paragraph" w:styleId="Caption">
    <w:name w:val="caption"/>
    <w:basedOn w:val="Normal"/>
    <w:next w:val="Normal"/>
    <w:semiHidden/>
    <w:qFormat/>
    <w:rsid w:val="00C912BA"/>
    <w:pPr>
      <w:spacing w:after="0"/>
    </w:pPr>
    <w:rPr>
      <w:rFonts w:ascii="Times New Roman" w:eastAsia="Times New Roman" w:hAnsi="Times New Roman" w:cs="Times New Roman"/>
      <w:b/>
      <w:bCs/>
      <w:sz w:val="20"/>
      <w:szCs w:val="20"/>
    </w:rPr>
  </w:style>
  <w:style w:type="paragraph" w:styleId="Closing">
    <w:name w:val="Closing"/>
    <w:basedOn w:val="Normal"/>
    <w:link w:val="ClosingChar"/>
    <w:semiHidden/>
    <w:rsid w:val="00C912BA"/>
    <w:pPr>
      <w:spacing w:after="0"/>
      <w:ind w:left="4320"/>
    </w:pPr>
    <w:rPr>
      <w:rFonts w:ascii="Times New Roman" w:eastAsia="Times New Roman" w:hAnsi="Times New Roman" w:cs="Times New Roman"/>
      <w:sz w:val="24"/>
      <w:szCs w:val="20"/>
    </w:rPr>
  </w:style>
  <w:style w:type="character" w:customStyle="1" w:styleId="ClosingChar">
    <w:name w:val="Closing Char"/>
    <w:basedOn w:val="DefaultParagraphFont"/>
    <w:link w:val="Closing"/>
    <w:semiHidden/>
    <w:rsid w:val="00C912BA"/>
    <w:rPr>
      <w:rFonts w:ascii="Times New Roman" w:eastAsia="Times New Roman" w:hAnsi="Times New Roman" w:cs="Times New Roman"/>
      <w:sz w:val="24"/>
      <w:szCs w:val="20"/>
    </w:rPr>
  </w:style>
  <w:style w:type="paragraph" w:styleId="Date">
    <w:name w:val="Date"/>
    <w:basedOn w:val="Normal"/>
    <w:next w:val="Normal"/>
    <w:link w:val="DateChar"/>
    <w:semiHidden/>
    <w:rsid w:val="00C912BA"/>
    <w:pPr>
      <w:spacing w:after="0"/>
    </w:pPr>
    <w:rPr>
      <w:rFonts w:ascii="Times New Roman" w:eastAsia="Times New Roman" w:hAnsi="Times New Roman" w:cs="Times New Roman"/>
      <w:sz w:val="24"/>
      <w:szCs w:val="20"/>
    </w:rPr>
  </w:style>
  <w:style w:type="character" w:customStyle="1" w:styleId="DateChar">
    <w:name w:val="Date Char"/>
    <w:basedOn w:val="DefaultParagraphFont"/>
    <w:link w:val="Date"/>
    <w:semiHidden/>
    <w:rsid w:val="00C912BA"/>
    <w:rPr>
      <w:rFonts w:ascii="Times New Roman" w:eastAsia="Times New Roman" w:hAnsi="Times New Roman" w:cs="Times New Roman"/>
      <w:sz w:val="24"/>
      <w:szCs w:val="20"/>
    </w:rPr>
  </w:style>
  <w:style w:type="paragraph" w:styleId="DocumentMap">
    <w:name w:val="Document Map"/>
    <w:basedOn w:val="Normal"/>
    <w:link w:val="DocumentMapChar"/>
    <w:semiHidden/>
    <w:rsid w:val="00C912BA"/>
    <w:pPr>
      <w:spacing w:after="0"/>
    </w:pPr>
    <w:rPr>
      <w:rFonts w:ascii="Tahoma" w:eastAsia="Times New Roman" w:hAnsi="Tahoma" w:cs="Tahoma"/>
      <w:sz w:val="16"/>
      <w:szCs w:val="16"/>
    </w:rPr>
  </w:style>
  <w:style w:type="character" w:customStyle="1" w:styleId="DocumentMapChar">
    <w:name w:val="Document Map Char"/>
    <w:basedOn w:val="DefaultParagraphFont"/>
    <w:link w:val="DocumentMap"/>
    <w:semiHidden/>
    <w:rsid w:val="00C912BA"/>
    <w:rPr>
      <w:rFonts w:ascii="Tahoma" w:eastAsia="Times New Roman" w:hAnsi="Tahoma" w:cs="Tahoma"/>
      <w:sz w:val="16"/>
      <w:szCs w:val="16"/>
    </w:rPr>
  </w:style>
  <w:style w:type="paragraph" w:styleId="E-mailSignature">
    <w:name w:val="E-mail Signature"/>
    <w:basedOn w:val="Normal"/>
    <w:link w:val="E-mailSignatureChar"/>
    <w:semiHidden/>
    <w:rsid w:val="00C912BA"/>
    <w:pPr>
      <w:spacing w:after="0"/>
    </w:pPr>
    <w:rPr>
      <w:rFonts w:ascii="Times New Roman" w:eastAsia="Times New Roman" w:hAnsi="Times New Roman" w:cs="Times New Roman"/>
      <w:sz w:val="24"/>
      <w:szCs w:val="20"/>
    </w:rPr>
  </w:style>
  <w:style w:type="character" w:customStyle="1" w:styleId="E-mailSignatureChar">
    <w:name w:val="E-mail Signature Char"/>
    <w:basedOn w:val="DefaultParagraphFont"/>
    <w:link w:val="E-mailSignature"/>
    <w:semiHidden/>
    <w:rsid w:val="00C912BA"/>
    <w:rPr>
      <w:rFonts w:ascii="Times New Roman" w:eastAsia="Times New Roman" w:hAnsi="Times New Roman" w:cs="Times New Roman"/>
      <w:sz w:val="24"/>
      <w:szCs w:val="20"/>
    </w:rPr>
  </w:style>
  <w:style w:type="paragraph" w:styleId="EnvelopeAddress">
    <w:name w:val="envelope address"/>
    <w:basedOn w:val="Normal"/>
    <w:semiHidden/>
    <w:rsid w:val="00C912BA"/>
    <w:pPr>
      <w:framePr w:w="7920" w:h="1980" w:hRule="exact" w:hSpace="180" w:wrap="auto" w:hAnchor="page" w:xAlign="center" w:yAlign="bottom"/>
      <w:spacing w:after="0"/>
      <w:ind w:left="2880"/>
    </w:pPr>
    <w:rPr>
      <w:rFonts w:ascii="Cambria" w:eastAsia="Times New Roman" w:hAnsi="Cambria" w:cs="Times New Roman"/>
      <w:sz w:val="24"/>
      <w:szCs w:val="24"/>
    </w:rPr>
  </w:style>
  <w:style w:type="paragraph" w:styleId="EnvelopeReturn">
    <w:name w:val="envelope return"/>
    <w:basedOn w:val="Normal"/>
    <w:semiHidden/>
    <w:rsid w:val="00C912BA"/>
    <w:pPr>
      <w:spacing w:after="0"/>
    </w:pPr>
    <w:rPr>
      <w:rFonts w:ascii="Cambria" w:eastAsia="Times New Roman" w:hAnsi="Cambria" w:cs="Times New Roman"/>
      <w:sz w:val="20"/>
      <w:szCs w:val="20"/>
    </w:rPr>
  </w:style>
  <w:style w:type="paragraph" w:styleId="FootnoteText">
    <w:name w:val="footnote text"/>
    <w:basedOn w:val="Normal"/>
    <w:link w:val="FootnoteTextChar"/>
    <w:semiHidden/>
    <w:rsid w:val="00C912BA"/>
    <w:pPr>
      <w:spacing w:after="0"/>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C912BA"/>
    <w:rPr>
      <w:rFonts w:ascii="Times New Roman" w:eastAsia="Times New Roman" w:hAnsi="Times New Roman" w:cs="Times New Roman"/>
      <w:sz w:val="20"/>
      <w:szCs w:val="20"/>
    </w:rPr>
  </w:style>
  <w:style w:type="paragraph" w:styleId="HTMLAddress">
    <w:name w:val="HTML Address"/>
    <w:basedOn w:val="Normal"/>
    <w:link w:val="HTMLAddressChar"/>
    <w:semiHidden/>
    <w:rsid w:val="00C912BA"/>
    <w:pPr>
      <w:spacing w:after="0"/>
    </w:pPr>
    <w:rPr>
      <w:rFonts w:ascii="Times New Roman" w:eastAsia="Times New Roman" w:hAnsi="Times New Roman" w:cs="Times New Roman"/>
      <w:i/>
      <w:iCs/>
      <w:sz w:val="24"/>
      <w:szCs w:val="20"/>
    </w:rPr>
  </w:style>
  <w:style w:type="character" w:customStyle="1" w:styleId="HTMLAddressChar">
    <w:name w:val="HTML Address Char"/>
    <w:basedOn w:val="DefaultParagraphFont"/>
    <w:link w:val="HTMLAddress"/>
    <w:semiHidden/>
    <w:rsid w:val="00C912BA"/>
    <w:rPr>
      <w:rFonts w:ascii="Times New Roman" w:eastAsia="Times New Roman" w:hAnsi="Times New Roman" w:cs="Times New Roman"/>
      <w:i/>
      <w:iCs/>
      <w:sz w:val="24"/>
      <w:szCs w:val="20"/>
    </w:rPr>
  </w:style>
  <w:style w:type="paragraph" w:styleId="Index1">
    <w:name w:val="index 1"/>
    <w:basedOn w:val="Normal"/>
    <w:next w:val="Normal"/>
    <w:autoRedefine/>
    <w:semiHidden/>
    <w:rsid w:val="00C912BA"/>
    <w:pPr>
      <w:spacing w:after="0"/>
      <w:ind w:left="240" w:hanging="240"/>
    </w:pPr>
    <w:rPr>
      <w:rFonts w:ascii="Times New Roman" w:eastAsia="Times New Roman" w:hAnsi="Times New Roman" w:cs="Times New Roman"/>
      <w:sz w:val="24"/>
      <w:szCs w:val="20"/>
    </w:rPr>
  </w:style>
  <w:style w:type="paragraph" w:styleId="Index2">
    <w:name w:val="index 2"/>
    <w:basedOn w:val="Normal"/>
    <w:next w:val="Normal"/>
    <w:autoRedefine/>
    <w:semiHidden/>
    <w:rsid w:val="00C912BA"/>
    <w:pPr>
      <w:spacing w:after="0"/>
      <w:ind w:left="480" w:hanging="240"/>
    </w:pPr>
    <w:rPr>
      <w:rFonts w:ascii="Times New Roman" w:eastAsia="Times New Roman" w:hAnsi="Times New Roman" w:cs="Times New Roman"/>
      <w:sz w:val="24"/>
      <w:szCs w:val="20"/>
    </w:rPr>
  </w:style>
  <w:style w:type="paragraph" w:styleId="Index3">
    <w:name w:val="index 3"/>
    <w:basedOn w:val="Normal"/>
    <w:next w:val="Normal"/>
    <w:autoRedefine/>
    <w:semiHidden/>
    <w:rsid w:val="00C912BA"/>
    <w:pPr>
      <w:spacing w:after="0"/>
      <w:ind w:left="720" w:hanging="240"/>
    </w:pPr>
    <w:rPr>
      <w:rFonts w:ascii="Times New Roman" w:eastAsia="Times New Roman" w:hAnsi="Times New Roman" w:cs="Times New Roman"/>
      <w:sz w:val="24"/>
      <w:szCs w:val="20"/>
    </w:rPr>
  </w:style>
  <w:style w:type="paragraph" w:styleId="Index4">
    <w:name w:val="index 4"/>
    <w:basedOn w:val="Normal"/>
    <w:next w:val="Normal"/>
    <w:autoRedefine/>
    <w:semiHidden/>
    <w:rsid w:val="00C912BA"/>
    <w:pPr>
      <w:spacing w:after="0"/>
      <w:ind w:left="960" w:hanging="240"/>
    </w:pPr>
    <w:rPr>
      <w:rFonts w:ascii="Times New Roman" w:eastAsia="Times New Roman" w:hAnsi="Times New Roman" w:cs="Times New Roman"/>
      <w:sz w:val="24"/>
      <w:szCs w:val="20"/>
    </w:rPr>
  </w:style>
  <w:style w:type="paragraph" w:styleId="Index5">
    <w:name w:val="index 5"/>
    <w:basedOn w:val="Normal"/>
    <w:next w:val="Normal"/>
    <w:autoRedefine/>
    <w:semiHidden/>
    <w:rsid w:val="00C912BA"/>
    <w:pPr>
      <w:spacing w:after="0"/>
      <w:ind w:left="1200" w:hanging="240"/>
    </w:pPr>
    <w:rPr>
      <w:rFonts w:ascii="Times New Roman" w:eastAsia="Times New Roman" w:hAnsi="Times New Roman" w:cs="Times New Roman"/>
      <w:sz w:val="24"/>
      <w:szCs w:val="20"/>
    </w:rPr>
  </w:style>
  <w:style w:type="paragraph" w:styleId="Index6">
    <w:name w:val="index 6"/>
    <w:basedOn w:val="Normal"/>
    <w:next w:val="Normal"/>
    <w:autoRedefine/>
    <w:semiHidden/>
    <w:rsid w:val="00C912BA"/>
    <w:pPr>
      <w:spacing w:after="0"/>
      <w:ind w:left="1440" w:hanging="240"/>
    </w:pPr>
    <w:rPr>
      <w:rFonts w:ascii="Times New Roman" w:eastAsia="Times New Roman" w:hAnsi="Times New Roman" w:cs="Times New Roman"/>
      <w:sz w:val="24"/>
      <w:szCs w:val="20"/>
    </w:rPr>
  </w:style>
  <w:style w:type="paragraph" w:styleId="Index7">
    <w:name w:val="index 7"/>
    <w:basedOn w:val="Normal"/>
    <w:next w:val="Normal"/>
    <w:autoRedefine/>
    <w:semiHidden/>
    <w:rsid w:val="00C912BA"/>
    <w:pPr>
      <w:spacing w:after="0"/>
      <w:ind w:left="1680" w:hanging="240"/>
    </w:pPr>
    <w:rPr>
      <w:rFonts w:ascii="Times New Roman" w:eastAsia="Times New Roman" w:hAnsi="Times New Roman" w:cs="Times New Roman"/>
      <w:sz w:val="24"/>
      <w:szCs w:val="20"/>
    </w:rPr>
  </w:style>
  <w:style w:type="paragraph" w:styleId="Index8">
    <w:name w:val="index 8"/>
    <w:basedOn w:val="Normal"/>
    <w:next w:val="Normal"/>
    <w:autoRedefine/>
    <w:semiHidden/>
    <w:rsid w:val="00C912BA"/>
    <w:pPr>
      <w:spacing w:after="0"/>
      <w:ind w:left="1920" w:hanging="240"/>
    </w:pPr>
    <w:rPr>
      <w:rFonts w:ascii="Times New Roman" w:eastAsia="Times New Roman" w:hAnsi="Times New Roman" w:cs="Times New Roman"/>
      <w:sz w:val="24"/>
      <w:szCs w:val="20"/>
    </w:rPr>
  </w:style>
  <w:style w:type="paragraph" w:styleId="Index9">
    <w:name w:val="index 9"/>
    <w:basedOn w:val="Normal"/>
    <w:next w:val="Normal"/>
    <w:autoRedefine/>
    <w:semiHidden/>
    <w:rsid w:val="00C912BA"/>
    <w:pPr>
      <w:spacing w:after="0"/>
      <w:ind w:left="2160" w:hanging="240"/>
    </w:pPr>
    <w:rPr>
      <w:rFonts w:ascii="Times New Roman" w:eastAsia="Times New Roman" w:hAnsi="Times New Roman" w:cs="Times New Roman"/>
      <w:sz w:val="24"/>
      <w:szCs w:val="20"/>
    </w:rPr>
  </w:style>
  <w:style w:type="paragraph" w:styleId="IndexHeading">
    <w:name w:val="index heading"/>
    <w:basedOn w:val="Normal"/>
    <w:next w:val="Index1"/>
    <w:semiHidden/>
    <w:rsid w:val="00C912BA"/>
    <w:pPr>
      <w:spacing w:after="0"/>
    </w:pPr>
    <w:rPr>
      <w:rFonts w:ascii="Cambria" w:eastAsia="Times New Roman" w:hAnsi="Cambria" w:cs="Times New Roman"/>
      <w:b/>
      <w:bCs/>
      <w:sz w:val="24"/>
      <w:szCs w:val="20"/>
    </w:rPr>
  </w:style>
  <w:style w:type="paragraph" w:styleId="IntenseQuote">
    <w:name w:val="Intense Quote"/>
    <w:basedOn w:val="Normal"/>
    <w:next w:val="Normal"/>
    <w:link w:val="IntenseQuoteChar"/>
    <w:uiPriority w:val="30"/>
    <w:qFormat/>
    <w:rsid w:val="00C912BA"/>
    <w:pPr>
      <w:pBdr>
        <w:bottom w:val="single" w:sz="4" w:space="4" w:color="4F81BD"/>
      </w:pBdr>
      <w:spacing w:before="200" w:after="280"/>
      <w:ind w:left="936" w:right="936"/>
    </w:pPr>
    <w:rPr>
      <w:rFonts w:ascii="Times New Roman" w:eastAsia="Times New Roman" w:hAnsi="Times New Roman" w:cs="Times New Roman"/>
      <w:b/>
      <w:bCs/>
      <w:i/>
      <w:iCs/>
      <w:color w:val="4F81BD"/>
      <w:sz w:val="24"/>
      <w:szCs w:val="20"/>
    </w:rPr>
  </w:style>
  <w:style w:type="character" w:customStyle="1" w:styleId="IntenseQuoteChar">
    <w:name w:val="Intense Quote Char"/>
    <w:basedOn w:val="DefaultParagraphFont"/>
    <w:link w:val="IntenseQuote"/>
    <w:uiPriority w:val="30"/>
    <w:rsid w:val="00C912BA"/>
    <w:rPr>
      <w:rFonts w:ascii="Times New Roman" w:eastAsia="Times New Roman" w:hAnsi="Times New Roman" w:cs="Times New Roman"/>
      <w:b/>
      <w:bCs/>
      <w:i/>
      <w:iCs/>
      <w:color w:val="4F81BD"/>
      <w:sz w:val="24"/>
      <w:szCs w:val="20"/>
    </w:rPr>
  </w:style>
  <w:style w:type="paragraph" w:styleId="List">
    <w:name w:val="List"/>
    <w:basedOn w:val="Normal"/>
    <w:semiHidden/>
    <w:rsid w:val="00C912BA"/>
    <w:pPr>
      <w:spacing w:after="0"/>
      <w:ind w:left="360" w:hanging="360"/>
      <w:contextualSpacing/>
    </w:pPr>
    <w:rPr>
      <w:rFonts w:ascii="Times New Roman" w:eastAsia="Times New Roman" w:hAnsi="Times New Roman" w:cs="Times New Roman"/>
      <w:sz w:val="24"/>
      <w:szCs w:val="20"/>
    </w:rPr>
  </w:style>
  <w:style w:type="paragraph" w:styleId="List2">
    <w:name w:val="List 2"/>
    <w:basedOn w:val="Normal"/>
    <w:semiHidden/>
    <w:rsid w:val="00C912BA"/>
    <w:pPr>
      <w:spacing w:after="0"/>
      <w:ind w:left="720" w:hanging="360"/>
      <w:contextualSpacing/>
    </w:pPr>
    <w:rPr>
      <w:rFonts w:ascii="Times New Roman" w:eastAsia="Times New Roman" w:hAnsi="Times New Roman" w:cs="Times New Roman"/>
      <w:sz w:val="24"/>
      <w:szCs w:val="20"/>
    </w:rPr>
  </w:style>
  <w:style w:type="paragraph" w:styleId="List3">
    <w:name w:val="List 3"/>
    <w:basedOn w:val="Normal"/>
    <w:semiHidden/>
    <w:rsid w:val="00C912BA"/>
    <w:pPr>
      <w:spacing w:after="0"/>
      <w:ind w:left="1080" w:hanging="360"/>
      <w:contextualSpacing/>
    </w:pPr>
    <w:rPr>
      <w:rFonts w:ascii="Times New Roman" w:eastAsia="Times New Roman" w:hAnsi="Times New Roman" w:cs="Times New Roman"/>
      <w:sz w:val="24"/>
      <w:szCs w:val="20"/>
    </w:rPr>
  </w:style>
  <w:style w:type="paragraph" w:styleId="List4">
    <w:name w:val="List 4"/>
    <w:basedOn w:val="Normal"/>
    <w:semiHidden/>
    <w:rsid w:val="00C912BA"/>
    <w:pPr>
      <w:spacing w:after="0"/>
      <w:ind w:left="1440" w:hanging="360"/>
      <w:contextualSpacing/>
    </w:pPr>
    <w:rPr>
      <w:rFonts w:ascii="Times New Roman" w:eastAsia="Times New Roman" w:hAnsi="Times New Roman" w:cs="Times New Roman"/>
      <w:sz w:val="24"/>
      <w:szCs w:val="20"/>
    </w:rPr>
  </w:style>
  <w:style w:type="paragraph" w:styleId="List5">
    <w:name w:val="List 5"/>
    <w:basedOn w:val="Normal"/>
    <w:semiHidden/>
    <w:rsid w:val="00C912BA"/>
    <w:pPr>
      <w:spacing w:after="0"/>
      <w:ind w:left="1800" w:hanging="360"/>
      <w:contextualSpacing/>
    </w:pPr>
    <w:rPr>
      <w:rFonts w:ascii="Times New Roman" w:eastAsia="Times New Roman" w:hAnsi="Times New Roman" w:cs="Times New Roman"/>
      <w:sz w:val="24"/>
      <w:szCs w:val="20"/>
    </w:rPr>
  </w:style>
  <w:style w:type="paragraph" w:styleId="ListBullet">
    <w:name w:val="List Bullet"/>
    <w:basedOn w:val="Normal"/>
    <w:semiHidden/>
    <w:rsid w:val="00C912BA"/>
    <w:pPr>
      <w:tabs>
        <w:tab w:val="num" w:pos="360"/>
      </w:tabs>
      <w:spacing w:after="0"/>
      <w:ind w:left="360" w:hanging="360"/>
      <w:contextualSpacing/>
    </w:pPr>
    <w:rPr>
      <w:rFonts w:ascii="Times New Roman" w:eastAsia="Times New Roman" w:hAnsi="Times New Roman" w:cs="Times New Roman"/>
      <w:sz w:val="24"/>
      <w:szCs w:val="20"/>
    </w:rPr>
  </w:style>
  <w:style w:type="paragraph" w:styleId="ListBullet2">
    <w:name w:val="List Bullet 2"/>
    <w:basedOn w:val="Normal"/>
    <w:semiHidden/>
    <w:rsid w:val="00C912BA"/>
    <w:pPr>
      <w:tabs>
        <w:tab w:val="num" w:pos="720"/>
      </w:tabs>
      <w:spacing w:after="0"/>
      <w:ind w:left="720" w:hanging="360"/>
      <w:contextualSpacing/>
    </w:pPr>
    <w:rPr>
      <w:rFonts w:ascii="Times New Roman" w:eastAsia="Times New Roman" w:hAnsi="Times New Roman" w:cs="Times New Roman"/>
      <w:sz w:val="24"/>
      <w:szCs w:val="20"/>
    </w:rPr>
  </w:style>
  <w:style w:type="paragraph" w:styleId="ListBullet3">
    <w:name w:val="List Bullet 3"/>
    <w:basedOn w:val="Normal"/>
    <w:semiHidden/>
    <w:rsid w:val="00C912BA"/>
    <w:pPr>
      <w:tabs>
        <w:tab w:val="num" w:pos="1080"/>
      </w:tabs>
      <w:spacing w:after="0"/>
      <w:ind w:left="1080" w:hanging="360"/>
      <w:contextualSpacing/>
    </w:pPr>
    <w:rPr>
      <w:rFonts w:ascii="Times New Roman" w:eastAsia="Times New Roman" w:hAnsi="Times New Roman" w:cs="Times New Roman"/>
      <w:sz w:val="24"/>
      <w:szCs w:val="20"/>
    </w:rPr>
  </w:style>
  <w:style w:type="paragraph" w:styleId="ListBullet4">
    <w:name w:val="List Bullet 4"/>
    <w:basedOn w:val="Normal"/>
    <w:semiHidden/>
    <w:rsid w:val="00C912BA"/>
    <w:pPr>
      <w:tabs>
        <w:tab w:val="num" w:pos="1440"/>
      </w:tabs>
      <w:spacing w:after="0"/>
      <w:ind w:left="1440" w:hanging="360"/>
      <w:contextualSpacing/>
    </w:pPr>
    <w:rPr>
      <w:rFonts w:ascii="Times New Roman" w:eastAsia="Times New Roman" w:hAnsi="Times New Roman" w:cs="Times New Roman"/>
      <w:sz w:val="24"/>
      <w:szCs w:val="20"/>
    </w:rPr>
  </w:style>
  <w:style w:type="paragraph" w:styleId="ListBullet5">
    <w:name w:val="List Bullet 5"/>
    <w:basedOn w:val="Normal"/>
    <w:semiHidden/>
    <w:rsid w:val="00C912BA"/>
    <w:pPr>
      <w:tabs>
        <w:tab w:val="num" w:pos="1800"/>
      </w:tabs>
      <w:spacing w:after="0"/>
      <w:ind w:left="1800" w:hanging="360"/>
      <w:contextualSpacing/>
    </w:pPr>
    <w:rPr>
      <w:rFonts w:ascii="Times New Roman" w:eastAsia="Times New Roman" w:hAnsi="Times New Roman" w:cs="Times New Roman"/>
      <w:sz w:val="24"/>
      <w:szCs w:val="20"/>
    </w:rPr>
  </w:style>
  <w:style w:type="paragraph" w:styleId="ListContinue">
    <w:name w:val="List Continue"/>
    <w:basedOn w:val="Normal"/>
    <w:semiHidden/>
    <w:rsid w:val="00C912BA"/>
    <w:pPr>
      <w:spacing w:after="120"/>
      <w:ind w:left="360"/>
      <w:contextualSpacing/>
    </w:pPr>
    <w:rPr>
      <w:rFonts w:ascii="Times New Roman" w:eastAsia="Times New Roman" w:hAnsi="Times New Roman" w:cs="Times New Roman"/>
      <w:sz w:val="24"/>
      <w:szCs w:val="20"/>
    </w:rPr>
  </w:style>
  <w:style w:type="paragraph" w:styleId="ListContinue2">
    <w:name w:val="List Continue 2"/>
    <w:basedOn w:val="Normal"/>
    <w:semiHidden/>
    <w:rsid w:val="00C912BA"/>
    <w:pPr>
      <w:spacing w:after="120"/>
      <w:ind w:left="720"/>
      <w:contextualSpacing/>
    </w:pPr>
    <w:rPr>
      <w:rFonts w:ascii="Times New Roman" w:eastAsia="Times New Roman" w:hAnsi="Times New Roman" w:cs="Times New Roman"/>
      <w:sz w:val="24"/>
      <w:szCs w:val="20"/>
    </w:rPr>
  </w:style>
  <w:style w:type="paragraph" w:styleId="ListContinue3">
    <w:name w:val="List Continue 3"/>
    <w:basedOn w:val="Normal"/>
    <w:semiHidden/>
    <w:rsid w:val="00C912BA"/>
    <w:pPr>
      <w:spacing w:after="120"/>
      <w:ind w:left="1080"/>
      <w:contextualSpacing/>
    </w:pPr>
    <w:rPr>
      <w:rFonts w:ascii="Times New Roman" w:eastAsia="Times New Roman" w:hAnsi="Times New Roman" w:cs="Times New Roman"/>
      <w:sz w:val="24"/>
      <w:szCs w:val="20"/>
    </w:rPr>
  </w:style>
  <w:style w:type="paragraph" w:styleId="ListContinue4">
    <w:name w:val="List Continue 4"/>
    <w:basedOn w:val="Normal"/>
    <w:semiHidden/>
    <w:rsid w:val="00C912BA"/>
    <w:pPr>
      <w:spacing w:after="120"/>
      <w:ind w:left="1440"/>
      <w:contextualSpacing/>
    </w:pPr>
    <w:rPr>
      <w:rFonts w:ascii="Times New Roman" w:eastAsia="Times New Roman" w:hAnsi="Times New Roman" w:cs="Times New Roman"/>
      <w:sz w:val="24"/>
      <w:szCs w:val="20"/>
    </w:rPr>
  </w:style>
  <w:style w:type="paragraph" w:styleId="ListContinue5">
    <w:name w:val="List Continue 5"/>
    <w:basedOn w:val="Normal"/>
    <w:semiHidden/>
    <w:rsid w:val="00C912BA"/>
    <w:pPr>
      <w:spacing w:after="120"/>
      <w:ind w:left="1800"/>
      <w:contextualSpacing/>
    </w:pPr>
    <w:rPr>
      <w:rFonts w:ascii="Times New Roman" w:eastAsia="Times New Roman" w:hAnsi="Times New Roman" w:cs="Times New Roman"/>
      <w:sz w:val="24"/>
      <w:szCs w:val="20"/>
    </w:rPr>
  </w:style>
  <w:style w:type="paragraph" w:styleId="ListNumber">
    <w:name w:val="List Number"/>
    <w:basedOn w:val="Normal"/>
    <w:semiHidden/>
    <w:rsid w:val="00C912BA"/>
    <w:pPr>
      <w:tabs>
        <w:tab w:val="num" w:pos="360"/>
      </w:tabs>
      <w:spacing w:after="0"/>
      <w:ind w:left="360" w:hanging="360"/>
      <w:contextualSpacing/>
    </w:pPr>
    <w:rPr>
      <w:rFonts w:ascii="Times New Roman" w:eastAsia="Times New Roman" w:hAnsi="Times New Roman" w:cs="Times New Roman"/>
      <w:sz w:val="24"/>
      <w:szCs w:val="20"/>
    </w:rPr>
  </w:style>
  <w:style w:type="paragraph" w:styleId="ListNumber2">
    <w:name w:val="List Number 2"/>
    <w:basedOn w:val="Normal"/>
    <w:semiHidden/>
    <w:rsid w:val="00C912BA"/>
    <w:pPr>
      <w:tabs>
        <w:tab w:val="num" w:pos="720"/>
      </w:tabs>
      <w:spacing w:after="0"/>
      <w:ind w:left="720" w:hanging="360"/>
      <w:contextualSpacing/>
    </w:pPr>
    <w:rPr>
      <w:rFonts w:ascii="Times New Roman" w:eastAsia="Times New Roman" w:hAnsi="Times New Roman" w:cs="Times New Roman"/>
      <w:sz w:val="24"/>
      <w:szCs w:val="20"/>
    </w:rPr>
  </w:style>
  <w:style w:type="paragraph" w:styleId="ListNumber3">
    <w:name w:val="List Number 3"/>
    <w:basedOn w:val="Normal"/>
    <w:semiHidden/>
    <w:rsid w:val="00C912BA"/>
    <w:pPr>
      <w:tabs>
        <w:tab w:val="num" w:pos="1080"/>
      </w:tabs>
      <w:spacing w:after="0"/>
      <w:ind w:left="1080" w:hanging="360"/>
      <w:contextualSpacing/>
    </w:pPr>
    <w:rPr>
      <w:rFonts w:ascii="Times New Roman" w:eastAsia="Times New Roman" w:hAnsi="Times New Roman" w:cs="Times New Roman"/>
      <w:sz w:val="24"/>
      <w:szCs w:val="20"/>
    </w:rPr>
  </w:style>
  <w:style w:type="paragraph" w:styleId="ListNumber4">
    <w:name w:val="List Number 4"/>
    <w:basedOn w:val="Normal"/>
    <w:semiHidden/>
    <w:rsid w:val="00C912BA"/>
    <w:pPr>
      <w:tabs>
        <w:tab w:val="num" w:pos="1440"/>
      </w:tabs>
      <w:spacing w:after="0"/>
      <w:ind w:left="1440" w:hanging="360"/>
      <w:contextualSpacing/>
    </w:pPr>
    <w:rPr>
      <w:rFonts w:ascii="Times New Roman" w:eastAsia="Times New Roman" w:hAnsi="Times New Roman" w:cs="Times New Roman"/>
      <w:sz w:val="24"/>
      <w:szCs w:val="20"/>
    </w:rPr>
  </w:style>
  <w:style w:type="paragraph" w:styleId="ListNumber5">
    <w:name w:val="List Number 5"/>
    <w:basedOn w:val="Normal"/>
    <w:semiHidden/>
    <w:rsid w:val="00C912BA"/>
    <w:pPr>
      <w:tabs>
        <w:tab w:val="num" w:pos="1800"/>
      </w:tabs>
      <w:spacing w:after="0"/>
      <w:ind w:left="1800" w:hanging="360"/>
      <w:contextualSpacing/>
    </w:pPr>
    <w:rPr>
      <w:rFonts w:ascii="Times New Roman" w:eastAsia="Times New Roman" w:hAnsi="Times New Roman" w:cs="Times New Roman"/>
      <w:sz w:val="24"/>
      <w:szCs w:val="20"/>
    </w:rPr>
  </w:style>
  <w:style w:type="paragraph" w:styleId="MacroText">
    <w:name w:val="macro"/>
    <w:link w:val="MacroTextChar"/>
    <w:semiHidden/>
    <w:rsid w:val="00C912BA"/>
    <w:pPr>
      <w:tabs>
        <w:tab w:val="left" w:pos="480"/>
        <w:tab w:val="left" w:pos="960"/>
        <w:tab w:val="left" w:pos="1440"/>
        <w:tab w:val="left" w:pos="1920"/>
        <w:tab w:val="left" w:pos="2400"/>
        <w:tab w:val="left" w:pos="2880"/>
        <w:tab w:val="left" w:pos="3360"/>
        <w:tab w:val="left" w:pos="3840"/>
        <w:tab w:val="left" w:pos="4320"/>
      </w:tabs>
      <w:spacing w:after="0"/>
    </w:pPr>
    <w:rPr>
      <w:rFonts w:ascii="Courier New" w:eastAsia="Times New Roman" w:hAnsi="Courier New" w:cs="Courier New"/>
      <w:sz w:val="20"/>
      <w:szCs w:val="20"/>
    </w:rPr>
  </w:style>
  <w:style w:type="character" w:customStyle="1" w:styleId="MacroTextChar">
    <w:name w:val="Macro Text Char"/>
    <w:basedOn w:val="DefaultParagraphFont"/>
    <w:link w:val="MacroText"/>
    <w:semiHidden/>
    <w:rsid w:val="00C912BA"/>
    <w:rPr>
      <w:rFonts w:ascii="Courier New" w:eastAsia="Times New Roman" w:hAnsi="Courier New" w:cs="Courier New"/>
      <w:sz w:val="20"/>
      <w:szCs w:val="20"/>
    </w:rPr>
  </w:style>
  <w:style w:type="paragraph" w:styleId="MessageHeader">
    <w:name w:val="Message Header"/>
    <w:basedOn w:val="Normal"/>
    <w:link w:val="MessageHeaderChar"/>
    <w:semiHidden/>
    <w:rsid w:val="00C912BA"/>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Cambria" w:eastAsia="Times New Roman" w:hAnsi="Cambria" w:cs="Times New Roman"/>
      <w:sz w:val="24"/>
      <w:szCs w:val="24"/>
    </w:rPr>
  </w:style>
  <w:style w:type="character" w:customStyle="1" w:styleId="MessageHeaderChar">
    <w:name w:val="Message Header Char"/>
    <w:basedOn w:val="DefaultParagraphFont"/>
    <w:link w:val="MessageHeader"/>
    <w:semiHidden/>
    <w:rsid w:val="00C912BA"/>
    <w:rPr>
      <w:rFonts w:ascii="Cambria" w:eastAsia="Times New Roman" w:hAnsi="Cambria" w:cs="Times New Roman"/>
      <w:sz w:val="24"/>
      <w:szCs w:val="24"/>
      <w:shd w:val="pct20" w:color="auto" w:fill="auto"/>
    </w:rPr>
  </w:style>
  <w:style w:type="paragraph" w:styleId="NoSpacing">
    <w:name w:val="No Spacing"/>
    <w:uiPriority w:val="1"/>
    <w:qFormat/>
    <w:rsid w:val="00C912BA"/>
    <w:pPr>
      <w:spacing w:after="0"/>
    </w:pPr>
    <w:rPr>
      <w:rFonts w:ascii="Times New Roman" w:eastAsia="Times New Roman" w:hAnsi="Times New Roman" w:cs="Times New Roman"/>
      <w:sz w:val="24"/>
      <w:szCs w:val="20"/>
    </w:rPr>
  </w:style>
  <w:style w:type="paragraph" w:styleId="NormalIndent">
    <w:name w:val="Normal Indent"/>
    <w:basedOn w:val="Normal"/>
    <w:semiHidden/>
    <w:rsid w:val="00C912BA"/>
    <w:pPr>
      <w:spacing w:after="0"/>
      <w:ind w:left="720"/>
    </w:pPr>
    <w:rPr>
      <w:rFonts w:ascii="Times New Roman" w:eastAsia="Times New Roman" w:hAnsi="Times New Roman" w:cs="Times New Roman"/>
      <w:sz w:val="24"/>
      <w:szCs w:val="20"/>
    </w:rPr>
  </w:style>
  <w:style w:type="paragraph" w:styleId="NoteHeading">
    <w:name w:val="Note Heading"/>
    <w:basedOn w:val="Normal"/>
    <w:next w:val="Normal"/>
    <w:link w:val="NoteHeadingChar"/>
    <w:semiHidden/>
    <w:rsid w:val="00C912BA"/>
    <w:pPr>
      <w:spacing w:after="0"/>
    </w:pPr>
    <w:rPr>
      <w:rFonts w:ascii="Times New Roman" w:eastAsia="Times New Roman" w:hAnsi="Times New Roman" w:cs="Times New Roman"/>
      <w:sz w:val="24"/>
      <w:szCs w:val="20"/>
    </w:rPr>
  </w:style>
  <w:style w:type="character" w:customStyle="1" w:styleId="NoteHeadingChar">
    <w:name w:val="Note Heading Char"/>
    <w:basedOn w:val="DefaultParagraphFont"/>
    <w:link w:val="NoteHeading"/>
    <w:semiHidden/>
    <w:rsid w:val="00C912BA"/>
    <w:rPr>
      <w:rFonts w:ascii="Times New Roman" w:eastAsia="Times New Roman" w:hAnsi="Times New Roman" w:cs="Times New Roman"/>
      <w:sz w:val="24"/>
      <w:szCs w:val="20"/>
    </w:rPr>
  </w:style>
  <w:style w:type="paragraph" w:styleId="PlainText">
    <w:name w:val="Plain Text"/>
    <w:basedOn w:val="Normal"/>
    <w:link w:val="PlainTextChar"/>
    <w:semiHidden/>
    <w:rsid w:val="00C912BA"/>
    <w:pPr>
      <w:spacing w:after="0"/>
    </w:pPr>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C912BA"/>
    <w:rPr>
      <w:rFonts w:ascii="Courier New" w:eastAsia="Times New Roman" w:hAnsi="Courier New" w:cs="Courier New"/>
      <w:sz w:val="20"/>
      <w:szCs w:val="20"/>
    </w:rPr>
  </w:style>
  <w:style w:type="paragraph" w:styleId="Quote">
    <w:name w:val="Quote"/>
    <w:basedOn w:val="Normal"/>
    <w:next w:val="Normal"/>
    <w:link w:val="QuoteChar"/>
    <w:uiPriority w:val="29"/>
    <w:qFormat/>
    <w:rsid w:val="00C912BA"/>
    <w:pPr>
      <w:spacing w:after="0"/>
    </w:pPr>
    <w:rPr>
      <w:rFonts w:ascii="Times New Roman" w:eastAsia="Times New Roman" w:hAnsi="Times New Roman" w:cs="Times New Roman"/>
      <w:i/>
      <w:iCs/>
      <w:color w:val="000000"/>
      <w:sz w:val="24"/>
      <w:szCs w:val="20"/>
    </w:rPr>
  </w:style>
  <w:style w:type="character" w:customStyle="1" w:styleId="QuoteChar">
    <w:name w:val="Quote Char"/>
    <w:basedOn w:val="DefaultParagraphFont"/>
    <w:link w:val="Quote"/>
    <w:uiPriority w:val="29"/>
    <w:rsid w:val="00C912BA"/>
    <w:rPr>
      <w:rFonts w:ascii="Times New Roman" w:eastAsia="Times New Roman" w:hAnsi="Times New Roman" w:cs="Times New Roman"/>
      <w:i/>
      <w:iCs/>
      <w:color w:val="000000"/>
      <w:sz w:val="24"/>
      <w:szCs w:val="20"/>
    </w:rPr>
  </w:style>
  <w:style w:type="paragraph" w:styleId="Salutation">
    <w:name w:val="Salutation"/>
    <w:basedOn w:val="Normal"/>
    <w:next w:val="Normal"/>
    <w:link w:val="SalutationChar"/>
    <w:semiHidden/>
    <w:rsid w:val="00C912BA"/>
    <w:pPr>
      <w:spacing w:after="0"/>
    </w:pPr>
    <w:rPr>
      <w:rFonts w:ascii="Times New Roman" w:eastAsia="Times New Roman" w:hAnsi="Times New Roman" w:cs="Times New Roman"/>
      <w:sz w:val="24"/>
      <w:szCs w:val="20"/>
    </w:rPr>
  </w:style>
  <w:style w:type="character" w:customStyle="1" w:styleId="SalutationChar">
    <w:name w:val="Salutation Char"/>
    <w:basedOn w:val="DefaultParagraphFont"/>
    <w:link w:val="Salutation"/>
    <w:semiHidden/>
    <w:rsid w:val="00C912BA"/>
    <w:rPr>
      <w:rFonts w:ascii="Times New Roman" w:eastAsia="Times New Roman" w:hAnsi="Times New Roman" w:cs="Times New Roman"/>
      <w:sz w:val="24"/>
      <w:szCs w:val="20"/>
    </w:rPr>
  </w:style>
  <w:style w:type="paragraph" w:styleId="Signature">
    <w:name w:val="Signature"/>
    <w:basedOn w:val="Normal"/>
    <w:link w:val="SignatureChar"/>
    <w:semiHidden/>
    <w:rsid w:val="00C912BA"/>
    <w:pPr>
      <w:spacing w:after="0"/>
      <w:ind w:left="4320"/>
    </w:pPr>
    <w:rPr>
      <w:rFonts w:ascii="Times New Roman" w:eastAsia="Times New Roman" w:hAnsi="Times New Roman" w:cs="Times New Roman"/>
      <w:sz w:val="24"/>
      <w:szCs w:val="20"/>
    </w:rPr>
  </w:style>
  <w:style w:type="character" w:customStyle="1" w:styleId="SignatureChar">
    <w:name w:val="Signature Char"/>
    <w:basedOn w:val="DefaultParagraphFont"/>
    <w:link w:val="Signature"/>
    <w:semiHidden/>
    <w:rsid w:val="00C912BA"/>
    <w:rPr>
      <w:rFonts w:ascii="Times New Roman" w:eastAsia="Times New Roman" w:hAnsi="Times New Roman" w:cs="Times New Roman"/>
      <w:sz w:val="24"/>
      <w:szCs w:val="20"/>
    </w:rPr>
  </w:style>
  <w:style w:type="paragraph" w:styleId="Subtitle">
    <w:name w:val="Subtitle"/>
    <w:basedOn w:val="Normal"/>
    <w:next w:val="Normal"/>
    <w:link w:val="SubtitleChar"/>
    <w:qFormat/>
    <w:rsid w:val="00C912BA"/>
    <w:pPr>
      <w:spacing w:after="60"/>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C912BA"/>
    <w:rPr>
      <w:rFonts w:ascii="Cambria" w:eastAsia="Times New Roman" w:hAnsi="Cambria" w:cs="Times New Roman"/>
      <w:sz w:val="24"/>
      <w:szCs w:val="24"/>
    </w:rPr>
  </w:style>
  <w:style w:type="paragraph" w:styleId="TableofAuthorities">
    <w:name w:val="table of authorities"/>
    <w:basedOn w:val="Normal"/>
    <w:next w:val="Normal"/>
    <w:semiHidden/>
    <w:rsid w:val="00C912BA"/>
    <w:pPr>
      <w:spacing w:after="0"/>
      <w:ind w:left="240" w:hanging="240"/>
    </w:pPr>
    <w:rPr>
      <w:rFonts w:ascii="Times New Roman" w:eastAsia="Times New Roman" w:hAnsi="Times New Roman" w:cs="Times New Roman"/>
      <w:sz w:val="24"/>
      <w:szCs w:val="20"/>
    </w:rPr>
  </w:style>
  <w:style w:type="paragraph" w:styleId="TableofFigures">
    <w:name w:val="table of figures"/>
    <w:basedOn w:val="Normal"/>
    <w:next w:val="Normal"/>
    <w:semiHidden/>
    <w:rsid w:val="00C912BA"/>
    <w:pPr>
      <w:spacing w:after="0"/>
    </w:pPr>
    <w:rPr>
      <w:rFonts w:ascii="Times New Roman" w:eastAsia="Times New Roman" w:hAnsi="Times New Roman" w:cs="Times New Roman"/>
      <w:sz w:val="24"/>
      <w:szCs w:val="20"/>
    </w:rPr>
  </w:style>
  <w:style w:type="paragraph" w:styleId="Title">
    <w:name w:val="Title"/>
    <w:basedOn w:val="Normal"/>
    <w:next w:val="Normal"/>
    <w:link w:val="TitleChar"/>
    <w:qFormat/>
    <w:rsid w:val="00C912BA"/>
    <w:pPr>
      <w:spacing w:before="240" w:after="60"/>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C912BA"/>
    <w:rPr>
      <w:rFonts w:ascii="Cambria" w:eastAsia="Times New Roman" w:hAnsi="Cambria" w:cs="Times New Roman"/>
      <w:b/>
      <w:bCs/>
      <w:kern w:val="28"/>
      <w:sz w:val="32"/>
      <w:szCs w:val="32"/>
    </w:rPr>
  </w:style>
  <w:style w:type="paragraph" w:styleId="TOAHeading">
    <w:name w:val="toa heading"/>
    <w:basedOn w:val="Normal"/>
    <w:next w:val="Normal"/>
    <w:semiHidden/>
    <w:rsid w:val="00C912BA"/>
    <w:pPr>
      <w:spacing w:before="120" w:after="0"/>
    </w:pPr>
    <w:rPr>
      <w:rFonts w:ascii="Cambria" w:eastAsia="Times New Roman" w:hAnsi="Cambria" w:cs="Times New Roman"/>
      <w:b/>
      <w:bCs/>
      <w:sz w:val="24"/>
      <w:szCs w:val="24"/>
    </w:rPr>
  </w:style>
  <w:style w:type="paragraph" w:styleId="TOC1">
    <w:name w:val="toc 1"/>
    <w:basedOn w:val="Normal"/>
    <w:next w:val="Normal"/>
    <w:autoRedefine/>
    <w:semiHidden/>
    <w:rsid w:val="00C912BA"/>
    <w:pPr>
      <w:spacing w:after="0"/>
    </w:pPr>
    <w:rPr>
      <w:rFonts w:ascii="Times New Roman" w:eastAsia="Times New Roman" w:hAnsi="Times New Roman" w:cs="Times New Roman"/>
      <w:sz w:val="24"/>
      <w:szCs w:val="20"/>
    </w:rPr>
  </w:style>
  <w:style w:type="paragraph" w:styleId="TOC2">
    <w:name w:val="toc 2"/>
    <w:basedOn w:val="Normal"/>
    <w:next w:val="Normal"/>
    <w:autoRedefine/>
    <w:semiHidden/>
    <w:rsid w:val="00C912BA"/>
    <w:pPr>
      <w:spacing w:after="0"/>
      <w:ind w:left="240"/>
    </w:pPr>
    <w:rPr>
      <w:rFonts w:ascii="Times New Roman" w:eastAsia="Times New Roman" w:hAnsi="Times New Roman" w:cs="Times New Roman"/>
      <w:sz w:val="24"/>
      <w:szCs w:val="20"/>
    </w:rPr>
  </w:style>
  <w:style w:type="paragraph" w:styleId="TOC3">
    <w:name w:val="toc 3"/>
    <w:basedOn w:val="Normal"/>
    <w:next w:val="Normal"/>
    <w:autoRedefine/>
    <w:semiHidden/>
    <w:rsid w:val="00C912BA"/>
    <w:pPr>
      <w:spacing w:after="0"/>
      <w:ind w:left="480"/>
    </w:pPr>
    <w:rPr>
      <w:rFonts w:ascii="Times New Roman" w:eastAsia="Times New Roman" w:hAnsi="Times New Roman" w:cs="Times New Roman"/>
      <w:sz w:val="24"/>
      <w:szCs w:val="20"/>
    </w:rPr>
  </w:style>
  <w:style w:type="paragraph" w:styleId="TOC4">
    <w:name w:val="toc 4"/>
    <w:basedOn w:val="Normal"/>
    <w:next w:val="Normal"/>
    <w:autoRedefine/>
    <w:semiHidden/>
    <w:rsid w:val="00C912BA"/>
    <w:pPr>
      <w:spacing w:after="0"/>
      <w:ind w:left="720"/>
    </w:pPr>
    <w:rPr>
      <w:rFonts w:ascii="Times New Roman" w:eastAsia="Times New Roman" w:hAnsi="Times New Roman" w:cs="Times New Roman"/>
      <w:sz w:val="24"/>
      <w:szCs w:val="20"/>
    </w:rPr>
  </w:style>
  <w:style w:type="paragraph" w:styleId="TOC5">
    <w:name w:val="toc 5"/>
    <w:basedOn w:val="Normal"/>
    <w:next w:val="Normal"/>
    <w:autoRedefine/>
    <w:semiHidden/>
    <w:rsid w:val="00C912BA"/>
    <w:pPr>
      <w:spacing w:after="0"/>
      <w:ind w:left="960"/>
    </w:pPr>
    <w:rPr>
      <w:rFonts w:ascii="Times New Roman" w:eastAsia="Times New Roman" w:hAnsi="Times New Roman" w:cs="Times New Roman"/>
      <w:sz w:val="24"/>
      <w:szCs w:val="20"/>
    </w:rPr>
  </w:style>
  <w:style w:type="paragraph" w:styleId="TOC6">
    <w:name w:val="toc 6"/>
    <w:basedOn w:val="Normal"/>
    <w:next w:val="Normal"/>
    <w:autoRedefine/>
    <w:semiHidden/>
    <w:rsid w:val="00C912BA"/>
    <w:pPr>
      <w:spacing w:after="0"/>
      <w:ind w:left="1200"/>
    </w:pPr>
    <w:rPr>
      <w:rFonts w:ascii="Times New Roman" w:eastAsia="Times New Roman" w:hAnsi="Times New Roman" w:cs="Times New Roman"/>
      <w:sz w:val="24"/>
      <w:szCs w:val="20"/>
    </w:rPr>
  </w:style>
  <w:style w:type="paragraph" w:styleId="TOC7">
    <w:name w:val="toc 7"/>
    <w:basedOn w:val="Normal"/>
    <w:next w:val="Normal"/>
    <w:autoRedefine/>
    <w:semiHidden/>
    <w:rsid w:val="00C912BA"/>
    <w:pPr>
      <w:spacing w:after="0"/>
      <w:ind w:left="1440"/>
    </w:pPr>
    <w:rPr>
      <w:rFonts w:ascii="Times New Roman" w:eastAsia="Times New Roman" w:hAnsi="Times New Roman" w:cs="Times New Roman"/>
      <w:sz w:val="24"/>
      <w:szCs w:val="20"/>
    </w:rPr>
  </w:style>
  <w:style w:type="paragraph" w:styleId="TOC8">
    <w:name w:val="toc 8"/>
    <w:basedOn w:val="Normal"/>
    <w:next w:val="Normal"/>
    <w:autoRedefine/>
    <w:semiHidden/>
    <w:rsid w:val="00C912BA"/>
    <w:pPr>
      <w:spacing w:after="0"/>
      <w:ind w:left="1680"/>
    </w:pPr>
    <w:rPr>
      <w:rFonts w:ascii="Times New Roman" w:eastAsia="Times New Roman" w:hAnsi="Times New Roman" w:cs="Times New Roman"/>
      <w:sz w:val="24"/>
      <w:szCs w:val="20"/>
    </w:rPr>
  </w:style>
  <w:style w:type="paragraph" w:styleId="TOC9">
    <w:name w:val="toc 9"/>
    <w:basedOn w:val="Normal"/>
    <w:next w:val="Normal"/>
    <w:autoRedefine/>
    <w:semiHidden/>
    <w:rsid w:val="00C912BA"/>
    <w:pPr>
      <w:spacing w:after="0"/>
      <w:ind w:left="1920"/>
    </w:pPr>
    <w:rPr>
      <w:rFonts w:ascii="Times New Roman" w:eastAsia="Times New Roman" w:hAnsi="Times New Roman" w:cs="Times New Roman"/>
      <w:sz w:val="24"/>
      <w:szCs w:val="20"/>
    </w:rPr>
  </w:style>
  <w:style w:type="paragraph" w:styleId="TOCHeading">
    <w:name w:val="TOC Heading"/>
    <w:basedOn w:val="Heading1"/>
    <w:next w:val="Normal"/>
    <w:uiPriority w:val="39"/>
    <w:semiHidden/>
    <w:unhideWhenUsed/>
    <w:qFormat/>
    <w:rsid w:val="00C912BA"/>
    <w:pPr>
      <w:outlineLvl w:val="9"/>
    </w:pPr>
    <w:rPr>
      <w:rFonts w:ascii="Cambria" w:hAnsi="Cambria"/>
      <w:sz w:val="32"/>
      <w:szCs w:val="32"/>
    </w:rPr>
  </w:style>
  <w:style w:type="paragraph" w:customStyle="1" w:styleId="PubInfo">
    <w:name w:val="PubInfo"/>
    <w:basedOn w:val="Normal"/>
    <w:qFormat/>
    <w:rsid w:val="00C912BA"/>
    <w:pPr>
      <w:suppressAutoHyphens/>
      <w:spacing w:after="0"/>
      <w:jc w:val="center"/>
    </w:pPr>
    <w:rPr>
      <w:rFonts w:ascii="Times New Roman" w:eastAsia="Times New Roman" w:hAnsi="Times New Roman" w:cs="Times New Roman"/>
      <w:sz w:val="20"/>
      <w:szCs w:val="20"/>
      <w:lang w:eastAsia="ar-SA"/>
    </w:rPr>
  </w:style>
  <w:style w:type="paragraph" w:customStyle="1" w:styleId="DoiInfo">
    <w:name w:val="DoiInfo"/>
    <w:basedOn w:val="Normal"/>
    <w:qFormat/>
    <w:rsid w:val="00C912BA"/>
    <w:pPr>
      <w:suppressAutoHyphens/>
      <w:spacing w:after="0"/>
      <w:jc w:val="center"/>
    </w:pPr>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44739">
      <w:bodyDiv w:val="1"/>
      <w:marLeft w:val="0"/>
      <w:marRight w:val="0"/>
      <w:marTop w:val="0"/>
      <w:marBottom w:val="0"/>
      <w:divBdr>
        <w:top w:val="none" w:sz="0" w:space="0" w:color="auto"/>
        <w:left w:val="none" w:sz="0" w:space="0" w:color="auto"/>
        <w:bottom w:val="none" w:sz="0" w:space="0" w:color="auto"/>
        <w:right w:val="none" w:sz="0" w:space="0" w:color="auto"/>
      </w:divBdr>
    </w:div>
    <w:div w:id="180434189">
      <w:bodyDiv w:val="1"/>
      <w:marLeft w:val="0"/>
      <w:marRight w:val="0"/>
      <w:marTop w:val="0"/>
      <w:marBottom w:val="0"/>
      <w:divBdr>
        <w:top w:val="none" w:sz="0" w:space="0" w:color="auto"/>
        <w:left w:val="none" w:sz="0" w:space="0" w:color="auto"/>
        <w:bottom w:val="none" w:sz="0" w:space="0" w:color="auto"/>
        <w:right w:val="none" w:sz="0" w:space="0" w:color="auto"/>
      </w:divBdr>
    </w:div>
    <w:div w:id="617764523">
      <w:bodyDiv w:val="1"/>
      <w:marLeft w:val="0"/>
      <w:marRight w:val="0"/>
      <w:marTop w:val="0"/>
      <w:marBottom w:val="0"/>
      <w:divBdr>
        <w:top w:val="none" w:sz="0" w:space="0" w:color="auto"/>
        <w:left w:val="none" w:sz="0" w:space="0" w:color="auto"/>
        <w:bottom w:val="none" w:sz="0" w:space="0" w:color="auto"/>
        <w:right w:val="none" w:sz="0" w:space="0" w:color="auto"/>
      </w:divBdr>
    </w:div>
    <w:div w:id="881330099">
      <w:bodyDiv w:val="1"/>
      <w:marLeft w:val="0"/>
      <w:marRight w:val="0"/>
      <w:marTop w:val="0"/>
      <w:marBottom w:val="0"/>
      <w:divBdr>
        <w:top w:val="none" w:sz="0" w:space="0" w:color="auto"/>
        <w:left w:val="none" w:sz="0" w:space="0" w:color="auto"/>
        <w:bottom w:val="none" w:sz="0" w:space="0" w:color="auto"/>
        <w:right w:val="none" w:sz="0" w:space="0" w:color="auto"/>
      </w:divBdr>
      <w:divsChild>
        <w:div w:id="177039672">
          <w:marLeft w:val="0"/>
          <w:marRight w:val="0"/>
          <w:marTop w:val="120"/>
          <w:marBottom w:val="120"/>
          <w:divBdr>
            <w:top w:val="none" w:sz="0" w:space="0" w:color="auto"/>
            <w:left w:val="none" w:sz="0" w:space="0" w:color="auto"/>
            <w:bottom w:val="none" w:sz="0" w:space="0" w:color="auto"/>
            <w:right w:val="none" w:sz="0" w:space="0" w:color="auto"/>
          </w:divBdr>
        </w:div>
      </w:divsChild>
    </w:div>
    <w:div w:id="1332830510">
      <w:bodyDiv w:val="1"/>
      <w:marLeft w:val="0"/>
      <w:marRight w:val="0"/>
      <w:marTop w:val="0"/>
      <w:marBottom w:val="0"/>
      <w:divBdr>
        <w:top w:val="none" w:sz="0" w:space="0" w:color="auto"/>
        <w:left w:val="none" w:sz="0" w:space="0" w:color="auto"/>
        <w:bottom w:val="none" w:sz="0" w:space="0" w:color="auto"/>
        <w:right w:val="none" w:sz="0" w:space="0" w:color="auto"/>
      </w:divBdr>
    </w:div>
    <w:div w:id="171411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zuniga2@sdsu.ed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zotero.org/google-docs/?4D57CB"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60275-232B-4382-BF98-8D28A500D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18917</Words>
  <Characters>107827</Characters>
  <Application>Microsoft Office Word</Application>
  <DocSecurity>0</DocSecurity>
  <Lines>898</Lines>
  <Paragraphs>252</Paragraphs>
  <ScaleCrop>false</ScaleCrop>
  <HeadingPairs>
    <vt:vector size="2" baseType="variant">
      <vt:variant>
        <vt:lpstr>Title</vt:lpstr>
      </vt:variant>
      <vt:variant>
        <vt:i4>1</vt:i4>
      </vt:variant>
    </vt:vector>
  </HeadingPairs>
  <TitlesOfParts>
    <vt:vector size="1" baseType="lpstr">
      <vt:lpstr/>
    </vt:vector>
  </TitlesOfParts>
  <Company>The National Academies</Company>
  <LinksUpToDate>false</LinksUpToDate>
  <CharactersWithSpaces>126492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Shuler, Megan</dc:creator>
  <cp:keywords/>
  <dc:description/>
  <cp:lastModifiedBy>Georgina Canto Encalada</cp:lastModifiedBy>
  <cp:revision>7</cp:revision>
  <cp:lastPrinted>2026-04-22T18:17:00Z</cp:lastPrinted>
  <dcterms:created xsi:type="dcterms:W3CDTF">2026-09-01T00:23:00Z</dcterms:created>
  <dcterms:modified xsi:type="dcterms:W3CDTF">2026-09-10T23:47:00Z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id="pB9mnWGd"/&gt;&lt;style id="http://www.zotero.org/styles/nlm-citation-sequence" locale="en-US" hasBibliography="1" bibliographyStyleHasBeenSet="1"/&gt;&lt;prefs&gt;&lt;pref name="fieldType" value="Field"/&gt;&lt;/prefs&gt;</vt:lpwstr>
  </property>
  <property fmtid="{D5CDD505-2E9C-101B-9397-08002B2CF9AE}" pid="3" name="ZOTERO_PREF_2">
    <vt:lpwstr>&lt;/data&gt;</vt:lpwstr>
  </property>
  <property fmtid="{D5CDD505-2E9C-101B-9397-08002B2CF9AE}" pid="4" name="GrammarlyDocumentId">
    <vt:lpwstr>6d868871-7723-4078-83f1-98ad1825ea10</vt:lpwstr>
  </property>
</Properties>
</file>