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rFonts w:ascii="Times New Roman" w:cs="Times New Roman" w:eastAsia="Times New Roman" w:hAnsi="Times New Roman"/>
          <w:b/>
          <w:bCs/>
          <w:sz w:val="28"/>
          <w:szCs w:val="28"/>
        </w:rPr>
        <w:t xml:space="preserve">Supplementary Methods</w:t>
      </w:r>
    </w:p>
    <w:p>
      <w:pPr>
        <w:spacing w:after="160" w:line="360"/>
      </w:pPr>
      <w:r>
        <w:rPr>
          <w:rFonts w:ascii="Times New Roman" w:cs="Times New Roman" w:eastAsia="Times New Roman" w:hAnsi="Times New Roman"/>
          <w:i w:val="false"/>
          <w:iCs w:val="false"/>
          <w:sz w:val="22"/>
          <w:szCs w:val="22"/>
        </w:rPr>
        <w:t xml:space="preserve">Proteomic insights from thrombolytic ex-vivo machine perfusion of kidneys retrieved 4–5 hours after uncontrolled circulatory death.</w:t>
      </w:r>
    </w:p>
    <w:p>
      <w:pPr>
        <w:pStyle w:val="Heading2"/>
        <w:spacing w:after="120" w:before="280"/>
      </w:pPr>
      <w:r>
        <w:rPr>
          <w:rFonts w:ascii="Times New Roman" w:cs="Times New Roman" w:eastAsia="Times New Roman" w:hAnsi="Times New Roman"/>
          <w:b/>
          <w:bCs/>
          <w:sz w:val="24"/>
          <w:szCs w:val="24"/>
        </w:rPr>
        <w:t xml:space="preserve">1. Ex-vivo perfusion circuit — devices and consumables</w:t>
      </w:r>
    </w:p>
    <w:p>
      <w:pPr>
        <w:spacing w:after="160" w:line="360"/>
      </w:pPr>
      <w:r>
        <w:rPr>
          <w:rFonts w:ascii="Times New Roman" w:cs="Times New Roman" w:eastAsia="Times New Roman" w:hAnsi="Times New Roman"/>
          <w:i w:val="false"/>
          <w:iCs w:val="false"/>
          <w:sz w:val="22"/>
          <w:szCs w:val="22"/>
        </w:rPr>
        <w:t xml:space="preserve">The perfusion circuit and its operation are described in full in our previous publications (refs 10, 11). The following specifies the devices referred to in Methods.</w:t>
      </w:r>
    </w:p>
    <w:p>
      <w:pPr>
        <w:spacing w:after="160" w:line="360"/>
      </w:pPr>
      <w:r>
        <w:rPr>
          <w:rFonts w:ascii="Times New Roman" w:cs="Times New Roman" w:eastAsia="Times New Roman" w:hAnsi="Times New Roman"/>
          <w:i w:val="false"/>
          <w:iCs w:val="false"/>
          <w:sz w:val="22"/>
          <w:szCs w:val="22"/>
        </w:rPr>
        <w:t xml:space="preserve">Endotoxin removal. Adsorber, Alteco Medical AB, Lund, Sweden.</w:t>
      </w:r>
    </w:p>
    <w:p>
      <w:pPr>
        <w:spacing w:after="160" w:line="360"/>
      </w:pPr>
      <w:r>
        <w:rPr>
          <w:rFonts w:ascii="Times New Roman" w:cs="Times New Roman" w:eastAsia="Times New Roman" w:hAnsi="Times New Roman"/>
          <w:i w:val="false"/>
          <w:iCs w:val="false"/>
          <w:sz w:val="22"/>
          <w:szCs w:val="22"/>
        </w:rPr>
        <w:t xml:space="preserve">Cytokine removal. CytoSorb, CytoSorbents Corp., New Jersey, USA.</w:t>
      </w:r>
    </w:p>
    <w:p>
      <w:pPr>
        <w:spacing w:after="160" w:line="360"/>
      </w:pPr>
      <w:r>
        <w:rPr>
          <w:rFonts w:ascii="Times New Roman" w:cs="Times New Roman" w:eastAsia="Times New Roman" w:hAnsi="Times New Roman"/>
          <w:i w:val="false"/>
          <w:iCs w:val="false"/>
          <w:sz w:val="22"/>
          <w:szCs w:val="22"/>
        </w:rPr>
        <w:t xml:space="preserve">Both adsorbers were placed on a separate pump coupled to the main circuit during the warm (32 °C) perfusion phase only. They were not in circuit during the flush, cold or preservation phases.</w:t>
      </w:r>
    </w:p>
    <w:p>
      <w:pPr>
        <w:pStyle w:val="Heading2"/>
        <w:spacing w:after="120" w:before="280"/>
      </w:pPr>
      <w:r>
        <w:rPr>
          <w:rFonts w:ascii="Times New Roman" w:cs="Times New Roman" w:eastAsia="Times New Roman" w:hAnsi="Times New Roman"/>
          <w:b/>
          <w:bCs/>
          <w:sz w:val="24"/>
          <w:szCs w:val="24"/>
        </w:rPr>
        <w:t xml:space="preserve">2. Perfusate blood-gas monitoring</w:t>
      </w:r>
    </w:p>
    <w:p>
      <w:pPr>
        <w:spacing w:after="160" w:line="360"/>
      </w:pPr>
      <w:r>
        <w:rPr>
          <w:rFonts w:ascii="Times New Roman" w:cs="Times New Roman" w:eastAsia="Times New Roman" w:hAnsi="Times New Roman"/>
          <w:i w:val="false"/>
          <w:iCs w:val="false"/>
          <w:sz w:val="22"/>
          <w:szCs w:val="22"/>
        </w:rPr>
        <w:t xml:space="preserve">Perfusate blood gases, including hemoglobin, methemoglobin, hematocrit and lactate, were measured throughout perfusion on an ABL 700 analyzer (Radiometer, Copenhagen, Denmark), at 30-minute intervals. Oxygenation and acid–base measurements were used to confirm adequate circuit performance and are not reported. The hemoglobin, methemoglobin, hematocrit and lactate measurements are given in Supplementary Table S19 and are described in Section 3.</w:t>
      </w:r>
    </w:p>
    <w:p>
      <w:pPr>
        <w:pStyle w:val="Heading2"/>
        <w:spacing w:after="120" w:before="280"/>
      </w:pPr>
      <w:r>
        <w:rPr>
          <w:rFonts w:ascii="Times New Roman" w:cs="Times New Roman" w:eastAsia="Times New Roman" w:hAnsi="Times New Roman"/>
          <w:b/>
          <w:bCs/>
          <w:sz w:val="24"/>
          <w:szCs w:val="24"/>
        </w:rPr>
        <w:t xml:space="preserve">3. Hemoglobin, methemoglobin, hematocrit and lactate during perfusion</w:t>
      </w:r>
    </w:p>
    <w:p>
      <w:pPr>
        <w:spacing w:after="160" w:line="360"/>
      </w:pPr>
      <w:r>
        <w:rPr>
          <w:rFonts w:ascii="Times New Roman" w:cs="Times New Roman" w:eastAsia="Times New Roman" w:hAnsi="Times New Roman"/>
          <w:i w:val="false"/>
          <w:iCs w:val="false"/>
          <w:sz w:val="22"/>
          <w:szCs w:val="22"/>
        </w:rPr>
        <w:t xml:space="preserve">Supplementary Table S19 reports these four measures for every animal perfused on this circuit: the 21 uDCD kidneys reconditioned with thrombolysis and ex-vivo machine perfusion, of which the four kidneys profiled here are a subset (3628, 3634, 3636 and 3637); 7 live-donor kidneys perfused on the same circuit as part of the earlier series; and the 7 kidneys of the group reported in the first publication, in which red cells were added earlier in the protocol. The live-donor perfusion group is not the live-donor transplanted control group of the present study, which was not perfused and was sampled at retrieval (Start) and three months only.</w:t>
      </w:r>
    </w:p>
    <w:p>
      <w:pPr>
        <w:spacing w:after="160" w:line="360"/>
      </w:pPr>
      <w:r>
        <w:rPr>
          <w:rFonts w:ascii="Times New Roman" w:cs="Times New Roman" w:eastAsia="Times New Roman" w:hAnsi="Times New Roman"/>
          <w:i w:val="false"/>
          <w:iCs w:val="false"/>
          <w:sz w:val="22"/>
          <w:szCs w:val="22"/>
        </w:rPr>
        <w:t xml:space="preserve">The analyzer reports total hemoglobin. Before red cells are added the circuit is acellular, so the same reading is then cell-free hemoglobin, and the quantity measured changes meaning at the red-cell addition; the two phases are therefore summarized separately. Hemoglobin and hematocrit move together at a ratio of approximately 3, which identifies the reading as total rather than plasma-free hemoglobin. Methemoglobin is expressed as a percentage of total hemoglobin and is consequently measurable only from the red-cell addition onward. The red-cell addition was identified per animal as the first timepoint at which hemoglobin reached 10 g/L; the step exceeds an order of magnitude in every animal. It occurred at 3.0 h in every study animal and in seven of the eight live donors, at 2.5 h in live-donor Pig 3081, where hemoglobin and hematocrit both step at that timepoint, and at 1.0–1.5 h in the first-publication group.</w:t>
      </w:r>
    </w:p>
    <w:p>
      <w:pPr>
        <w:spacing w:after="160" w:line="360"/>
      </w:pPr>
      <w:r>
        <w:rPr>
          <w:rFonts w:ascii="Times New Roman" w:cs="Times New Roman" w:eastAsia="Times New Roman" w:hAnsi="Times New Roman"/>
          <w:i w:val="false"/>
          <w:iCs w:val="false"/>
          <w:sz w:val="22"/>
          <w:szCs w:val="22"/>
        </w:rPr>
        <w:t xml:space="preserve">The per-animal mean is the unit of analysis. Study and live-donor perfusions were compared with the exact two-sided Mann–Whitney U test, with rank-biserial correlation </w:t>
      </w:r>
      <w:r>
        <w:rPr>
          <w:rFonts w:ascii="Times New Roman" w:cs="Times New Roman" w:eastAsia="Times New Roman" w:hAnsi="Times New Roman"/>
          <w:i w:val="false"/>
          <w:iCs w:val="false"/>
          <w:sz w:val="22"/>
          <w:szCs w:val="22"/>
          <w:i/>
          <w:iCs/>
        </w:rPr>
        <w:t xml:space="preserve">r</w:t>
      </w:r>
      <w:r>
        <w:rPr>
          <w:rFonts w:ascii="Times New Roman" w:cs="Times New Roman" w:eastAsia="Times New Roman" w:hAnsi="Times New Roman"/>
          <w:i w:val="false"/>
          <w:iCs w:val="false"/>
          <w:sz w:val="22"/>
          <w:szCs w:val="22"/>
        </w:rPr>
        <w:t xml:space="preserve"> = 2</w:t>
      </w:r>
      <w:r>
        <w:rPr>
          <w:rFonts w:ascii="Times New Roman" w:cs="Times New Roman" w:eastAsia="Times New Roman" w:hAnsi="Times New Roman"/>
          <w:i w:val="false"/>
          <w:iCs w:val="false"/>
          <w:sz w:val="22"/>
          <w:szCs w:val="22"/>
          <w:i/>
          <w:iCs/>
        </w:rPr>
        <w:t xml:space="preserve">U</w:t>
      </w:r>
      <w:r>
        <w:rPr>
          <w:rFonts w:ascii="Times New Roman" w:cs="Times New Roman" w:eastAsia="Times New Roman" w:hAnsi="Times New Roman"/>
          <w:i w:val="false"/>
          <w:iCs w:val="false"/>
          <w:sz w:val="22"/>
          <w:szCs w:val="22"/>
        </w:rPr>
        <w:t xml:space="preserve">/(</w:t>
      </w:r>
      <w:r>
        <w:rPr>
          <w:rFonts w:ascii="Times New Roman" w:cs="Times New Roman" w:eastAsia="Times New Roman" w:hAnsi="Times New Roman"/>
          <w:i w:val="false"/>
          <w:iCs w:val="false"/>
          <w:sz w:val="22"/>
          <w:szCs w:val="22"/>
          <w:i/>
          <w:iCs/>
        </w:rPr>
        <w:t xml:space="preserve">n</w:t>
      </w:r>
      <w:r>
        <w:rPr>
          <w:rFonts w:ascii="Times New Roman" w:cs="Times New Roman" w:eastAsia="Times New Roman" w:hAnsi="Times New Roman"/>
          <w:i w:val="false"/>
          <w:iCs w:val="false"/>
          <w:sz w:val="22"/>
          <w:szCs w:val="22"/>
        </w:rPr>
        <w:t xml:space="preserve">1 × </w:t>
      </w:r>
      <w:r>
        <w:rPr>
          <w:rFonts w:ascii="Times New Roman" w:cs="Times New Roman" w:eastAsia="Times New Roman" w:hAnsi="Times New Roman"/>
          <w:i w:val="false"/>
          <w:iCs w:val="false"/>
          <w:sz w:val="22"/>
          <w:szCs w:val="22"/>
          <w:i/>
          <w:iCs/>
        </w:rPr>
        <w:t xml:space="preserve">n</w:t>
      </w:r>
      <w:r>
        <w:rPr>
          <w:rFonts w:ascii="Times New Roman" w:cs="Times New Roman" w:eastAsia="Times New Roman" w:hAnsi="Times New Roman"/>
          <w:i w:val="false"/>
          <w:iCs w:val="false"/>
          <w:sz w:val="22"/>
          <w:szCs w:val="22"/>
        </w:rPr>
        <w:t xml:space="preserve">2) − 1, as elsewhere in this paper. Cell-free hemoglobin during the acellular phase was 2.59 g/L in the study group against 0.26 g/L in live-donor perfusions, with complete separation (</w:t>
      </w:r>
      <w:r>
        <w:rPr>
          <w:rFonts w:ascii="Times New Roman" w:cs="Times New Roman" w:eastAsia="Times New Roman" w:hAnsi="Times New Roman"/>
          <w:i w:val="false"/>
          <w:iCs w:val="false"/>
          <w:sz w:val="22"/>
          <w:szCs w:val="22"/>
          <w:i/>
          <w:iCs/>
        </w:rPr>
        <w:t xml:space="preserve">P</w:t>
      </w:r>
      <w:r>
        <w:rPr>
          <w:rFonts w:ascii="Times New Roman" w:cs="Times New Roman" w:eastAsia="Times New Roman" w:hAnsi="Times New Roman"/>
          <w:i w:val="false"/>
          <w:iCs w:val="false"/>
          <w:sz w:val="22"/>
          <w:szCs w:val="22"/>
        </w:rPr>
        <w:t xml:space="preserve"> = 1.7 × 10⁻⁶, </w:t>
      </w:r>
      <w:r>
        <w:rPr>
          <w:rFonts w:ascii="Times New Roman" w:cs="Times New Roman" w:eastAsia="Times New Roman" w:hAnsi="Times New Roman"/>
          <w:i w:val="false"/>
          <w:iCs w:val="false"/>
          <w:sz w:val="22"/>
          <w:szCs w:val="22"/>
          <w:i/>
          <w:iCs/>
        </w:rPr>
        <w:t xml:space="preserve">r</w:t>
      </w:r>
      <w:r>
        <w:rPr>
          <w:rFonts w:ascii="Times New Roman" w:cs="Times New Roman" w:eastAsia="Times New Roman" w:hAnsi="Times New Roman"/>
          <w:i w:val="false"/>
          <w:iCs w:val="false"/>
          <w:sz w:val="22"/>
          <w:szCs w:val="22"/>
        </w:rPr>
        <w:t xml:space="preserve"> = +1.00). Methemoglobin during the red-cell phase was 2.70% of total hemoglobin against 1.45% (</w:t>
      </w:r>
      <w:r>
        <w:rPr>
          <w:rFonts w:ascii="Times New Roman" w:cs="Times New Roman" w:eastAsia="Times New Roman" w:hAnsi="Times New Roman"/>
          <w:i w:val="false"/>
          <w:iCs w:val="false"/>
          <w:sz w:val="22"/>
          <w:szCs w:val="22"/>
          <w:i/>
          <w:iCs/>
        </w:rPr>
        <w:t xml:space="preserve">P</w:t>
      </w:r>
      <w:r>
        <w:rPr>
          <w:rFonts w:ascii="Times New Roman" w:cs="Times New Roman" w:eastAsia="Times New Roman" w:hAnsi="Times New Roman"/>
          <w:i w:val="false"/>
          <w:iCs w:val="false"/>
          <w:sz w:val="22"/>
          <w:szCs w:val="22"/>
        </w:rPr>
        <w:t xml:space="preserve"> = 3.0 × 10⁻⁴, </w:t>
      </w:r>
      <w:r>
        <w:rPr>
          <w:rFonts w:ascii="Times New Roman" w:cs="Times New Roman" w:eastAsia="Times New Roman" w:hAnsi="Times New Roman"/>
          <w:i w:val="false"/>
          <w:iCs w:val="false"/>
          <w:sz w:val="22"/>
          <w:szCs w:val="22"/>
          <w:i/>
          <w:iCs/>
        </w:rPr>
        <w:t xml:space="preserve">r</w:t>
      </w:r>
      <w:r>
        <w:rPr>
          <w:rFonts w:ascii="Times New Roman" w:cs="Times New Roman" w:eastAsia="Times New Roman" w:hAnsi="Times New Roman"/>
          <w:i w:val="false"/>
          <w:iCs w:val="false"/>
          <w:sz w:val="22"/>
          <w:szCs w:val="22"/>
        </w:rPr>
        <w:t xml:space="preserve"> = +0.86), and did not rise across that phase in the study group, increasing in 10 animals, falling in 9 and unchanged in 1 (median change +0.05 percentage points). Hematocrit was lower in the study group than in either comparator (7.85% against 9.94% and 12.06%). Lactate was higher than in live-donor perfusions in both phases (</w:t>
      </w:r>
      <w:r>
        <w:rPr>
          <w:rFonts w:ascii="Times New Roman" w:cs="Times New Roman" w:eastAsia="Times New Roman" w:hAnsi="Times New Roman"/>
          <w:i w:val="false"/>
          <w:iCs w:val="false"/>
          <w:sz w:val="22"/>
          <w:szCs w:val="22"/>
          <w:i/>
          <w:iCs/>
        </w:rPr>
        <w:t xml:space="preserve">P</w:t>
      </w:r>
      <w:r>
        <w:rPr>
          <w:rFonts w:ascii="Times New Roman" w:cs="Times New Roman" w:eastAsia="Times New Roman" w:hAnsi="Times New Roman"/>
          <w:i w:val="false"/>
          <w:iCs w:val="false"/>
          <w:sz w:val="22"/>
          <w:szCs w:val="22"/>
        </w:rPr>
        <w:t xml:space="preserve"> = 6.8 × 10⁻⁶ and 3.2 × 10⁻⁵) and lower during the red-cell phase than in the first-publication group (2.87 against 3.47 mmol/L).</w:t>
      </w:r>
    </w:p>
    <w:p>
      <w:pPr>
        <w:spacing w:after="160" w:line="360"/>
      </w:pPr>
      <w:r>
        <w:rPr>
          <w:rFonts w:ascii="Times New Roman" w:cs="Times New Roman" w:eastAsia="Times New Roman" w:hAnsi="Times New Roman"/>
          <w:i w:val="false"/>
          <w:iCs w:val="false"/>
          <w:sz w:val="22"/>
          <w:szCs w:val="22"/>
        </w:rPr>
        <w:t xml:space="preserve">Comparisons against the live-donor group are confounded by a difference in flush and are reported for completeness rather than relied upon. Live-donor kidneys were flushed with 300 mL StoreProtect Plus before being placed on the machine, whereas study and Group III kidneys were not, so their flush effluent entered the perfusate. Against the live-donor group, therefore, the acellular-phase cell-free hemoglobin difference cannot be separated from a difference in where the flush was directed, and the methemoglobin difference is partly exposed to the same confound, since the carried-in cell-free pool is approximately a tenth of total hemoglobin in the study group and cell-free hemoglobin auto-oxidizes readily. The comparison against Group III is not exposed to it. Group III shares the study group’s donor type, warm ischemia and flush route and differs only in receiving no fibrinolytic, thrombin-inhibitor or platelet-inhibitor agents, so that contrast isolates the treatment: cell-free hemoglobin separates completely over the acellular phase (2.59 against 0.55 g/L, exact P = 1.7 × 10⁻⁶, r = +1.00) and methemoglobin during the red-cell phase is 2.70% against 1.24% (P = 4.5 × 10⁻⁶, r = +0.99). The two comparator groups do not differ from each other at the first red-cell reading (1.00% against 1.10%, P = 0.81), which is what identifies about 1% as the contribution of the red-cell product itself. The within-group observation that methemoglobin does not rise across the red-cell phase involves no between-group comparison and is unaffected by either issue.</w:t>
      </w:r>
    </w:p>
    <w:p>
      <w:pPr>
        <w:spacing w:after="160" w:line="360"/>
      </w:pPr>
      <w:r>
        <w:rPr>
          <w:rFonts w:ascii="Times New Roman" w:cs="Times New Roman" w:eastAsia="Times New Roman" w:hAnsi="Times New Roman"/>
          <w:i w:val="false"/>
          <w:iCs w:val="false"/>
          <w:sz w:val="22"/>
          <w:szCs w:val="22"/>
        </w:rPr>
        <w:t xml:space="preserve">Two comparisons are limited by design and are reported as such. The live-donor perfusions ran to 4 h and contribute three red-cell-phase timepoints against eight in the study group, so the groups are not directly comparable for change over the red-cell phase. The first-publication group added red cells at 1.0–1.5 h and ran at a higher hematocrit, so its red-cell phase is both longer and more concentrated than the study group's.</w:t>
      </w:r>
    </w:p>
    <w:p>
      <w:pPr>
        <w:spacing w:after="160" w:line="360"/>
      </w:pPr>
      <w:r>
        <w:rPr>
          <w:rFonts w:ascii="Times New Roman" w:cs="Times New Roman" w:eastAsia="Times New Roman" w:hAnsi="Times New Roman"/>
          <w:i w:val="false"/>
          <w:iCs w:val="false"/>
          <w:sz w:val="22"/>
          <w:szCs w:val="22"/>
        </w:rPr>
        <w:t xml:space="preserve">Nothing is imputed. All eight live donors are complete. Pig 3370 (study) has no methemoglobin, so that measure is 20 of 21 for the study group. One lactate cell (Pig 3359, 1.0 h) is empty and is treated as missing. Two acellular-phase hemoglobin readings lie far from their own animal — Pig 3359 at 1.5 h and Pig 3361 at 0.5 h — and are reported as measured rather than corrected.</w:t>
      </w:r>
    </w:p>
    <w:p>
      <w:pPr>
        <w:pStyle w:val="Heading2"/>
        <w:spacing w:after="120" w:before="280"/>
      </w:pPr>
      <w:r>
        <w:rPr>
          <w:rFonts w:ascii="Times New Roman" w:cs="Times New Roman" w:eastAsia="Times New Roman" w:hAnsi="Times New Roman"/>
          <w:b/>
          <w:bCs/>
          <w:sz w:val="24"/>
          <w:szCs w:val="24"/>
        </w:rPr>
        <w:t xml:space="preserve">4. Flush volumes</w:t>
      </w:r>
    </w:p>
    <w:p>
      <w:pPr>
        <w:spacing w:after="160" w:line="360"/>
      </w:pPr>
      <w:r>
        <w:rPr>
          <w:rFonts w:ascii="Times New Roman" w:cs="Times New Roman" w:eastAsia="Times New Roman" w:hAnsi="Times New Roman"/>
          <w:i w:val="false"/>
          <w:iCs w:val="false"/>
          <w:sz w:val="22"/>
          <w:szCs w:val="22"/>
        </w:rPr>
        <w:t xml:space="preserve">Live-donor kidneys were handled identically in the two groups in which they appear. The kidney was removed, biopsied and flushed with 300 mL StoreProtect Plus on the back table. In the transplanted control group of the present study it was then implanted on the contralateral side; in the perfusion comparator group it was then placed on the machine, where it received one hour of red-cell perfusion. Study kidneys were not flushed before the machine: they received lys-plasminogen, antithrombin III and tissue plasminogen activator through the renal artery on the back table and were then placed on the circuit, so material mobilized by the thrombolytic flush entered the perfusate. The kidneys of the first-publication comparison group were likewise not flushed before the machine.</w:t>
      </w:r>
    </w:p>
    <w:p>
      <w:pPr>
        <w:pStyle w:val="Heading2"/>
        <w:spacing w:after="120" w:before="280"/>
      </w:pPr>
      <w:r>
        <w:rPr>
          <w:rFonts w:ascii="Times New Roman" w:cs="Times New Roman" w:eastAsia="Times New Roman" w:hAnsi="Times New Roman"/>
          <w:b/>
          <w:bCs/>
          <w:sz w:val="24"/>
          <w:szCs w:val="24"/>
        </w:rPr>
        <w:t xml:space="preserve">5. Assembly of the matrix used for the principal component analysis of Figure 1c</w:t>
      </w:r>
    </w:p>
    <w:p>
      <w:pPr>
        <w:spacing w:after="160" w:line="360"/>
      </w:pPr>
      <w:r>
        <w:rPr>
          <w:rFonts w:ascii="Times New Roman" w:cs="Times New Roman" w:eastAsia="Times New Roman" w:hAnsi="Times New Roman"/>
          <w:i w:val="false"/>
          <w:iCs w:val="false"/>
          <w:sz w:val="22"/>
          <w:szCs w:val="22"/>
        </w:rPr>
        <w:t xml:space="preserve">Two TMTpro 18-plex sets were acquired. The transplant set contains the Start and 3Mo biopsies of all eight kidneys. The perfusion set contains the EOF, EOC and EOW biopsies of the four study kidneys and, as bridging anchors, the Start and 3Mo biopsies of three of them (S1, S3 and S4). The fourth study kidney, S2, has Start and 3Mo biopsies in the transplant set only.</w:t>
      </w:r>
    </w:p>
    <w:p>
      <w:pPr>
        <w:spacing w:after="160" w:line="360"/>
      </w:pPr>
      <w:r>
        <w:rPr>
          <w:rFonts w:ascii="Times New Roman" w:cs="Times New Roman" w:eastAsia="Times New Roman" w:hAnsi="Times New Roman"/>
          <w:i w:val="false"/>
          <w:iCs w:val="false"/>
          <w:sz w:val="22"/>
          <w:szCs w:val="22"/>
        </w:rPr>
        <w:t xml:space="preserve">Each set was placed on a common scale by dividing every protein by the geometric mean of that set’s six bridging channels, and the ratios were log₂ transformed. For the 28-biopsy matrix, the Start and 3Mo values of all eight kidneys were taken from the transplant set, and the EOF, EOC and EOW values from the perfusion set. Each protein was then centered on its own mean across the 28 biopsies and the biopsy-by-protein matrix was decomposed by singular value decomposition. 6,989 proteins were quantified in all 28 biopsies. Exogenous human serum albumin (P02768) is excluded.</w:t>
      </w:r>
    </w:p>
    <w:p>
      <w:pPr>
        <w:spacing w:after="160" w:line="360"/>
      </w:pPr>
      <w:r>
        <w:rPr>
          <w:rFonts w:ascii="Times New Roman" w:cs="Times New Roman" w:eastAsia="Times New Roman" w:hAnsi="Times New Roman"/>
          <w:i w:val="false"/>
          <w:iCs w:val="false"/>
          <w:sz w:val="22"/>
          <w:szCs w:val="22"/>
        </w:rPr>
        <w:t xml:space="preserve">Why the Start and 3Mo values are all taken from one set. Three of the four study kidneys have Start and 3Mo measurements in both sets, and S2 has them in the transplant set only. If the bridging kidneys’ Start and 3Mo values are taken from the perfusion set, then within a single sampling event three kidneys are referenced to the perfusion-set anchors and the fourth to the transplant-set anchors. Rebuilding the matrix that way, with everything else held constant, separates S2 from the other three study kidneys on the second component — S2 falls among the control kidneys — and lowers the first component from 41.66% to 38.72% of the variance. Taking every Start and 3Mo value from the transplant set references all eight kidneys identically at each event and removes that separation. The residual inter-set difference is small and was quantified directly: across the 6,996 proteins quantified in all twelve bridging channels, the median log₂ difference between the two independent measurements of each bridging sample lies between −0.062 and +0.065, the median absolute log₂ difference between 0.100 and 0.136, and 91.5–96.5% of proteins lie within a 1.5-fold difference.</w:t>
      </w:r>
    </w:p>
    <w:p>
      <w:pPr>
        <w:spacing w:after="160" w:line="360"/>
      </w:pPr>
      <w:r>
        <w:rPr>
          <w:rFonts w:ascii="Times New Roman" w:cs="Times New Roman" w:eastAsia="Times New Roman" w:hAnsi="Times New Roman"/>
          <w:i w:val="false"/>
          <w:iCs w:val="false"/>
          <w:sz w:val="22"/>
          <w:szCs w:val="22"/>
        </w:rPr>
        <w:t xml:space="preserve">The sample labels follow the study design sheet throughout. The deposited file PaperIII_normalized_geomean_allproteins.csv uses a different permutation of the study-kidney labels; a reader holding both files should use the design sheet.</w:t>
      </w:r>
    </w:p>
    <w:p>
      <w:pPr>
        <w:pStyle w:val="Heading2"/>
        <w:spacing w:after="120" w:before="280"/>
      </w:pPr>
      <w:r>
        <w:rPr>
          <w:rFonts w:ascii="Times New Roman" w:cs="Times New Roman" w:eastAsia="Times New Roman" w:hAnsi="Times New Roman"/>
          <w:b/>
          <w:bCs/>
          <w:sz w:val="24"/>
          <w:szCs w:val="24"/>
        </w:rPr>
        <w:t xml:space="preserve">6. Statistical and bioinformatic analysis — procedures in full</w:t>
      </w:r>
    </w:p>
    <w:p>
      <w:pPr>
        <w:spacing w:after="160" w:line="360"/>
      </w:pPr>
      <w:r>
        <w:rPr>
          <w:rFonts w:ascii="Times New Roman" w:cs="Times New Roman" w:eastAsia="Times New Roman" w:hAnsi="Times New Roman"/>
          <w:i w:val="false"/>
          <w:iCs w:val="false"/>
          <w:sz w:val="22"/>
          <w:szCs w:val="22"/>
        </w:rPr>
        <w:t xml:space="preserve">The procedures below are those implemented in the deposited R scripts. They are given here so that the analysis can be reproduced without reference to an external repository.</w:t>
      </w:r>
    </w:p>
    <w:p>
      <w:pPr>
        <w:spacing w:after="160" w:line="360"/>
      </w:pPr>
      <w:r>
        <w:rPr>
          <w:rFonts w:ascii="Times New Roman" w:cs="Times New Roman" w:eastAsia="Times New Roman" w:hAnsi="Times New Roman"/>
          <w:i w:val="false"/>
          <w:iCs w:val="false"/>
          <w:sz w:val="22"/>
          <w:szCs w:val="22"/>
        </w:rPr>
        <w:t xml:space="preserve">Normalization. Reporter-ion abundances were log₂ transformed. For the whole-proteome comparisons the reference was the geometric mean of the four control kidneys at Start. For the targeted panel and the principal component analysis, which combine values from both TMT sets, the reference was the geometric mean of that set’s own six bridging anchors — the Start and 3Mo samples of the three study kidneys analyzed in both TMT sets. Because the reference enters the log₂ value as an additive per-protein constant, it cancels in every within-subject change and every between-group contrast.</w:t>
      </w:r>
    </w:p>
    <w:p>
      <w:pPr>
        <w:spacing w:after="160" w:line="360"/>
      </w:pPr>
      <w:r>
        <w:rPr>
          <w:rFonts w:ascii="Times New Roman" w:cs="Times New Roman" w:eastAsia="Times New Roman" w:hAnsi="Times New Roman"/>
          <w:i w:val="false"/>
          <w:iCs w:val="false"/>
          <w:sz w:val="22"/>
          <w:szCs w:val="22"/>
        </w:rPr>
        <w:t xml:space="preserve">Duplicate database entries. The </w:t>
      </w:r>
      <w:r>
        <w:rPr>
          <w:rFonts w:ascii="Times New Roman" w:cs="Times New Roman" w:eastAsia="Times New Roman" w:hAnsi="Times New Roman"/>
          <w:i w:val="false"/>
          <w:iCs w:val="false"/>
          <w:sz w:val="22"/>
          <w:szCs w:val="22"/>
          <w:i/>
        </w:rPr>
        <w:t xml:space="preserve">Sus scrofa</w:t>
      </w:r>
      <w:r>
        <w:rPr>
          <w:rFonts w:ascii="Times New Roman" w:cs="Times New Roman" w:eastAsia="Times New Roman" w:hAnsi="Times New Roman"/>
          <w:i w:val="false"/>
          <w:iCs w:val="false"/>
          <w:sz w:val="22"/>
          <w:szCs w:val="22"/>
        </w:rPr>
        <w:t xml:space="preserve"> reference proteome contains more than one entry for some genes. Peptides shared between two entries are unique to neither and are excluded from both, so each entry is quantified only from the peptides that distinguish it; the proteome-wide tables therefore list every database entry separately. Three genes are affected. For fibrinogen β chain (FGB; P14477 and A0A8D1GA86) the two entries agree — log₂ FC −1.22 and −1.19 from Start to 3Mo in the study group, and −1.20 when their abundances are summed — and the entry supported by the greater number of unique peptides (A0A8D1GA86, 21) is the one named in the text, labeled in the figures and used in the targeted panel. For dipeptidase-1 (DPEP1; P22412 and I3L719) the two entries differ at two of 409 residues and are separated by only three tryptic peptides, one unique to P22412 and two to I3L719, although they rest on nearly identical evidence (15 and 16 peptides, 219 and 223 PSMs, 54% and 55% sequence coverage). Their apparent changes are equal and opposite (log₂ FC −3.46 and +2.75); summing their abundances gives +0.40 (</w:t>
      </w:r>
      <w:r>
        <w:rPr>
          <w:rFonts w:ascii="Times New Roman" w:cs="Times New Roman" w:eastAsia="Times New Roman" w:hAnsi="Times New Roman"/>
          <w:i w:val="false"/>
          <w:iCs w:val="false"/>
          <w:sz w:val="22"/>
          <w:szCs w:val="22"/>
          <w:i/>
        </w:rPr>
        <w:t xml:space="preserve">P</w:t>
      </w:r>
      <w:r>
        <w:rPr>
          <w:rFonts w:ascii="Times New Roman" w:cs="Times New Roman" w:eastAsia="Times New Roman" w:hAnsi="Times New Roman"/>
          <w:i w:val="false"/>
          <w:iCs w:val="false"/>
          <w:sz w:val="22"/>
          <w:szCs w:val="22"/>
        </w:rPr>
        <w:t xml:space="preserve"> = 0.115), below the inclusion criterion. For vitronectin (VTN; P48819 and I3L9F8) the two entries derive from different sequence models (461 and 523 residues, 16 shared tryptic peptides) and only one of the eleven peptides discriminating I3L9F8 was observed; summing abundances gives +1.07 within the study group (</w:t>
      </w:r>
      <w:r>
        <w:rPr>
          <w:rFonts w:ascii="Times New Roman" w:cs="Times New Roman" w:eastAsia="Times New Roman" w:hAnsi="Times New Roman"/>
          <w:i w:val="false"/>
          <w:iCs w:val="false"/>
          <w:sz w:val="22"/>
          <w:szCs w:val="22"/>
          <w:i/>
        </w:rPr>
        <w:t xml:space="preserve">P</w:t>
      </w:r>
      <w:r>
        <w:rPr>
          <w:rFonts w:ascii="Times New Roman" w:cs="Times New Roman" w:eastAsia="Times New Roman" w:hAnsi="Times New Roman"/>
          <w:i w:val="false"/>
          <w:iCs w:val="false"/>
          <w:sz w:val="22"/>
          <w:szCs w:val="22"/>
        </w:rPr>
        <w:t xml:space="preserve"> = 0.112) and +0.59 between groups (exact Mann–Whitney </w:t>
      </w:r>
      <w:r>
        <w:rPr>
          <w:rFonts w:ascii="Times New Roman" w:cs="Times New Roman" w:eastAsia="Times New Roman" w:hAnsi="Times New Roman"/>
          <w:i w:val="false"/>
          <w:iCs w:val="false"/>
          <w:sz w:val="22"/>
          <w:szCs w:val="22"/>
          <w:i/>
        </w:rPr>
        <w:t xml:space="preserve">P</w:t>
      </w:r>
      <w:r>
        <w:rPr>
          <w:rFonts w:ascii="Times New Roman" w:cs="Times New Roman" w:eastAsia="Times New Roman" w:hAnsi="Times New Roman"/>
          <w:i w:val="false"/>
          <w:iCs w:val="false"/>
          <w:sz w:val="22"/>
          <w:szCs w:val="22"/>
        </w:rPr>
        <w:t xml:space="preserve"> = 0.49, rank-biserial </w:t>
      </w:r>
      <w:r>
        <w:rPr>
          <w:rFonts w:ascii="Times New Roman" w:cs="Times New Roman" w:eastAsia="Times New Roman" w:hAnsi="Times New Roman"/>
          <w:i w:val="false"/>
          <w:iCs w:val="false"/>
          <w:sz w:val="22"/>
          <w:szCs w:val="22"/>
          <w:i/>
        </w:rPr>
        <w:t xml:space="preserve">r</w:t>
      </w:r>
      <w:r>
        <w:rPr>
          <w:rFonts w:ascii="Times New Roman" w:cs="Times New Roman" w:eastAsia="Times New Roman" w:hAnsi="Times New Roman"/>
          <w:i w:val="false"/>
          <w:iCs w:val="false"/>
          <w:sz w:val="22"/>
          <w:szCs w:val="22"/>
        </w:rPr>
        <w:t xml:space="preserve"> = +0.375). Neither DPEP1 nor VTN is interpreted in this study.</w:t>
      </w:r>
    </w:p>
    <w:p>
      <w:pPr>
        <w:spacing w:after="160" w:line="360"/>
      </w:pPr>
      <w:r>
        <w:rPr>
          <w:rFonts w:ascii="Times New Roman" w:cs="Times New Roman" w:eastAsia="Times New Roman" w:hAnsi="Times New Roman"/>
          <w:i w:val="false"/>
          <w:iCs w:val="false"/>
          <w:sz w:val="22"/>
          <w:szCs w:val="22"/>
        </w:rPr>
        <w:t xml:space="preserve">Differential expression. Longitudinal change within a group was tested with a paired (one-sample) t-test on the per-kidney log₂(3Mo/Start) delta. The study-versus-control ratio comparison used Welch’s t-test for unequal variances. A protein was called differentially expressed at nominal P ≤ 0.05 with an absolute log₂ fold change of at least 0.58.</w:t>
      </w:r>
    </w:p>
    <w:p>
      <w:pPr>
        <w:spacing w:after="160" w:line="360"/>
      </w:pPr>
      <w:r>
        <w:rPr>
          <w:rFonts w:ascii="Times New Roman" w:cs="Times New Roman" w:eastAsia="Times New Roman" w:hAnsi="Times New Roman"/>
          <w:i w:val="false"/>
          <w:iCs w:val="false"/>
          <w:sz w:val="22"/>
          <w:szCs w:val="22"/>
        </w:rPr>
        <w:t xml:space="preserve">Targeted panel. Log₂-normalized abundances in the study group were analyzed with the non-parametric Friedman repeated-measures test in two windows — across all five sampling events (df = 4) and restricted to the perfusion phase, Start–EOW (df = 3) — with P values obtained by exact permutation. Where a Friedman test was significant, pairwise comparisons between events used the Durbin–Conover procedure, reported unadjusted. Between-group differences used the exact Mann–Whitney U test on the 3Mo-minus-Start change, with effect sizes as the rank-biserial correlation r = 2U/(n1 × n2) − 1.</w:t>
      </w:r>
    </w:p>
    <w:p>
      <w:pPr>
        <w:spacing w:after="160" w:line="360"/>
      </w:pPr>
      <w:r>
        <w:rPr>
          <w:rFonts w:ascii="Times New Roman" w:cs="Times New Roman" w:eastAsia="Times New Roman" w:hAnsi="Times New Roman"/>
          <w:i w:val="false"/>
          <w:iCs w:val="false"/>
          <w:sz w:val="22"/>
          <w:szCs w:val="22"/>
        </w:rPr>
        <w:t xml:space="preserve">Multiple testing. Nominal P values were complemented by Benjamini–Hochberg false-discovery-rate q values, computed across the 93-protein panel for panel tests (92 for the between-group comparison, which excludes SERPINE2) and across all testable proteins for the proteome-wide comparisons.</w:t>
      </w:r>
    </w:p>
    <w:p>
      <w:pPr>
        <w:spacing w:after="160" w:line="360"/>
      </w:pPr>
      <w:r>
        <w:rPr>
          <w:rFonts w:ascii="Times New Roman" w:cs="Times New Roman" w:eastAsia="Times New Roman" w:hAnsi="Times New Roman"/>
          <w:i w:val="false"/>
          <w:iCs w:val="false"/>
          <w:sz w:val="22"/>
          <w:szCs w:val="22"/>
        </w:rPr>
        <w:t xml:space="preserve">Enrichment and networks. Gene set enrichment analysis was run on the complete ranked protein list with the R packages ReactomePA and clusterProfiler against Gene Ontology Biological Process and Reactome annotations. Protein–protein interaction networks were built in STRING v12.0 at medium confidence (combined score ≥ 0.400) and clustered with the Markov Cluster Algorithm at inflation 2.5 for the longitudinal analysis and 2.0 for the ratio comparison. Functional enrichment in STRING was run on the whole up-regulated list of each comparison, not on any single cluster, with redundancy filtering at a term similarity of 0.8. Clustering and enrichment are two separate analyses of the same protein lists.</w:t>
      </w:r>
    </w:p>
    <w:p>
      <w:pPr>
        <w:spacing w:after="160" w:line="360"/>
      </w:pPr>
      <w:r>
        <w:rPr>
          <w:rFonts w:ascii="Times New Roman" w:cs="Times New Roman" w:eastAsia="Times New Roman" w:hAnsi="Times New Roman"/>
          <w:i w:val="false"/>
          <w:iCs w:val="false"/>
          <w:sz w:val="22"/>
          <w:szCs w:val="22"/>
        </w:rPr>
        <w:t xml:space="preserve">Software. Proteome Discoverer v3.0 with Sequest HT; R 4.6.0 with the packages named above; RStudio 2026.07.1 and jamovi 2.7.37 (R 4.0.5) for the targeted-panel tests; Python 3.11 with matplotlib, numpy, pandas and openpyxl for figure generation.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2026-08-06T15:14:29.211Z</dcterms:created>
  <dcterms:modified xsi:type="dcterms:W3CDTF">2026-08-06T15:14:29.223Z</dcterms:modified>
</cp:coreProperties>
</file>

<file path=docProps/custom.xml><?xml version="1.0" encoding="utf-8"?>
<Properties xmlns="http://schemas.openxmlformats.org/officeDocument/2006/custom-properties" xmlns:vt="http://schemas.openxmlformats.org/officeDocument/2006/docPropsVTypes"/>
</file>