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1F3B7" w14:textId="77777777" w:rsidR="007B515B" w:rsidRDefault="007B515B" w:rsidP="007B515B">
      <w:pPr>
        <w:rPr>
          <w:rFonts w:ascii="Times New Roman" w:hAnsi="Times New Roman" w:cs="Times New Roman"/>
          <w:b/>
          <w:bCs/>
        </w:rPr>
      </w:pPr>
      <w:r>
        <w:rPr>
          <w:rFonts w:ascii="Times New Roman" w:hAnsi="Times New Roman" w:cs="Times New Roman"/>
          <w:b/>
          <w:bCs/>
        </w:rPr>
        <w:t>Additional information</w:t>
      </w:r>
    </w:p>
    <w:p w14:paraId="0CAFA8BF" w14:textId="77777777" w:rsidR="007B515B" w:rsidRDefault="007B515B" w:rsidP="007B515B">
      <w:pPr>
        <w:jc w:val="both"/>
        <w:rPr>
          <w:rFonts w:ascii="Times New Roman" w:hAnsi="Times New Roman" w:cs="Times New Roman"/>
        </w:rPr>
      </w:pPr>
      <w:r>
        <w:rPr>
          <w:rFonts w:ascii="Times New Roman" w:hAnsi="Times New Roman" w:cs="Times New Roman"/>
        </w:rPr>
        <w:t>Supplementary Information is available for this paper and comprises a Supplementary Information Guide, Supplementary Methods and Supplementary Tables S1–S22.</w:t>
      </w:r>
    </w:p>
    <w:p w14:paraId="49E96521" w14:textId="77777777" w:rsidR="007B515B" w:rsidRDefault="007B515B" w:rsidP="007B515B">
      <w:pPr>
        <w:rPr>
          <w:rFonts w:ascii="Times New Roman" w:hAnsi="Times New Roman" w:cs="Times New Roman"/>
          <w:b/>
          <w:bCs/>
        </w:rPr>
      </w:pPr>
      <w:r>
        <w:br w:type="page"/>
      </w:r>
    </w:p>
    <w:p w14:paraId="19D9703E" w14:textId="77777777" w:rsidR="007B515B" w:rsidRDefault="007B515B" w:rsidP="007B515B">
      <w:pPr>
        <w:rPr>
          <w:rFonts w:ascii="Times New Roman" w:hAnsi="Times New Roman" w:cs="Times New Roman"/>
        </w:rPr>
      </w:pPr>
    </w:p>
    <w:p w14:paraId="45B3B86A" w14:textId="77777777" w:rsidR="007B515B" w:rsidRDefault="007B515B" w:rsidP="007B515B">
      <w:pPr>
        <w:rPr>
          <w:rFonts w:ascii="Times New Roman" w:hAnsi="Times New Roman" w:cs="Times New Roman"/>
          <w:b/>
          <w:bCs/>
        </w:rPr>
      </w:pPr>
      <w:r>
        <w:rPr>
          <w:rFonts w:ascii="Times New Roman" w:hAnsi="Times New Roman" w:cs="Times New Roman"/>
          <w:b/>
          <w:bCs/>
        </w:rPr>
        <w:t>Extended Data figure and table legends</w:t>
      </w:r>
    </w:p>
    <w:p w14:paraId="1AB695B3" w14:textId="77777777" w:rsidR="007B515B" w:rsidRDefault="007B515B" w:rsidP="007B515B">
      <w:pPr>
        <w:keepNext/>
        <w:spacing w:after="0" w:line="240" w:lineRule="auto"/>
        <w:rPr>
          <w:rFonts w:ascii="Times New Roman" w:hAnsi="Times New Roman" w:cs="Times New Roman"/>
          <w:sz w:val="20"/>
          <w:szCs w:val="20"/>
        </w:rPr>
      </w:pPr>
      <w:r>
        <w:rPr>
          <w:noProof/>
        </w:rPr>
        <w:lastRenderedPageBreak/>
        <w:drawing>
          <wp:inline distT="0" distB="0" distL="0" distR="0" wp14:anchorId="3A95EBA4" wp14:editId="247DC154">
            <wp:extent cx="5765389" cy="758952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spect="1" noChangeArrowheads="1"/>
                    </pic:cNvPicPr>
                  </pic:nvPicPr>
                  <pic:blipFill>
                    <a:blip r:embed="rId4"/>
                    <a:stretch>
                      <a:fillRect/>
                    </a:stretch>
                  </pic:blipFill>
                  <pic:spPr bwMode="auto">
                    <a:xfrm>
                      <a:off x="0" y="0"/>
                      <a:ext cx="5765389" cy="7589520"/>
                    </a:xfrm>
                    <a:prstGeom prst="rect">
                      <a:avLst/>
                    </a:prstGeom>
                  </pic:spPr>
                </pic:pic>
              </a:graphicData>
            </a:graphic>
          </wp:inline>
        </w:drawing>
      </w:r>
    </w:p>
    <w:p w14:paraId="6999A9AC" w14:textId="77777777" w:rsidR="007B515B" w:rsidRDefault="007B515B" w:rsidP="007B515B">
      <w:pPr>
        <w:keepLines/>
        <w:rPr>
          <w:rFonts w:ascii="Times New Roman" w:hAnsi="Times New Roman" w:cs="Times New Roman"/>
          <w:sz w:val="20"/>
          <w:szCs w:val="20"/>
        </w:rPr>
      </w:pPr>
      <w:r>
        <w:rPr>
          <w:rFonts w:ascii="Times New Roman" w:hAnsi="Times New Roman" w:cs="Times New Roman"/>
          <w:b/>
          <w:bCs/>
          <w:sz w:val="20"/>
          <w:szCs w:val="20"/>
        </w:rPr>
        <w:lastRenderedPageBreak/>
        <w:t>Extended Data Fig. 1 | Fibrin(ogen) and fibrinolysis proteins across the five sampling events.</w:t>
      </w:r>
      <w:r>
        <w:rPr>
          <w:rFonts w:ascii="Times New Roman" w:hAnsi="Times New Roman" w:cs="Times New Roman"/>
          <w:sz w:val="20"/>
          <w:szCs w:val="20"/>
        </w:rPr>
        <w:t xml:space="preserve"> Extended Data Figs 1–7 show the complete targeted 93-protein panel, partitioned by pathway group so that every protein appears exactly once across the seven figures; the twelve proteins of Figure 5 are a selection from the same panel and recur here in their pathway groups. </w:t>
      </w:r>
      <w:r>
        <w:rPr>
          <w:rFonts w:ascii="Times New Roman" w:hAnsi="Times New Roman" w:cs="Times New Roman"/>
          <w:b/>
          <w:bCs/>
          <w:sz w:val="20"/>
          <w:szCs w:val="20"/>
        </w:rPr>
        <w:t>a–e</w:t>
      </w:r>
      <w:r>
        <w:rPr>
          <w:rFonts w:ascii="Times New Roman" w:hAnsi="Times New Roman" w:cs="Times New Roman"/>
          <w:sz w:val="20"/>
          <w:szCs w:val="20"/>
        </w:rPr>
        <w:t xml:space="preserve">, The fibrinogen α, β and γ chains and fibrinogen-like proteins 1 and 2. </w:t>
      </w:r>
      <w:r>
        <w:rPr>
          <w:rFonts w:ascii="Times New Roman" w:hAnsi="Times New Roman" w:cs="Times New Roman"/>
          <w:b/>
          <w:bCs/>
          <w:sz w:val="20"/>
          <w:szCs w:val="20"/>
        </w:rPr>
        <w:t>f–j</w:t>
      </w:r>
      <w:r>
        <w:rPr>
          <w:rFonts w:ascii="Times New Roman" w:hAnsi="Times New Roman" w:cs="Times New Roman"/>
          <w:sz w:val="20"/>
          <w:szCs w:val="20"/>
        </w:rPr>
        <w:t xml:space="preserve">, Plasminogen, tPA, α-2-antiplasmin, carboxypeptidase B2 (TAFI) and PN-1. Box-and-whisker plots of log₂ normalized abundance in the </w:t>
      </w:r>
      <w:r>
        <w:rPr>
          <w:rFonts w:ascii="Times New Roman" w:hAnsi="Times New Roman" w:cs="Times New Roman"/>
          <w:i/>
          <w:iCs/>
          <w:sz w:val="20"/>
          <w:szCs w:val="20"/>
        </w:rPr>
        <w:t>N</w:t>
      </w:r>
      <w:r>
        <w:rPr>
          <w:rFonts w:ascii="Times New Roman" w:hAnsi="Times New Roman" w:cs="Times New Roman"/>
          <w:sz w:val="20"/>
          <w:szCs w:val="20"/>
        </w:rPr>
        <w:t xml:space="preserve"> = 4 study kidneys at Start, EOF, EOC, EOW and 3Mo, with the </w:t>
      </w:r>
      <w:r>
        <w:rPr>
          <w:rFonts w:ascii="Times New Roman" w:hAnsi="Times New Roman" w:cs="Times New Roman"/>
          <w:i/>
          <w:iCs/>
          <w:sz w:val="20"/>
          <w:szCs w:val="20"/>
        </w:rPr>
        <w:t>N</w:t>
      </w:r>
      <w:r>
        <w:rPr>
          <w:rFonts w:ascii="Times New Roman" w:hAnsi="Times New Roman" w:cs="Times New Roman"/>
          <w:sz w:val="20"/>
          <w:szCs w:val="20"/>
        </w:rPr>
        <w:t xml:space="preserve"> = 4 live-donor transplanted control kidneys overlaid in gray at Start and 3Mo. Boxes give the median and interquartile range, whiskers the full range, and symbols the individual kidneys (circles, study; diamonds, control). Beneath each panel: N entering the test, the exact permutation Friedman p across the five events, and the Benjamini–Hochberg q across the 93-protein panel. The left spine of each panel carries its pathway color.</w:t>
      </w:r>
    </w:p>
    <w:p w14:paraId="470F2DC9" w14:textId="77777777" w:rsidR="007B515B" w:rsidRDefault="007B515B" w:rsidP="007B515B">
      <w:pPr>
        <w:rPr>
          <w:rFonts w:ascii="Times New Roman" w:hAnsi="Times New Roman" w:cs="Times New Roman"/>
          <w:i/>
          <w:sz w:val="20"/>
          <w:szCs w:val="20"/>
        </w:rPr>
      </w:pPr>
    </w:p>
    <w:p w14:paraId="2C5C4CFD" w14:textId="77777777" w:rsidR="007B515B" w:rsidRDefault="007B515B" w:rsidP="007B515B">
      <w:pPr>
        <w:keepNext/>
        <w:spacing w:after="0" w:line="240" w:lineRule="auto"/>
        <w:rPr>
          <w:rFonts w:ascii="Times New Roman" w:hAnsi="Times New Roman" w:cs="Times New Roman"/>
          <w:sz w:val="20"/>
          <w:szCs w:val="20"/>
        </w:rPr>
      </w:pPr>
      <w:r>
        <w:rPr>
          <w:noProof/>
        </w:rPr>
        <w:lastRenderedPageBreak/>
        <w:drawing>
          <wp:inline distT="0" distB="0" distL="0" distR="0" wp14:anchorId="076E89B0" wp14:editId="36A4D411">
            <wp:extent cx="5623005" cy="758952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a:picLocks noChangeAspect="1" noChangeArrowheads="1"/>
                    </pic:cNvPicPr>
                  </pic:nvPicPr>
                  <pic:blipFill>
                    <a:blip r:embed="rId5"/>
                    <a:stretch>
                      <a:fillRect/>
                    </a:stretch>
                  </pic:blipFill>
                  <pic:spPr bwMode="auto">
                    <a:xfrm>
                      <a:off x="0" y="0"/>
                      <a:ext cx="5623005" cy="7589520"/>
                    </a:xfrm>
                    <a:prstGeom prst="rect">
                      <a:avLst/>
                    </a:prstGeom>
                  </pic:spPr>
                </pic:pic>
              </a:graphicData>
            </a:graphic>
          </wp:inline>
        </w:drawing>
      </w:r>
    </w:p>
    <w:p w14:paraId="6C025EFF" w14:textId="77777777" w:rsidR="007B515B" w:rsidRDefault="007B515B" w:rsidP="007B515B">
      <w:pPr>
        <w:keepLines/>
        <w:rPr>
          <w:rFonts w:ascii="Times New Roman" w:hAnsi="Times New Roman" w:cs="Times New Roman"/>
          <w:sz w:val="20"/>
          <w:szCs w:val="20"/>
        </w:rPr>
      </w:pPr>
      <w:r>
        <w:rPr>
          <w:rFonts w:ascii="Times New Roman" w:hAnsi="Times New Roman" w:cs="Times New Roman"/>
          <w:b/>
          <w:bCs/>
          <w:sz w:val="20"/>
          <w:szCs w:val="20"/>
        </w:rPr>
        <w:lastRenderedPageBreak/>
        <w:t>Extended Data Fig. 2 | Coagulation factors, the kallikrein–kinin system and the serpin inhibitors, plotted and annotated as in Extended Data Fig. 1.</w:t>
      </w:r>
      <w:r>
        <w:rPr>
          <w:rFonts w:ascii="Times New Roman" w:hAnsi="Times New Roman" w:cs="Times New Roman"/>
          <w:sz w:val="20"/>
          <w:szCs w:val="20"/>
        </w:rPr>
        <w:t xml:space="preserve"> </w:t>
      </w:r>
      <w:r>
        <w:rPr>
          <w:rFonts w:ascii="Times New Roman" w:hAnsi="Times New Roman" w:cs="Times New Roman"/>
          <w:b/>
          <w:bCs/>
          <w:sz w:val="20"/>
          <w:szCs w:val="20"/>
        </w:rPr>
        <w:t>a–j</w:t>
      </w:r>
      <w:r>
        <w:rPr>
          <w:rFonts w:ascii="Times New Roman" w:hAnsi="Times New Roman" w:cs="Times New Roman"/>
          <w:sz w:val="20"/>
          <w:szCs w:val="20"/>
        </w:rPr>
        <w:t xml:space="preserve">, Factors II, V, X, XIIIA and XIIIB, plasma kallikrein, kininogen-1, protein C, the endothelial protein C receptor and protein S. </w:t>
      </w:r>
      <w:r>
        <w:rPr>
          <w:rFonts w:ascii="Times New Roman" w:hAnsi="Times New Roman" w:cs="Times New Roman"/>
          <w:b/>
          <w:bCs/>
          <w:sz w:val="20"/>
          <w:szCs w:val="20"/>
        </w:rPr>
        <w:t>k–q</w:t>
      </w:r>
      <w:r>
        <w:rPr>
          <w:rFonts w:ascii="Times New Roman" w:hAnsi="Times New Roman" w:cs="Times New Roman"/>
          <w:sz w:val="20"/>
          <w:szCs w:val="20"/>
        </w:rPr>
        <w:t>, Orosomucoid and the serpins A1, A5, B1, B6, C1 and D1.</w:t>
      </w:r>
    </w:p>
    <w:p w14:paraId="32035BB7" w14:textId="77777777" w:rsidR="007B515B" w:rsidRDefault="007B515B" w:rsidP="007B515B">
      <w:pPr>
        <w:rPr>
          <w:rFonts w:ascii="Times New Roman" w:hAnsi="Times New Roman" w:cs="Times New Roman"/>
          <w:i/>
          <w:sz w:val="20"/>
          <w:szCs w:val="20"/>
        </w:rPr>
      </w:pPr>
    </w:p>
    <w:p w14:paraId="45E257B8" w14:textId="77777777" w:rsidR="007B515B" w:rsidRDefault="007B515B" w:rsidP="007B515B">
      <w:pPr>
        <w:keepNext/>
        <w:spacing w:after="0" w:line="240" w:lineRule="auto"/>
        <w:rPr>
          <w:rFonts w:ascii="Times New Roman" w:hAnsi="Times New Roman" w:cs="Times New Roman"/>
          <w:sz w:val="20"/>
          <w:szCs w:val="20"/>
        </w:rPr>
      </w:pPr>
      <w:r>
        <w:rPr>
          <w:noProof/>
        </w:rPr>
        <w:lastRenderedPageBreak/>
        <w:drawing>
          <wp:inline distT="0" distB="0" distL="0" distR="0" wp14:anchorId="6C6873AE" wp14:editId="7E2ABC70">
            <wp:extent cx="5623005" cy="758952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a:picLocks noChangeAspect="1" noChangeArrowheads="1"/>
                    </pic:cNvPicPr>
                  </pic:nvPicPr>
                  <pic:blipFill>
                    <a:blip r:embed="rId6"/>
                    <a:stretch>
                      <a:fillRect/>
                    </a:stretch>
                  </pic:blipFill>
                  <pic:spPr bwMode="auto">
                    <a:xfrm>
                      <a:off x="0" y="0"/>
                      <a:ext cx="5623005" cy="7589520"/>
                    </a:xfrm>
                    <a:prstGeom prst="rect">
                      <a:avLst/>
                    </a:prstGeom>
                  </pic:spPr>
                </pic:pic>
              </a:graphicData>
            </a:graphic>
          </wp:inline>
        </w:drawing>
      </w:r>
    </w:p>
    <w:p w14:paraId="174BF853" w14:textId="77777777" w:rsidR="007B515B" w:rsidRDefault="007B515B" w:rsidP="007B515B">
      <w:pPr>
        <w:keepLines/>
        <w:rPr>
          <w:rFonts w:ascii="Times New Roman" w:hAnsi="Times New Roman" w:cs="Times New Roman"/>
          <w:sz w:val="20"/>
          <w:szCs w:val="20"/>
        </w:rPr>
      </w:pPr>
      <w:r>
        <w:rPr>
          <w:rFonts w:ascii="Times New Roman" w:hAnsi="Times New Roman" w:cs="Times New Roman"/>
          <w:b/>
          <w:bCs/>
          <w:sz w:val="20"/>
          <w:szCs w:val="20"/>
        </w:rPr>
        <w:lastRenderedPageBreak/>
        <w:t>Extended Data Fig. 3 | Complement, platelet and vascular activation proteins and the neutrophil axis, plotted and annotated as in Extended Data Fig. 1.</w:t>
      </w:r>
      <w:r>
        <w:rPr>
          <w:rFonts w:ascii="Times New Roman" w:hAnsi="Times New Roman" w:cs="Times New Roman"/>
          <w:sz w:val="20"/>
          <w:szCs w:val="20"/>
        </w:rPr>
        <w:t xml:space="preserve"> </w:t>
      </w:r>
      <w:r>
        <w:rPr>
          <w:rFonts w:ascii="Times New Roman" w:hAnsi="Times New Roman" w:cs="Times New Roman"/>
          <w:b/>
          <w:bCs/>
          <w:sz w:val="20"/>
          <w:szCs w:val="20"/>
        </w:rPr>
        <w:t>a–m</w:t>
      </w:r>
      <w:r>
        <w:rPr>
          <w:rFonts w:ascii="Times New Roman" w:hAnsi="Times New Roman" w:cs="Times New Roman"/>
          <w:sz w:val="20"/>
          <w:szCs w:val="20"/>
        </w:rPr>
        <w:t xml:space="preserve">, C3, C4a, C5, C8γ, C9, protectin (CD59), complement factor H, C1 inhibitor (SERPING1), ICAM-1, VCAM-1, eNOS, von Willebrand factor and GPIIIa/CD61. </w:t>
      </w:r>
      <w:r>
        <w:rPr>
          <w:rFonts w:ascii="Times New Roman" w:hAnsi="Times New Roman" w:cs="Times New Roman"/>
          <w:b/>
          <w:bCs/>
          <w:sz w:val="20"/>
          <w:szCs w:val="20"/>
        </w:rPr>
        <w:t>n–r</w:t>
      </w:r>
      <w:r>
        <w:rPr>
          <w:rFonts w:ascii="Times New Roman" w:hAnsi="Times New Roman" w:cs="Times New Roman"/>
          <w:sz w:val="20"/>
          <w:szCs w:val="20"/>
        </w:rPr>
        <w:t>, Elastase, progranulin, NGAL, myeloperoxidase and calgranulin A.</w:t>
      </w:r>
    </w:p>
    <w:p w14:paraId="588250C2" w14:textId="77777777" w:rsidR="007B515B" w:rsidRDefault="007B515B" w:rsidP="007B515B">
      <w:pPr>
        <w:rPr>
          <w:rFonts w:ascii="Times New Roman" w:hAnsi="Times New Roman" w:cs="Times New Roman"/>
          <w:i/>
          <w:sz w:val="20"/>
          <w:szCs w:val="20"/>
        </w:rPr>
      </w:pPr>
    </w:p>
    <w:p w14:paraId="1A60FCB1" w14:textId="77777777" w:rsidR="007B515B" w:rsidRDefault="007B515B" w:rsidP="007B515B">
      <w:pPr>
        <w:keepNext/>
        <w:spacing w:after="0" w:line="240" w:lineRule="auto"/>
        <w:rPr>
          <w:rFonts w:ascii="Times New Roman" w:hAnsi="Times New Roman" w:cs="Times New Roman"/>
          <w:sz w:val="20"/>
          <w:szCs w:val="20"/>
        </w:rPr>
      </w:pPr>
      <w:r>
        <w:rPr>
          <w:noProof/>
        </w:rPr>
        <w:lastRenderedPageBreak/>
        <w:drawing>
          <wp:inline distT="0" distB="0" distL="0" distR="0" wp14:anchorId="488C19FC" wp14:editId="41CDB7C8">
            <wp:extent cx="5765389" cy="75895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spect="1" noChangeArrowheads="1"/>
                    </pic:cNvPicPr>
                  </pic:nvPicPr>
                  <pic:blipFill>
                    <a:blip r:embed="rId7"/>
                    <a:stretch>
                      <a:fillRect/>
                    </a:stretch>
                  </pic:blipFill>
                  <pic:spPr bwMode="auto">
                    <a:xfrm>
                      <a:off x="0" y="0"/>
                      <a:ext cx="5765389" cy="7589520"/>
                    </a:xfrm>
                    <a:prstGeom prst="rect">
                      <a:avLst/>
                    </a:prstGeom>
                  </pic:spPr>
                </pic:pic>
              </a:graphicData>
            </a:graphic>
          </wp:inline>
        </w:drawing>
      </w:r>
    </w:p>
    <w:p w14:paraId="15CAE074" w14:textId="77777777" w:rsidR="007B515B" w:rsidRDefault="007B515B" w:rsidP="007B515B">
      <w:pPr>
        <w:keepLines/>
        <w:rPr>
          <w:rFonts w:ascii="Times New Roman" w:hAnsi="Times New Roman" w:cs="Times New Roman"/>
          <w:sz w:val="20"/>
          <w:szCs w:val="20"/>
        </w:rPr>
      </w:pPr>
      <w:r>
        <w:rPr>
          <w:rFonts w:ascii="Times New Roman" w:hAnsi="Times New Roman" w:cs="Times New Roman"/>
          <w:b/>
          <w:bCs/>
          <w:sz w:val="20"/>
          <w:szCs w:val="20"/>
        </w:rPr>
        <w:lastRenderedPageBreak/>
        <w:t>Extended Data Fig. 4 | Erythrocyte, hemolysis and iron-handling proteins, plotted and annotated as in Extended Data Fig. 1.</w:t>
      </w:r>
      <w:r>
        <w:rPr>
          <w:rFonts w:ascii="Times New Roman" w:hAnsi="Times New Roman" w:cs="Times New Roman"/>
          <w:sz w:val="20"/>
          <w:szCs w:val="20"/>
        </w:rPr>
        <w:t xml:space="preserve"> </w:t>
      </w:r>
      <w:r>
        <w:rPr>
          <w:rFonts w:ascii="Times New Roman" w:hAnsi="Times New Roman" w:cs="Times New Roman"/>
          <w:b/>
          <w:bCs/>
          <w:sz w:val="20"/>
          <w:szCs w:val="20"/>
        </w:rPr>
        <w:t>a–e</w:t>
      </w:r>
      <w:r>
        <w:rPr>
          <w:rFonts w:ascii="Times New Roman" w:hAnsi="Times New Roman" w:cs="Times New Roman"/>
          <w:sz w:val="20"/>
          <w:szCs w:val="20"/>
        </w:rPr>
        <w:t xml:space="preserve">, Ankyrin-1, hemoglobin α and β, haptoglobin and hemopexin. </w:t>
      </w:r>
      <w:r>
        <w:rPr>
          <w:rFonts w:ascii="Times New Roman" w:hAnsi="Times New Roman" w:cs="Times New Roman"/>
          <w:b/>
          <w:bCs/>
          <w:sz w:val="20"/>
          <w:szCs w:val="20"/>
        </w:rPr>
        <w:t>f–i</w:t>
      </w:r>
      <w:r>
        <w:rPr>
          <w:rFonts w:ascii="Times New Roman" w:hAnsi="Times New Roman" w:cs="Times New Roman"/>
          <w:sz w:val="20"/>
          <w:szCs w:val="20"/>
        </w:rPr>
        <w:t>, Ferritin heavy and light chains, lactotransferrin and transferrin. The erythrocyte membrane and hemoglobin species fall between Start and EOF, whereas ferritin does not change across the perfusion window and resolves only by three months.</w:t>
      </w:r>
    </w:p>
    <w:p w14:paraId="231186ED" w14:textId="77777777" w:rsidR="007B515B" w:rsidRDefault="007B515B" w:rsidP="007B515B">
      <w:pPr>
        <w:rPr>
          <w:rFonts w:ascii="Times New Roman" w:hAnsi="Times New Roman" w:cs="Times New Roman"/>
          <w:i/>
          <w:sz w:val="20"/>
          <w:szCs w:val="20"/>
        </w:rPr>
      </w:pPr>
    </w:p>
    <w:p w14:paraId="72720231" w14:textId="77777777" w:rsidR="007B515B" w:rsidRDefault="007B515B" w:rsidP="007B515B">
      <w:pPr>
        <w:keepNext/>
        <w:spacing w:after="0" w:line="240" w:lineRule="auto"/>
        <w:rPr>
          <w:rFonts w:ascii="Times New Roman" w:hAnsi="Times New Roman" w:cs="Times New Roman"/>
          <w:sz w:val="20"/>
          <w:szCs w:val="20"/>
        </w:rPr>
      </w:pPr>
      <w:r>
        <w:rPr>
          <w:noProof/>
        </w:rPr>
        <w:lastRenderedPageBreak/>
        <w:drawing>
          <wp:inline distT="0" distB="0" distL="0" distR="0" wp14:anchorId="0C104854" wp14:editId="67B37BBB">
            <wp:extent cx="5623005" cy="758952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a:picLocks noChangeAspect="1" noChangeArrowheads="1"/>
                    </pic:cNvPicPr>
                  </pic:nvPicPr>
                  <pic:blipFill>
                    <a:blip r:embed="rId8"/>
                    <a:stretch>
                      <a:fillRect/>
                    </a:stretch>
                  </pic:blipFill>
                  <pic:spPr bwMode="auto">
                    <a:xfrm>
                      <a:off x="0" y="0"/>
                      <a:ext cx="5623005" cy="7589520"/>
                    </a:xfrm>
                    <a:prstGeom prst="rect">
                      <a:avLst/>
                    </a:prstGeom>
                  </pic:spPr>
                </pic:pic>
              </a:graphicData>
            </a:graphic>
          </wp:inline>
        </w:drawing>
      </w:r>
    </w:p>
    <w:p w14:paraId="1ACB18AD" w14:textId="77777777" w:rsidR="007B515B" w:rsidRDefault="007B515B" w:rsidP="007B515B">
      <w:pPr>
        <w:keepLines/>
        <w:rPr>
          <w:rFonts w:ascii="Times New Roman" w:hAnsi="Times New Roman" w:cs="Times New Roman"/>
          <w:sz w:val="20"/>
          <w:szCs w:val="20"/>
        </w:rPr>
      </w:pPr>
      <w:r>
        <w:rPr>
          <w:rFonts w:ascii="Times New Roman" w:hAnsi="Times New Roman" w:cs="Times New Roman"/>
          <w:b/>
          <w:bCs/>
          <w:sz w:val="20"/>
          <w:szCs w:val="20"/>
        </w:rPr>
        <w:lastRenderedPageBreak/>
        <w:t>Extended Data Fig. 5 | Extracellular matrix and renal proximal tubule proteins, plotted and annotated as in Extended Data Fig. 1.</w:t>
      </w:r>
      <w:r>
        <w:rPr>
          <w:rFonts w:ascii="Times New Roman" w:hAnsi="Times New Roman" w:cs="Times New Roman"/>
          <w:sz w:val="20"/>
          <w:szCs w:val="20"/>
        </w:rPr>
        <w:t xml:space="preserve"> </w:t>
      </w:r>
      <w:r>
        <w:rPr>
          <w:rFonts w:ascii="Times New Roman" w:hAnsi="Times New Roman" w:cs="Times New Roman"/>
          <w:b/>
          <w:bCs/>
          <w:sz w:val="20"/>
          <w:szCs w:val="20"/>
        </w:rPr>
        <w:t>a–g</w:t>
      </w:r>
      <w:r>
        <w:rPr>
          <w:rFonts w:ascii="Times New Roman" w:hAnsi="Times New Roman" w:cs="Times New Roman"/>
          <w:sz w:val="20"/>
          <w:szCs w:val="20"/>
        </w:rPr>
        <w:t xml:space="preserve">, α-smooth muscle actin, E-cadherin, collagens I and III, fibronectin, matrix metalloproteinase 9 and vimentin. </w:t>
      </w:r>
      <w:r>
        <w:rPr>
          <w:rFonts w:ascii="Times New Roman" w:hAnsi="Times New Roman" w:cs="Times New Roman"/>
          <w:b/>
          <w:bCs/>
          <w:sz w:val="20"/>
          <w:szCs w:val="20"/>
        </w:rPr>
        <w:t>h–o</w:t>
      </w:r>
      <w:r>
        <w:rPr>
          <w:rFonts w:ascii="Times New Roman" w:hAnsi="Times New Roman" w:cs="Times New Roman"/>
          <w:sz w:val="20"/>
          <w:szCs w:val="20"/>
        </w:rPr>
        <w:t>, Cubilin, disabled-2, IGFBP7, megalin, latexin, NaPi-IIa (SLC34A1), SGLT2 (SLC5A2) and transthyretin.</w:t>
      </w:r>
    </w:p>
    <w:p w14:paraId="7C7E5686" w14:textId="77777777" w:rsidR="007B515B" w:rsidRDefault="007B515B" w:rsidP="007B515B">
      <w:pPr>
        <w:rPr>
          <w:rFonts w:ascii="Times New Roman" w:hAnsi="Times New Roman" w:cs="Times New Roman"/>
          <w:i/>
          <w:sz w:val="20"/>
          <w:szCs w:val="20"/>
        </w:rPr>
      </w:pPr>
    </w:p>
    <w:p w14:paraId="15CA3CEE" w14:textId="77777777" w:rsidR="007B515B" w:rsidRDefault="007B515B" w:rsidP="007B515B">
      <w:pPr>
        <w:keepNext/>
        <w:spacing w:after="0" w:line="240" w:lineRule="auto"/>
        <w:rPr>
          <w:rFonts w:ascii="Times New Roman" w:hAnsi="Times New Roman" w:cs="Times New Roman"/>
          <w:sz w:val="20"/>
          <w:szCs w:val="20"/>
        </w:rPr>
      </w:pPr>
      <w:r>
        <w:rPr>
          <w:noProof/>
        </w:rPr>
        <w:lastRenderedPageBreak/>
        <w:drawing>
          <wp:inline distT="0" distB="0" distL="0" distR="0" wp14:anchorId="6B9E9E21" wp14:editId="3F255917">
            <wp:extent cx="5729712" cy="758952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a:picLocks noChangeAspect="1" noChangeArrowheads="1"/>
                    </pic:cNvPicPr>
                  </pic:nvPicPr>
                  <pic:blipFill>
                    <a:blip r:embed="rId9"/>
                    <a:stretch>
                      <a:fillRect/>
                    </a:stretch>
                  </pic:blipFill>
                  <pic:spPr bwMode="auto">
                    <a:xfrm>
                      <a:off x="0" y="0"/>
                      <a:ext cx="5729712" cy="7589520"/>
                    </a:xfrm>
                    <a:prstGeom prst="rect">
                      <a:avLst/>
                    </a:prstGeom>
                  </pic:spPr>
                </pic:pic>
              </a:graphicData>
            </a:graphic>
          </wp:inline>
        </w:drawing>
      </w:r>
    </w:p>
    <w:p w14:paraId="0A903FD2" w14:textId="77777777" w:rsidR="007B515B" w:rsidRDefault="007B515B" w:rsidP="007B515B">
      <w:pPr>
        <w:keepLines/>
        <w:rPr>
          <w:rFonts w:ascii="Times New Roman" w:hAnsi="Times New Roman" w:cs="Times New Roman"/>
          <w:sz w:val="20"/>
          <w:szCs w:val="20"/>
        </w:rPr>
      </w:pPr>
      <w:r>
        <w:rPr>
          <w:rFonts w:ascii="Times New Roman" w:hAnsi="Times New Roman" w:cs="Times New Roman"/>
          <w:b/>
          <w:bCs/>
          <w:sz w:val="20"/>
          <w:szCs w:val="20"/>
        </w:rPr>
        <w:lastRenderedPageBreak/>
        <w:t>Extended Data Fig. 6 | Metabolism, chaperone and cellular-stress proteins, plotted and annotated as in Extended Data Fig. 1.</w:t>
      </w:r>
      <w:r>
        <w:rPr>
          <w:rFonts w:ascii="Times New Roman" w:hAnsi="Times New Roman" w:cs="Times New Roman"/>
          <w:sz w:val="20"/>
          <w:szCs w:val="20"/>
        </w:rPr>
        <w:t xml:space="preserve"> </w:t>
      </w:r>
      <w:r>
        <w:rPr>
          <w:rFonts w:ascii="Times New Roman" w:hAnsi="Times New Roman" w:cs="Times New Roman"/>
          <w:b/>
          <w:bCs/>
          <w:sz w:val="20"/>
          <w:szCs w:val="20"/>
        </w:rPr>
        <w:t>a–q</w:t>
      </w:r>
      <w:r>
        <w:rPr>
          <w:rFonts w:ascii="Times New Roman" w:hAnsi="Times New Roman" w:cs="Times New Roman"/>
          <w:sz w:val="20"/>
          <w:szCs w:val="20"/>
        </w:rPr>
        <w:t>, ADP-glucokinase, NADPH oxidase 2, DNAJC10, dynein light chain 2, glutathione peroxidase 1, FIH-1, heme oxygenase-1, HSP90α, HSP90β, endoplasmin, GRP78/BiP, KCMF1, lactate dehydrogenase A, NMD3, phosphoglycerate kinase 1, iPLA2β and superoxide dismutase 1.</w:t>
      </w:r>
    </w:p>
    <w:p w14:paraId="5AED0818" w14:textId="77777777" w:rsidR="007B515B" w:rsidRDefault="007B515B" w:rsidP="007B515B">
      <w:pPr>
        <w:rPr>
          <w:rFonts w:ascii="Times New Roman" w:hAnsi="Times New Roman" w:cs="Times New Roman"/>
          <w:i/>
          <w:sz w:val="20"/>
          <w:szCs w:val="20"/>
        </w:rPr>
      </w:pPr>
    </w:p>
    <w:p w14:paraId="525C7262" w14:textId="77777777" w:rsidR="007B515B" w:rsidRDefault="007B515B" w:rsidP="007B515B">
      <w:pPr>
        <w:keepNext/>
        <w:spacing w:after="0" w:line="240" w:lineRule="auto"/>
        <w:rPr>
          <w:rFonts w:ascii="Times New Roman" w:hAnsi="Times New Roman" w:cs="Times New Roman"/>
          <w:sz w:val="20"/>
          <w:szCs w:val="20"/>
        </w:rPr>
      </w:pPr>
      <w:r>
        <w:rPr>
          <w:noProof/>
        </w:rPr>
        <w:drawing>
          <wp:inline distT="0" distB="0" distL="0" distR="0" wp14:anchorId="16D7A000" wp14:editId="6921CEE7">
            <wp:extent cx="5943600" cy="6222917"/>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a:picLocks noChangeAspect="1" noChangeArrowheads="1"/>
                    </pic:cNvPicPr>
                  </pic:nvPicPr>
                  <pic:blipFill>
                    <a:blip r:embed="rId10"/>
                    <a:stretch>
                      <a:fillRect/>
                    </a:stretch>
                  </pic:blipFill>
                  <pic:spPr bwMode="auto">
                    <a:xfrm>
                      <a:off x="0" y="0"/>
                      <a:ext cx="5943600" cy="6222917"/>
                    </a:xfrm>
                    <a:prstGeom prst="rect">
                      <a:avLst/>
                    </a:prstGeom>
                  </pic:spPr>
                </pic:pic>
              </a:graphicData>
            </a:graphic>
          </wp:inline>
        </w:drawing>
      </w:r>
    </w:p>
    <w:p w14:paraId="3F9D087F" w14:textId="77777777" w:rsidR="007B515B" w:rsidRDefault="007B515B" w:rsidP="007B515B">
      <w:pPr>
        <w:keepLines/>
        <w:rPr>
          <w:rFonts w:ascii="Times New Roman" w:hAnsi="Times New Roman" w:cs="Times New Roman"/>
          <w:sz w:val="20"/>
          <w:szCs w:val="20"/>
        </w:rPr>
      </w:pPr>
      <w:r>
        <w:rPr>
          <w:rFonts w:ascii="Times New Roman" w:hAnsi="Times New Roman" w:cs="Times New Roman"/>
          <w:b/>
          <w:bCs/>
          <w:sz w:val="20"/>
          <w:szCs w:val="20"/>
        </w:rPr>
        <w:t>Extended Data Fig. 7 | Ferroptosis and lipid-peroxidation proteins, plotted and annotated as in Extended Data Fig. 1.</w:t>
      </w:r>
      <w:r>
        <w:rPr>
          <w:rFonts w:ascii="Times New Roman" w:hAnsi="Times New Roman" w:cs="Times New Roman"/>
          <w:sz w:val="20"/>
          <w:szCs w:val="20"/>
        </w:rPr>
        <w:t xml:space="preserve"> </w:t>
      </w:r>
      <w:r>
        <w:rPr>
          <w:rFonts w:ascii="Times New Roman" w:hAnsi="Times New Roman" w:cs="Times New Roman"/>
          <w:b/>
          <w:bCs/>
          <w:sz w:val="20"/>
          <w:szCs w:val="20"/>
        </w:rPr>
        <w:t>a–g</w:t>
      </w:r>
      <w:r>
        <w:rPr>
          <w:rFonts w:ascii="Times New Roman" w:hAnsi="Times New Roman" w:cs="Times New Roman"/>
          <w:sz w:val="20"/>
          <w:szCs w:val="20"/>
        </w:rPr>
        <w:t>, Long-chain acyl-CoA synthetase 4, aldo-keto reductases 1C1 and 1C3, aldehyde dehydrogenase 2, glutathione peroxidase 4, glutathione S-transferase A4 and lysophospholipid acyltransferase 3.</w:t>
      </w:r>
    </w:p>
    <w:p w14:paraId="065BC363" w14:textId="77777777" w:rsidR="007B515B" w:rsidRDefault="007B515B" w:rsidP="007B515B">
      <w:pPr>
        <w:keepNext/>
        <w:spacing w:after="0" w:line="240" w:lineRule="auto"/>
        <w:rPr>
          <w:rFonts w:ascii="Times New Roman" w:hAnsi="Times New Roman" w:cs="Times New Roman"/>
          <w:sz w:val="20"/>
          <w:szCs w:val="20"/>
        </w:rPr>
      </w:pPr>
      <w:r>
        <w:rPr>
          <w:noProof/>
        </w:rPr>
        <w:lastRenderedPageBreak/>
        <w:drawing>
          <wp:inline distT="0" distB="0" distL="0" distR="0" wp14:anchorId="510B68E1" wp14:editId="3DC36E55">
            <wp:extent cx="5943600" cy="4239731"/>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Extended Data Table 1"/>
                    <pic:cNvPicPr>
                      <a:picLocks noChangeAspect="1" noChangeArrowheads="1"/>
                    </pic:cNvPicPr>
                  </pic:nvPicPr>
                  <pic:blipFill>
                    <a:blip r:embed="rId11"/>
                    <a:stretch>
                      <a:fillRect/>
                    </a:stretch>
                  </pic:blipFill>
                  <pic:spPr bwMode="auto">
                    <a:xfrm>
                      <a:off x="0" y="0"/>
                      <a:ext cx="5943600" cy="4239731"/>
                    </a:xfrm>
                    <a:prstGeom prst="rect">
                      <a:avLst/>
                    </a:prstGeom>
                  </pic:spPr>
                </pic:pic>
              </a:graphicData>
            </a:graphic>
          </wp:inline>
        </w:drawing>
      </w:r>
    </w:p>
    <w:p w14:paraId="096358E0" w14:textId="77777777" w:rsidR="007B515B" w:rsidRDefault="007B515B" w:rsidP="007B515B">
      <w:pPr>
        <w:keepLines/>
        <w:rPr>
          <w:rFonts w:ascii="Times New Roman" w:hAnsi="Times New Roman" w:cs="Times New Roman"/>
          <w:sz w:val="20"/>
          <w:szCs w:val="20"/>
        </w:rPr>
      </w:pPr>
      <w:r>
        <w:rPr>
          <w:rFonts w:ascii="Times New Roman" w:hAnsi="Times New Roman" w:cs="Times New Roman"/>
          <w:b/>
          <w:bCs/>
          <w:sz w:val="20"/>
          <w:szCs w:val="20"/>
        </w:rPr>
        <w:t>Extended Data Table 1 | Distribution of the Strong effect-size tier across the targeted panel.</w:t>
      </w:r>
      <w:r>
        <w:rPr>
          <w:rFonts w:ascii="Times New Roman" w:hAnsi="Times New Roman" w:cs="Times New Roman"/>
          <w:sz w:val="20"/>
          <w:szCs w:val="20"/>
        </w:rPr>
        <w:t xml:space="preserve"> Each of the 93 panel proteins belongs to one of twelve pathway families; 92 had a valid between-group comparison. For each family the table gives the number of proteins in the panel, the number reaching the Strong tier (|</w:t>
      </w:r>
      <w:r>
        <w:rPr>
          <w:rFonts w:ascii="Times New Roman" w:hAnsi="Times New Roman" w:cs="Times New Roman"/>
          <w:i/>
          <w:iCs/>
          <w:sz w:val="20"/>
          <w:szCs w:val="20"/>
        </w:rPr>
        <w:t>r</w:t>
      </w:r>
      <w:r>
        <w:rPr>
          <w:rFonts w:ascii="Times New Roman" w:hAnsi="Times New Roman" w:cs="Times New Roman"/>
          <w:sz w:val="20"/>
          <w:szCs w:val="20"/>
        </w:rPr>
        <w:t>| ≥ 0.875) and the number showing complete separation (|</w:t>
      </w:r>
      <w:r>
        <w:rPr>
          <w:rFonts w:ascii="Times New Roman" w:hAnsi="Times New Roman" w:cs="Times New Roman"/>
          <w:i/>
          <w:iCs/>
          <w:sz w:val="20"/>
          <w:szCs w:val="20"/>
        </w:rPr>
        <w:t>r</w:t>
      </w:r>
      <w:r>
        <w:rPr>
          <w:rFonts w:ascii="Times New Roman" w:hAnsi="Times New Roman" w:cs="Times New Roman"/>
          <w:sz w:val="20"/>
          <w:szCs w:val="20"/>
        </w:rPr>
        <w:t xml:space="preserve">| = 1.0), and names every Strong-tier protein with the direction of change in the treated grafts. Rank-biserial correlation </w:t>
      </w:r>
      <w:r>
        <w:rPr>
          <w:rFonts w:ascii="Times New Roman" w:hAnsi="Times New Roman" w:cs="Times New Roman"/>
          <w:i/>
          <w:iCs/>
          <w:sz w:val="20"/>
          <w:szCs w:val="20"/>
        </w:rPr>
        <w:t>r</w:t>
      </w:r>
      <w:r>
        <w:rPr>
          <w:rFonts w:ascii="Times New Roman" w:hAnsi="Times New Roman" w:cs="Times New Roman"/>
          <w:sz w:val="20"/>
          <w:szCs w:val="20"/>
        </w:rPr>
        <w:t xml:space="preserve"> = 2</w:t>
      </w:r>
      <w:r>
        <w:rPr>
          <w:rFonts w:ascii="Times New Roman" w:hAnsi="Times New Roman" w:cs="Times New Roman"/>
          <w:i/>
          <w:iCs/>
          <w:sz w:val="20"/>
          <w:szCs w:val="20"/>
        </w:rPr>
        <w:t>U</w:t>
      </w:r>
      <w:r>
        <w:rPr>
          <w:rFonts w:ascii="Times New Roman" w:hAnsi="Times New Roman" w:cs="Times New Roman"/>
          <w:sz w:val="20"/>
          <w:szCs w:val="20"/>
        </w:rPr>
        <w:t>/(</w:t>
      </w:r>
      <w:r>
        <w:rPr>
          <w:rFonts w:ascii="Times New Roman" w:hAnsi="Times New Roman" w:cs="Times New Roman"/>
          <w:i/>
          <w:iCs/>
          <w:sz w:val="20"/>
          <w:szCs w:val="20"/>
        </w:rPr>
        <w:t>N</w:t>
      </w:r>
      <w:r>
        <w:rPr>
          <w:rFonts w:ascii="Times New Roman" w:hAnsi="Times New Roman" w:cs="Times New Roman"/>
          <w:sz w:val="20"/>
          <w:szCs w:val="20"/>
        </w:rPr>
        <w:t xml:space="preserve">₁ × </w:t>
      </w:r>
      <w:r>
        <w:rPr>
          <w:rFonts w:ascii="Times New Roman" w:hAnsi="Times New Roman" w:cs="Times New Roman"/>
          <w:i/>
          <w:iCs/>
          <w:sz w:val="20"/>
          <w:szCs w:val="20"/>
        </w:rPr>
        <w:t>N</w:t>
      </w:r>
      <w:r>
        <w:rPr>
          <w:rFonts w:ascii="Times New Roman" w:hAnsi="Times New Roman" w:cs="Times New Roman"/>
          <w:sz w:val="20"/>
          <w:szCs w:val="20"/>
        </w:rPr>
        <w:t xml:space="preserve">₂) − 1 was computed from the exact Mann–Whitney test of the change from Start to 3Mo at four kidneys per group, so </w:t>
      </w:r>
      <w:r>
        <w:rPr>
          <w:rFonts w:ascii="Times New Roman" w:hAnsi="Times New Roman" w:cs="Times New Roman"/>
          <w:i/>
          <w:iCs/>
          <w:sz w:val="20"/>
          <w:szCs w:val="20"/>
        </w:rPr>
        <w:t>r</w:t>
      </w:r>
      <w:r>
        <w:rPr>
          <w:rFonts w:ascii="Times New Roman" w:hAnsi="Times New Roman" w:cs="Times New Roman"/>
          <w:sz w:val="20"/>
          <w:szCs w:val="20"/>
        </w:rPr>
        <w:t xml:space="preserve"> takes seventeen discrete values. The Strong tier is absent from the fibrin(ogen) and ferroptosis families and concentrates in the erythrocyte, iron, neutrophil, complement and metabolic/chaperone families. Values for every protein are given in Supplementary Table S18 and Figure 6.</w:t>
      </w:r>
    </w:p>
    <w:p w14:paraId="44CB9750" w14:textId="43554DC9" w:rsidR="00DE6AE2" w:rsidRDefault="007B515B" w:rsidP="007B515B">
      <w:r>
        <w:br w:type="page"/>
      </w:r>
    </w:p>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15B"/>
    <w:rsid w:val="00195413"/>
    <w:rsid w:val="003A03A7"/>
    <w:rsid w:val="003D0186"/>
    <w:rsid w:val="005D4A61"/>
    <w:rsid w:val="007278E4"/>
    <w:rsid w:val="007B515B"/>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37B0"/>
  <w15:chartTrackingRefBased/>
  <w15:docId w15:val="{959D409E-8592-4141-9D5B-5BE3351B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15B"/>
    <w:pPr>
      <w:suppressAutoHyphens/>
      <w:spacing w:line="276" w:lineRule="auto"/>
    </w:pPr>
  </w:style>
  <w:style w:type="paragraph" w:styleId="Heading1">
    <w:name w:val="heading 1"/>
    <w:basedOn w:val="Normal"/>
    <w:next w:val="Normal"/>
    <w:link w:val="Heading1Char"/>
    <w:uiPriority w:val="9"/>
    <w:qFormat/>
    <w:rsid w:val="007B515B"/>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15B"/>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515B"/>
    <w:pPr>
      <w:keepNext/>
      <w:keepLines/>
      <w:suppressAutoHyphens w:val="0"/>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15B"/>
    <w:pPr>
      <w:keepNext/>
      <w:keepLines/>
      <w:suppressAutoHyphens w:val="0"/>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515B"/>
    <w:pPr>
      <w:keepNext/>
      <w:keepLines/>
      <w:suppressAutoHyphens w:val="0"/>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515B"/>
    <w:pPr>
      <w:keepNext/>
      <w:keepLines/>
      <w:suppressAutoHyphens w:val="0"/>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15B"/>
    <w:pPr>
      <w:keepNext/>
      <w:keepLines/>
      <w:suppressAutoHyphens w:val="0"/>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15B"/>
    <w:pPr>
      <w:keepNext/>
      <w:keepLines/>
      <w:suppressAutoHyphens w:val="0"/>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15B"/>
    <w:pPr>
      <w:keepNext/>
      <w:keepLines/>
      <w:suppressAutoHyphens w:val="0"/>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15B"/>
    <w:rPr>
      <w:rFonts w:eastAsiaTheme="majorEastAsia" w:cstheme="majorBidi"/>
      <w:color w:val="272727" w:themeColor="text1" w:themeTint="D8"/>
    </w:rPr>
  </w:style>
  <w:style w:type="paragraph" w:styleId="Title">
    <w:name w:val="Title"/>
    <w:basedOn w:val="Normal"/>
    <w:next w:val="Normal"/>
    <w:link w:val="TitleChar"/>
    <w:uiPriority w:val="10"/>
    <w:qFormat/>
    <w:rsid w:val="007B515B"/>
    <w:pPr>
      <w:suppressAutoHyphens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15B"/>
    <w:pPr>
      <w:numPr>
        <w:ilvl w:val="1"/>
      </w:numPr>
      <w:suppressAutoHyphens w:val="0"/>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15B"/>
    <w:pPr>
      <w:suppressAutoHyphens w:val="0"/>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7B515B"/>
    <w:rPr>
      <w:i/>
      <w:iCs/>
      <w:color w:val="404040" w:themeColor="text1" w:themeTint="BF"/>
    </w:rPr>
  </w:style>
  <w:style w:type="paragraph" w:styleId="ListParagraph">
    <w:name w:val="List Paragraph"/>
    <w:basedOn w:val="Normal"/>
    <w:uiPriority w:val="34"/>
    <w:qFormat/>
    <w:rsid w:val="007B515B"/>
    <w:pPr>
      <w:suppressAutoHyphens w:val="0"/>
      <w:spacing w:line="278" w:lineRule="auto"/>
      <w:ind w:left="720"/>
      <w:contextualSpacing/>
    </w:pPr>
  </w:style>
  <w:style w:type="character" w:styleId="IntenseEmphasis">
    <w:name w:val="Intense Emphasis"/>
    <w:basedOn w:val="DefaultParagraphFont"/>
    <w:uiPriority w:val="21"/>
    <w:qFormat/>
    <w:rsid w:val="007B515B"/>
    <w:rPr>
      <w:i/>
      <w:iCs/>
      <w:color w:val="0F4761" w:themeColor="accent1" w:themeShade="BF"/>
    </w:rPr>
  </w:style>
  <w:style w:type="paragraph" w:styleId="IntenseQuote">
    <w:name w:val="Intense Quote"/>
    <w:basedOn w:val="Normal"/>
    <w:next w:val="Normal"/>
    <w:link w:val="IntenseQuoteChar"/>
    <w:uiPriority w:val="30"/>
    <w:qFormat/>
    <w:rsid w:val="007B515B"/>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15B"/>
    <w:rPr>
      <w:i/>
      <w:iCs/>
      <w:color w:val="0F4761" w:themeColor="accent1" w:themeShade="BF"/>
    </w:rPr>
  </w:style>
  <w:style w:type="character" w:styleId="IntenseReference">
    <w:name w:val="Intense Reference"/>
    <w:basedOn w:val="DefaultParagraphFont"/>
    <w:uiPriority w:val="32"/>
    <w:qFormat/>
    <w:rsid w:val="007B51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image" Target="media/image8.tif"/><Relationship Id="rId5" Type="http://schemas.openxmlformats.org/officeDocument/2006/relationships/image" Target="media/image2.tif"/><Relationship Id="rId10" Type="http://schemas.openxmlformats.org/officeDocument/2006/relationships/image" Target="media/image7.tif"/><Relationship Id="rId4" Type="http://schemas.openxmlformats.org/officeDocument/2006/relationships/image" Target="media/image1.tif"/><Relationship Id="rId9" Type="http://schemas.openxmlformats.org/officeDocument/2006/relationships/image" Target="media/image6.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661</Words>
  <Characters>3771</Characters>
  <Application>Microsoft Office Word</Application>
  <DocSecurity>0</DocSecurity>
  <Lines>31</Lines>
  <Paragraphs>8</Paragraphs>
  <ScaleCrop>false</ScaleCrop>
  <Company>Springer Nature</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2026-09-11T07:12:00Z</dcterms:created>
  <dcterms:modified xsi:type="dcterms:W3CDTF">2026-09-11T07:12:00Z</dcterms:modified>
</cp:coreProperties>
</file>