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b/>
          <w:sz w:val="30"/>
        </w:rPr>
        <w:t>Supplementary Information Guide</w:t>
      </w:r>
    </w:p>
    <w:p>
      <w:pPr>
        <w:spacing w:after="80"/>
        <w:ind w:left="0"/>
        <w:jc w:val="both"/>
      </w:pPr>
      <w:r>
        <w:rPr>
          <w:sz w:val="21"/>
        </w:rPr>
        <w:t>Proteomic characterization of thrombolytic ex-vivo machine perfusion in an extended uDCD porcine kidney model</w:t>
      </w:r>
    </w:p>
    <w:p>
      <w:pPr>
        <w:spacing w:after="80"/>
        <w:ind w:left="0"/>
        <w:jc w:val="both"/>
      </w:pPr>
      <w:r>
        <w:rPr>
          <w:sz w:val="21"/>
        </w:rPr>
        <w:t>This Guide lists the Supplementary Information files and, separately, the Source Data files, which Nature treats as a different category and which are uploaded against their figures rather than as Supplementary Information.</w:t>
      </w:r>
    </w:p>
    <w:p>
      <w:pPr>
        <w:spacing w:before="200" w:after="80"/>
      </w:pPr>
      <w:r>
        <w:rPr>
          <w:b/>
          <w:sz w:val="26"/>
        </w:rPr>
        <w:t>1. Supplementary Information files</w:t>
      </w:r>
    </w:p>
    <w:p>
      <w:pPr>
        <w:spacing w:after="60"/>
        <w:ind w:left="1417" w:hanging="1417"/>
      </w:pPr>
      <w:r>
        <w:rPr>
          <w:b/>
          <w:sz w:val="21"/>
        </w:rPr>
        <w:t xml:space="preserve">Supplementary Methods  </w:t>
      </w:r>
      <w:r>
        <w:rPr>
          <w:sz w:val="21"/>
        </w:rPr>
        <w:t>A single document, six sections: the perfusion-circuit devices and consumables; perfusate blood-gas monitoring; the perfusate hemoglobin, methemoglobin, hematocrit and lactate measurements, with the flush confound that limits two of the between-group comparisons; flush volumes and pre-machine handling; the construction of the matrix used for the principal component analysis of Figure 1c, including the inter-set concordance of the bridging channels; and the statistical and bioinformatic procedures in full, as implemented in the deposited R scripts, including the convention applied where the reference proteome contains more than one entry for a gene.</w:t>
      </w:r>
    </w:p>
    <w:p>
      <w:pPr>
        <w:spacing w:after="60"/>
        <w:ind w:left="1417" w:hanging="1417"/>
      </w:pPr>
      <w:r>
        <w:rPr>
          <w:b/>
          <w:sz w:val="21"/>
        </w:rPr>
        <w:t xml:space="preserve">Supplementary Tables S1–S22  </w:t>
      </w:r>
      <w:r>
        <w:rPr>
          <w:sz w:val="21"/>
        </w:rPr>
        <w:t>One Excel workbook, one worksheet per table in document order, 3,272 data rows in total. The workbook opens on a READ ME sheet giving the sheet index, the provenance of each table, the inclusion criteria, the normalization and the small-sample limits. Three further sheets carry per-kidney source data, and four optional sheets place a small figure beside each protein’s statistics. Titles and row counts:</w:t>
      </w:r>
    </w:p>
    <w:p>
      <w:pPr>
        <w:spacing w:after="60"/>
        <w:ind w:left="1417" w:hanging="1417"/>
      </w:pPr>
      <w:r>
        <w:rPr>
          <w:b/>
          <w:sz w:val="21"/>
        </w:rPr>
        <w:t xml:space="preserve">   Table S1  </w:t>
      </w:r>
      <w:r>
        <w:rPr>
          <w:sz w:val="21"/>
        </w:rPr>
        <w:t>Up-regulated proteins in the study group, three months versus baseline (324 rows).</w:t>
      </w:r>
    </w:p>
    <w:p>
      <w:pPr>
        <w:spacing w:after="60"/>
        <w:ind w:left="1417" w:hanging="1417"/>
      </w:pPr>
      <w:r>
        <w:rPr>
          <w:b/>
          <w:sz w:val="21"/>
        </w:rPr>
        <w:t xml:space="preserve">   Table S2  </w:t>
      </w:r>
      <w:r>
        <w:rPr>
          <w:sz w:val="21"/>
        </w:rPr>
        <w:t>Down-regulated proteins in the study group, three months versus baseline (363 rows).</w:t>
      </w:r>
    </w:p>
    <w:p>
      <w:pPr>
        <w:spacing w:after="60"/>
        <w:ind w:left="1417" w:hanging="1417"/>
      </w:pPr>
      <w:r>
        <w:rPr>
          <w:b/>
          <w:sz w:val="21"/>
        </w:rPr>
        <w:t xml:space="preserve">   Table S3  </w:t>
      </w:r>
      <w:r>
        <w:rPr>
          <w:sz w:val="21"/>
        </w:rPr>
        <w:t>Up-regulated proteins in the live donor transplanted control group, three months versus baseline (58 rows).</w:t>
      </w:r>
    </w:p>
    <w:p>
      <w:pPr>
        <w:spacing w:after="60"/>
        <w:ind w:left="1417" w:hanging="1417"/>
      </w:pPr>
      <w:r>
        <w:rPr>
          <w:b/>
          <w:sz w:val="21"/>
        </w:rPr>
        <w:t xml:space="preserve">   Table S4  </w:t>
      </w:r>
      <w:r>
        <w:rPr>
          <w:sz w:val="21"/>
        </w:rPr>
        <w:t>Down-regulated proteins in the live donor transplanted control group, three months versus baseline (34 rows).</w:t>
      </w:r>
    </w:p>
    <w:p>
      <w:pPr>
        <w:spacing w:after="60"/>
        <w:ind w:left="1417" w:hanging="1417"/>
      </w:pPr>
      <w:r>
        <w:rPr>
          <w:b/>
          <w:sz w:val="21"/>
        </w:rPr>
        <w:t xml:space="preserve">   Table S5  </w:t>
      </w:r>
      <w:r>
        <w:rPr>
          <w:sz w:val="21"/>
        </w:rPr>
        <w:t>Up-regulated proteins in the ratio comparison, study versus control (220 rows).</w:t>
      </w:r>
    </w:p>
    <w:p>
      <w:pPr>
        <w:spacing w:after="60"/>
        <w:ind w:left="1417" w:hanging="1417"/>
      </w:pPr>
      <w:r>
        <w:rPr>
          <w:b/>
          <w:sz w:val="21"/>
        </w:rPr>
        <w:t xml:space="preserve">   Table S6  </w:t>
      </w:r>
      <w:r>
        <w:rPr>
          <w:sz w:val="21"/>
        </w:rPr>
        <w:t>Down-regulated proteins in the ratio comparison, study versus control (311 rows).</w:t>
      </w:r>
    </w:p>
    <w:p>
      <w:pPr>
        <w:spacing w:after="60"/>
        <w:ind w:left="1417" w:hanging="1417"/>
      </w:pPr>
      <w:r>
        <w:rPr>
          <w:b/>
          <w:sz w:val="21"/>
        </w:rPr>
        <w:t xml:space="preserve">   Table S7  </w:t>
      </w:r>
      <w:r>
        <w:rPr>
          <w:sz w:val="21"/>
        </w:rPr>
        <w:t>Proteins showing the greatest increases at three months (50 rows).</w:t>
      </w:r>
    </w:p>
    <w:p>
      <w:pPr>
        <w:spacing w:after="60"/>
        <w:ind w:left="1417" w:hanging="1417"/>
      </w:pPr>
      <w:r>
        <w:rPr>
          <w:b/>
          <w:sz w:val="21"/>
        </w:rPr>
        <w:t xml:space="preserve">   Table S8  </w:t>
      </w:r>
      <w:r>
        <w:rPr>
          <w:sz w:val="21"/>
        </w:rPr>
        <w:t>Proteins showing the greatest decreases at three months (50 rows).</w:t>
      </w:r>
    </w:p>
    <w:p>
      <w:pPr>
        <w:spacing w:after="60"/>
        <w:ind w:left="1417" w:hanging="1417"/>
      </w:pPr>
      <w:r>
        <w:rPr>
          <w:b/>
          <w:sz w:val="21"/>
        </w:rPr>
        <w:t xml:space="preserve">   Table S9  </w:t>
      </w:r>
      <w:r>
        <w:rPr>
          <w:sz w:val="21"/>
        </w:rPr>
        <w:t>Gene-set enrichment over GO Biological Process terms, study group longitudinally (133 rows).</w:t>
      </w:r>
    </w:p>
    <w:p>
      <w:pPr>
        <w:spacing w:after="60"/>
        <w:ind w:left="1417" w:hanging="1417"/>
      </w:pPr>
      <w:r>
        <w:rPr>
          <w:b/>
          <w:sz w:val="21"/>
        </w:rPr>
        <w:t xml:space="preserve">   Table S10  </w:t>
      </w:r>
      <w:r>
        <w:rPr>
          <w:sz w:val="21"/>
        </w:rPr>
        <w:t>Gene-set enrichment over Reactome pathways, study group longitudinally (111 rows).</w:t>
      </w:r>
    </w:p>
    <w:p>
      <w:pPr>
        <w:spacing w:after="60"/>
        <w:ind w:left="1417" w:hanging="1417"/>
      </w:pPr>
      <w:r>
        <w:rPr>
          <w:b/>
          <w:sz w:val="21"/>
        </w:rPr>
        <w:t xml:space="preserve">   Table S11  </w:t>
      </w:r>
      <w:r>
        <w:rPr>
          <w:sz w:val="21"/>
        </w:rPr>
        <w:t>Gene-set enrichment over GO Biological Process terms, ratio comparison (79 rows).</w:t>
      </w:r>
    </w:p>
    <w:p>
      <w:pPr>
        <w:spacing w:after="60"/>
        <w:ind w:left="1417" w:hanging="1417"/>
      </w:pPr>
      <w:r>
        <w:rPr>
          <w:b/>
          <w:sz w:val="21"/>
        </w:rPr>
        <w:t xml:space="preserve">   Table S12  </w:t>
      </w:r>
      <w:r>
        <w:rPr>
          <w:sz w:val="21"/>
        </w:rPr>
        <w:t>Gene-set enrichment over Reactome pathways, ratio comparison (84 rows).</w:t>
      </w:r>
    </w:p>
    <w:p>
      <w:pPr>
        <w:spacing w:after="60"/>
        <w:ind w:left="1417" w:hanging="1417"/>
      </w:pPr>
      <w:r>
        <w:rPr>
          <w:b/>
          <w:sz w:val="21"/>
        </w:rPr>
        <w:t xml:space="preserve">   Table S13  </w:t>
      </w:r>
      <w:r>
        <w:rPr>
          <w:sz w:val="21"/>
        </w:rPr>
        <w:t>STRING MCL clusters among the 250 most up-regulated proteins of the study group, three months versus baseline (38 rows).</w:t>
      </w:r>
    </w:p>
    <w:p>
      <w:pPr>
        <w:spacing w:after="60"/>
        <w:ind w:left="1417" w:hanging="1417"/>
      </w:pPr>
      <w:r>
        <w:rPr>
          <w:b/>
          <w:sz w:val="21"/>
        </w:rPr>
        <w:t xml:space="preserve">   Table S14  </w:t>
      </w:r>
      <w:r>
        <w:rPr>
          <w:sz w:val="21"/>
        </w:rPr>
        <w:t>STRING MCL clusters among the 250 most up-regulated proteins of the ratio comparison, study versus control (22 rows).</w:t>
      </w:r>
    </w:p>
    <w:p>
      <w:pPr>
        <w:spacing w:after="60"/>
        <w:ind w:left="1417" w:hanging="1417"/>
      </w:pPr>
      <w:r>
        <w:rPr>
          <w:b/>
          <w:sz w:val="21"/>
        </w:rPr>
        <w:t xml:space="preserve">   Table S15  </w:t>
      </w:r>
      <w:r>
        <w:rPr>
          <w:sz w:val="21"/>
        </w:rPr>
        <w:t>Color key for the twelve pathway groups used in Supplementary Tables S16–S18, S20 and S22 (twelve groups).</w:t>
      </w:r>
    </w:p>
    <w:p>
      <w:pPr>
        <w:spacing w:after="60"/>
        <w:ind w:left="1417" w:hanging="1417"/>
      </w:pPr>
      <w:r>
        <w:rPr>
          <w:b/>
          <w:sz w:val="21"/>
        </w:rPr>
        <w:t xml:space="preserve">   Table S16  </w:t>
      </w:r>
      <w:r>
        <w:rPr>
          <w:sz w:val="21"/>
        </w:rPr>
        <w:t>Five-timepoint Friedman test for each of the 93 targeted proteins (93 rows).</w:t>
      </w:r>
    </w:p>
    <w:p>
      <w:pPr>
        <w:spacing w:after="60"/>
        <w:ind w:left="1417" w:hanging="1417"/>
      </w:pPr>
      <w:r>
        <w:rPr>
          <w:b/>
          <w:sz w:val="21"/>
        </w:rPr>
        <w:t xml:space="preserve">   Table S17  </w:t>
      </w:r>
      <w:r>
        <w:rPr>
          <w:sz w:val="21"/>
        </w:rPr>
        <w:t>Perfusion-window Friedman test (Start to EOW) for each of the 93 targeted proteins (93 rows).</w:t>
      </w:r>
    </w:p>
    <w:p>
      <w:pPr>
        <w:spacing w:after="60"/>
        <w:ind w:left="1417" w:hanging="1417"/>
      </w:pPr>
      <w:r>
        <w:rPr>
          <w:b/>
          <w:sz w:val="21"/>
        </w:rPr>
        <w:t xml:space="preserve">   Table S18  </w:t>
      </w:r>
      <w:r>
        <w:rPr>
          <w:sz w:val="21"/>
        </w:rPr>
        <w:t>Effect sizes for the between-group comparison of the three-month minus Start change (93 rows).</w:t>
      </w:r>
    </w:p>
    <w:p>
      <w:pPr>
        <w:spacing w:after="60"/>
        <w:ind w:left="1417" w:hanging="1417"/>
      </w:pPr>
      <w:r>
        <w:rPr>
          <w:b/>
          <w:sz w:val="21"/>
        </w:rPr>
        <w:t xml:space="preserve">   Table S19  </w:t>
      </w:r>
      <w:r>
        <w:rPr>
          <w:sz w:val="21"/>
        </w:rPr>
        <w:t>Perfusate hemoglobin, methemoglobin, hematocrit and lactate during ex-vivo machine perfusion (three groups, 35 animals, four measures).</w:t>
      </w:r>
    </w:p>
    <w:p>
      <w:pPr>
        <w:spacing w:after="60"/>
        <w:ind w:left="1417" w:hanging="1417"/>
      </w:pPr>
      <w:r>
        <w:rPr>
          <w:b/>
          <w:sz w:val="21"/>
        </w:rPr>
        <w:t xml:space="preserve">   Table S20  </w:t>
      </w:r>
      <w:r>
        <w:rPr>
          <w:sz w:val="21"/>
        </w:rPr>
        <w:t>Composition of the targeted 93-protein panel by pathway group (93 rows).</w:t>
      </w:r>
    </w:p>
    <w:p>
      <w:pPr>
        <w:spacing w:after="60"/>
        <w:ind w:left="1417" w:hanging="1417"/>
      </w:pPr>
      <w:r>
        <w:rPr>
          <w:b/>
          <w:sz w:val="21"/>
        </w:rPr>
        <w:t xml:space="preserve">   Table S21  </w:t>
      </w:r>
      <w:r>
        <w:rPr>
          <w:sz w:val="21"/>
        </w:rPr>
        <w:t>Pairwise Durbin–Conover comparisons for all 93 targeted proteins (subtables S21.1–S21.93, long format) (930 rows).</w:t>
      </w:r>
    </w:p>
    <w:p>
      <w:pPr>
        <w:spacing w:after="60"/>
        <w:ind w:left="1417" w:hanging="1417"/>
      </w:pPr>
      <w:r>
        <w:rPr>
          <w:b/>
          <w:sz w:val="21"/>
        </w:rPr>
        <w:t xml:space="preserve">   Table S22  </w:t>
      </w:r>
      <w:r>
        <w:rPr>
          <w:sz w:val="21"/>
        </w:rPr>
        <w:t>Between-group Mann–Whitney U test of the three-month minus Start change, study versus control (93 rows).</w:t>
      </w:r>
    </w:p>
    <w:p>
      <w:pPr>
        <w:spacing w:after="60"/>
        <w:ind w:left="1417" w:hanging="1417"/>
      </w:pPr>
      <w:r>
        <w:rPr>
          <w:b/>
          <w:sz w:val="21"/>
        </w:rPr>
        <w:t xml:space="preserve">   SourceData_S19  </w:t>
      </w:r>
      <w:r>
        <w:rPr>
          <w:sz w:val="21"/>
        </w:rPr>
        <w:t>Every individual perfusate reading behind Table S19 (1,520 rows).</w:t>
      </w:r>
    </w:p>
    <w:p>
      <w:pPr>
        <w:spacing w:after="60"/>
        <w:ind w:left="1417" w:hanging="1417"/>
      </w:pPr>
      <w:r>
        <w:rPr>
          <w:b/>
          <w:sz w:val="21"/>
        </w:rPr>
        <w:t xml:space="preserve">   SourceData_5TP  </w:t>
      </w:r>
      <w:r>
        <w:rPr>
          <w:sz w:val="21"/>
        </w:rPr>
        <w:t>Per-kidney log2 abundance, protein by kidney by timepoint (1,860 rows).</w:t>
      </w:r>
    </w:p>
    <w:p>
      <w:pPr>
        <w:spacing w:after="60"/>
        <w:ind w:left="1417" w:hanging="1417"/>
      </w:pPr>
      <w:r>
        <w:rPr>
          <w:b/>
          <w:sz w:val="21"/>
        </w:rPr>
        <w:t xml:space="preserve">   SourceData_BetweenGroup  </w:t>
      </w:r>
      <w:r>
        <w:rPr>
          <w:sz w:val="21"/>
        </w:rPr>
        <w:t>Per-kidney three-months-minus-Start log2 change, eight kidneys by 93 proteins.</w:t>
      </w:r>
    </w:p>
    <w:p>
      <w:pPr>
        <w:spacing w:before="200" w:after="80"/>
      </w:pPr>
      <w:r>
        <w:rPr>
          <w:b/>
          <w:sz w:val="26"/>
        </w:rPr>
        <w:t>2. Source Data files</w:t>
      </w:r>
    </w:p>
    <w:p>
      <w:pPr>
        <w:spacing w:after="80"/>
        <w:ind w:left="0"/>
        <w:jc w:val="both"/>
      </w:pPr>
      <w:r>
        <w:rPr>
          <w:sz w:val="21"/>
        </w:rPr>
        <w:t>Uploaded against the figure they support, not as Supplementary Information. Every figure that plots values has one; each workbook opens on a README sheet stating its provenance and contains no formulas.</w:t>
      </w:r>
    </w:p>
    <w:p>
      <w:pPr>
        <w:spacing w:after="60"/>
        <w:ind w:left="1417" w:hanging="1417"/>
      </w:pPr>
      <w:r>
        <w:rPr>
          <w:b/>
          <w:sz w:val="21"/>
        </w:rPr>
        <w:t xml:space="preserve">Figure 1  </w:t>
      </w:r>
      <w:r>
        <w:rPr>
          <w:sz w:val="21"/>
        </w:rPr>
        <w:t>PC1 and PC2 score of every biopsy with the variance explained (panel c), and the per-event mean and centered value of all 93 panel proteins (panel d). Panels a and b plot no data.</w:t>
      </w:r>
    </w:p>
    <w:p>
      <w:pPr>
        <w:spacing w:after="60"/>
        <w:ind w:left="1417" w:hanging="1417"/>
      </w:pPr>
      <w:r>
        <w:rPr>
          <w:b/>
          <w:sz w:val="21"/>
        </w:rPr>
        <w:t xml:space="preserve">Figure 2  </w:t>
      </w:r>
      <w:r>
        <w:rPr>
          <w:sz w:val="21"/>
        </w:rPr>
        <w:t>One sheet per volcano panel, one row per plotted point — every tested protein, not only the differentially expressed — with fold change, P, q, color family, assignment rule, label decision and peptide support.</w:t>
      </w:r>
    </w:p>
    <w:p>
      <w:pPr>
        <w:spacing w:after="60"/>
        <w:ind w:left="1417" w:hanging="1417"/>
      </w:pPr>
      <w:r>
        <w:rPr>
          <w:b/>
          <w:sz w:val="21"/>
        </w:rPr>
        <w:t xml:space="preserve">Figure 3  </w:t>
      </w:r>
      <w:r>
        <w:rPr>
          <w:sz w:val="21"/>
        </w:rPr>
        <w:t>The gene sets actually drawn, after collapse of sets sharing more than half of their core enrichment genes, with the genes and fold changes of every gene-concept network node.</w:t>
      </w:r>
    </w:p>
    <w:p>
      <w:pPr>
        <w:spacing w:after="60"/>
        <w:ind w:left="1417" w:hanging="1417"/>
      </w:pPr>
      <w:r>
        <w:rPr>
          <w:b/>
          <w:sz w:val="21"/>
        </w:rPr>
        <w:t xml:space="preserve">Figure 4  </w:t>
      </w:r>
      <w:r>
        <w:rPr>
          <w:sz w:val="21"/>
        </w:rPr>
        <w:t>Three node sheets and three edge sheets for the network panels, the edges carrying the combined interaction score that edge thickness encodes, plus the enrichment tables for panels d and e and the ratio-comparison counterpart.</w:t>
      </w:r>
    </w:p>
    <w:p>
      <w:pPr>
        <w:spacing w:after="60"/>
        <w:ind w:left="1417" w:hanging="1417"/>
      </w:pPr>
      <w:r>
        <w:rPr>
          <w:b/>
          <w:sz w:val="21"/>
        </w:rPr>
        <w:t xml:space="preserve">Figure 5  </w:t>
      </w:r>
      <w:r>
        <w:rPr>
          <w:sz w:val="21"/>
        </w:rPr>
        <w:t>Per-kidney values, box summaries and printed statistics for the twelve panel proteins, assembled from the Extended Data workbooks so the two cannot disagree.</w:t>
      </w:r>
    </w:p>
    <w:p>
      <w:pPr>
        <w:spacing w:after="60"/>
        <w:ind w:left="1417" w:hanging="1417"/>
      </w:pPr>
      <w:r>
        <w:rPr>
          <w:b/>
          <w:sz w:val="21"/>
        </w:rPr>
        <w:t xml:space="preserve">Figure 6  </w:t>
      </w:r>
      <w:r>
        <w:rPr>
          <w:sz w:val="21"/>
        </w:rPr>
        <w:t>The 92 evaluable panel proteins in plot order with their rank-biserial r and percent change, and the full between-group statistics behind them.</w:t>
      </w:r>
    </w:p>
    <w:p>
      <w:pPr>
        <w:spacing w:after="60"/>
        <w:ind w:left="1417" w:hanging="1417"/>
      </w:pPr>
      <w:r>
        <w:rPr>
          <w:b/>
          <w:sz w:val="21"/>
        </w:rPr>
        <w:t xml:space="preserve">Extended Data Figs 1–7  </w:t>
      </w:r>
      <w:r>
        <w:rPr>
          <w:sz w:val="21"/>
        </w:rPr>
        <w:t>One workbook per figure: Values, Box summary and Statistics sheets, verified gene-for-gene against the rendered artwork.</w:t>
      </w:r>
    </w:p>
    <w:p>
      <w:pPr>
        <w:spacing w:before="200" w:after="80"/>
      </w:pPr>
      <w:r>
        <w:rPr>
          <w:b/>
          <w:sz w:val="26"/>
        </w:rPr>
        <w:t>3. Items that are neither</w:t>
      </w:r>
    </w:p>
    <w:p>
      <w:pPr>
        <w:spacing w:after="80"/>
        <w:ind w:left="0"/>
        <w:jc w:val="both"/>
      </w:pPr>
      <w:r>
        <w:rPr>
          <w:sz w:val="21"/>
        </w:rPr>
        <w:t>Extended Data Figures 1–7 and Extended Data Table 1 are display items. They are supplied as individual image files and their legends appear in the article file, so they are listed here only to confirm that they are not part of the Supplementary Information.</w:t>
      </w:r>
    </w:p>
    <w:p>
      <w:pPr>
        <w:spacing w:after="80"/>
        <w:ind w:left="0"/>
        <w:jc w:val="both"/>
      </w:pPr>
      <w:r>
        <w:rPr>
          <w:sz w:val="21"/>
        </w:rPr>
        <w:t>Analysis code and the processed per-sample data are deposited at Zenodo and cited in the Code availability statement. The mass-spectrometry raw data are deposited with ProteomeXchange via MassIVE and cited in the Data availability statement. Neither is Supplementary Information.</w:t>
      </w:r>
    </w:p>
    <w:sectPr w:rsidR="00FC693F" w:rsidRPr="0006063C" w:rsidSect="00034616">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