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A47D5" w14:textId="77777777" w:rsidR="00BB5E42" w:rsidRPr="00FC2404" w:rsidRDefault="00BB5E42" w:rsidP="00BB5E42">
      <w:pPr>
        <w:spacing w:after="80" w:line="480" w:lineRule="auto"/>
        <w:rPr>
          <w:rFonts w:asciiTheme="majorBidi" w:hAnsiTheme="majorBidi" w:cstheme="majorBidi"/>
        </w:rPr>
      </w:pPr>
      <w:r w:rsidRPr="00FC2404">
        <w:rPr>
          <w:rFonts w:asciiTheme="majorBidi" w:hAnsiTheme="majorBidi" w:cstheme="majorBidi"/>
          <w:b/>
        </w:rPr>
        <w:t>Table 2. Oxygenation outcomes during paired 12-h periods (25 pairs).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BB5E42" w:rsidRPr="00FC2404" w14:paraId="57F5B492" w14:textId="77777777" w:rsidTr="00667E7F">
        <w:tc>
          <w:tcPr>
            <w:tcW w:w="1728" w:type="dxa"/>
          </w:tcPr>
          <w:p w14:paraId="05A2B995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b/>
                <w:sz w:val="19"/>
              </w:rPr>
              <w:t>Outcome</w:t>
            </w:r>
          </w:p>
        </w:tc>
        <w:tc>
          <w:tcPr>
            <w:tcW w:w="1728" w:type="dxa"/>
          </w:tcPr>
          <w:p w14:paraId="4EB63EB4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b/>
                <w:sz w:val="19"/>
              </w:rPr>
              <w:t>Automated, median (IQR)</w:t>
            </w:r>
          </w:p>
        </w:tc>
        <w:tc>
          <w:tcPr>
            <w:tcW w:w="1728" w:type="dxa"/>
          </w:tcPr>
          <w:p w14:paraId="4090545C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b/>
                <w:sz w:val="19"/>
              </w:rPr>
              <w:t>Manual, median (IQR)</w:t>
            </w:r>
          </w:p>
        </w:tc>
        <w:tc>
          <w:tcPr>
            <w:tcW w:w="1728" w:type="dxa"/>
          </w:tcPr>
          <w:p w14:paraId="7C012682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b/>
                <w:sz w:val="19"/>
              </w:rPr>
              <w:t>Mean difference (95% CI)</w:t>
            </w:r>
          </w:p>
        </w:tc>
        <w:tc>
          <w:tcPr>
            <w:tcW w:w="1728" w:type="dxa"/>
          </w:tcPr>
          <w:p w14:paraId="532F484E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b/>
                <w:sz w:val="19"/>
              </w:rPr>
              <w:t>P value</w:t>
            </w:r>
          </w:p>
        </w:tc>
      </w:tr>
      <w:tr w:rsidR="00BB5E42" w:rsidRPr="00FC2404" w14:paraId="338F0395" w14:textId="77777777" w:rsidTr="00667E7F">
        <w:tc>
          <w:tcPr>
            <w:tcW w:w="1728" w:type="dxa"/>
          </w:tcPr>
          <w:p w14:paraId="081D35E3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b/>
                <w:sz w:val="19"/>
              </w:rPr>
              <w:t>Proportion of recording time (%)</w:t>
            </w:r>
          </w:p>
        </w:tc>
        <w:tc>
          <w:tcPr>
            <w:tcW w:w="1728" w:type="dxa"/>
          </w:tcPr>
          <w:p w14:paraId="63A8E7B5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28" w:type="dxa"/>
          </w:tcPr>
          <w:p w14:paraId="61CDE4F7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28" w:type="dxa"/>
          </w:tcPr>
          <w:p w14:paraId="32D5CC3F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28" w:type="dxa"/>
          </w:tcPr>
          <w:p w14:paraId="4F0951AC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</w:p>
        </w:tc>
      </w:tr>
      <w:tr w:rsidR="00BB5E42" w:rsidRPr="00FC2404" w14:paraId="5BC1050D" w14:textId="77777777" w:rsidTr="00667E7F">
        <w:tc>
          <w:tcPr>
            <w:tcW w:w="1728" w:type="dxa"/>
          </w:tcPr>
          <w:p w14:paraId="10894BA4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 xml:space="preserve">   SpO</w:t>
            </w:r>
            <w:r w:rsidRPr="00FC2404">
              <w:rPr>
                <w:rFonts w:asciiTheme="majorBidi" w:hAnsiTheme="majorBidi" w:cstheme="majorBidi"/>
                <w:sz w:val="19"/>
                <w:vertAlign w:val="subscript"/>
              </w:rPr>
              <w:t>2</w:t>
            </w:r>
            <w:r w:rsidRPr="00FC2404">
              <w:rPr>
                <w:rFonts w:asciiTheme="majorBidi" w:hAnsiTheme="majorBidi" w:cstheme="majorBidi"/>
                <w:sz w:val="19"/>
              </w:rPr>
              <w:t xml:space="preserve"> 90-94% (primary endpoint)</w:t>
            </w:r>
          </w:p>
        </w:tc>
        <w:tc>
          <w:tcPr>
            <w:tcW w:w="1728" w:type="dxa"/>
          </w:tcPr>
          <w:p w14:paraId="7E278441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>55.9 (38.9-71.4)</w:t>
            </w:r>
          </w:p>
        </w:tc>
        <w:tc>
          <w:tcPr>
            <w:tcW w:w="1728" w:type="dxa"/>
          </w:tcPr>
          <w:p w14:paraId="4D099BDC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>37.8 (23.5-48.5)</w:t>
            </w:r>
          </w:p>
        </w:tc>
        <w:tc>
          <w:tcPr>
            <w:tcW w:w="1728" w:type="dxa"/>
          </w:tcPr>
          <w:p w14:paraId="04AD36A5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>14.5 (7.1 to 21.7)</w:t>
            </w:r>
          </w:p>
        </w:tc>
        <w:tc>
          <w:tcPr>
            <w:tcW w:w="1728" w:type="dxa"/>
          </w:tcPr>
          <w:p w14:paraId="041604C1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>0.007</w:t>
            </w:r>
          </w:p>
        </w:tc>
      </w:tr>
      <w:tr w:rsidR="00BB5E42" w:rsidRPr="00FC2404" w14:paraId="19DED7D0" w14:textId="77777777" w:rsidTr="00667E7F">
        <w:tc>
          <w:tcPr>
            <w:tcW w:w="1728" w:type="dxa"/>
          </w:tcPr>
          <w:p w14:paraId="16EBB29F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 xml:space="preserve">   Clinically adjusted target range</w:t>
            </w:r>
          </w:p>
        </w:tc>
        <w:tc>
          <w:tcPr>
            <w:tcW w:w="1728" w:type="dxa"/>
          </w:tcPr>
          <w:p w14:paraId="6B302AA4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>89.0 (86.0-95.0)</w:t>
            </w:r>
          </w:p>
        </w:tc>
        <w:tc>
          <w:tcPr>
            <w:tcW w:w="1728" w:type="dxa"/>
          </w:tcPr>
          <w:p w14:paraId="31E0CE37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>67.8 (43.9-88.5)</w:t>
            </w:r>
          </w:p>
        </w:tc>
        <w:tc>
          <w:tcPr>
            <w:tcW w:w="1728" w:type="dxa"/>
          </w:tcPr>
          <w:p w14:paraId="1853D88B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>22.8 (15.2 to 30.5)</w:t>
            </w:r>
          </w:p>
        </w:tc>
        <w:tc>
          <w:tcPr>
            <w:tcW w:w="1728" w:type="dxa"/>
          </w:tcPr>
          <w:p w14:paraId="63A707B0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>&lt;0.001</w:t>
            </w:r>
          </w:p>
        </w:tc>
      </w:tr>
      <w:tr w:rsidR="00BB5E42" w:rsidRPr="00FC2404" w14:paraId="206F96EA" w14:textId="77777777" w:rsidTr="00667E7F">
        <w:tc>
          <w:tcPr>
            <w:tcW w:w="1728" w:type="dxa"/>
          </w:tcPr>
          <w:p w14:paraId="1509F71E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 xml:space="preserve">   SpO</w:t>
            </w:r>
            <w:r w:rsidRPr="00FC2404">
              <w:rPr>
                <w:rFonts w:asciiTheme="majorBidi" w:hAnsiTheme="majorBidi" w:cstheme="majorBidi"/>
                <w:sz w:val="19"/>
                <w:vertAlign w:val="subscript"/>
              </w:rPr>
              <w:t>2</w:t>
            </w:r>
            <w:r w:rsidRPr="00FC2404">
              <w:rPr>
                <w:rFonts w:asciiTheme="majorBidi" w:hAnsiTheme="majorBidi" w:cstheme="majorBidi"/>
                <w:sz w:val="19"/>
              </w:rPr>
              <w:t xml:space="preserve"> &lt;90%</w:t>
            </w:r>
          </w:p>
        </w:tc>
        <w:tc>
          <w:tcPr>
            <w:tcW w:w="1728" w:type="dxa"/>
          </w:tcPr>
          <w:p w14:paraId="3A5A0859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>6.6 (3.0-10.5)</w:t>
            </w:r>
          </w:p>
        </w:tc>
        <w:tc>
          <w:tcPr>
            <w:tcW w:w="1728" w:type="dxa"/>
          </w:tcPr>
          <w:p w14:paraId="2AFF1EFE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>11.5 (4.2-14.9)</w:t>
            </w:r>
          </w:p>
        </w:tc>
        <w:tc>
          <w:tcPr>
            <w:tcW w:w="1728" w:type="dxa"/>
          </w:tcPr>
          <w:p w14:paraId="1854B5E4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>-8.2 (-14.1 to -3.2)</w:t>
            </w:r>
          </w:p>
        </w:tc>
        <w:tc>
          <w:tcPr>
            <w:tcW w:w="1728" w:type="dxa"/>
          </w:tcPr>
          <w:p w14:paraId="04D2A77A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>0.015</w:t>
            </w:r>
          </w:p>
        </w:tc>
      </w:tr>
      <w:tr w:rsidR="00BB5E42" w:rsidRPr="00FC2404" w14:paraId="5C594D17" w14:textId="77777777" w:rsidTr="00667E7F">
        <w:tc>
          <w:tcPr>
            <w:tcW w:w="1728" w:type="dxa"/>
          </w:tcPr>
          <w:p w14:paraId="73FD4D32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 xml:space="preserve">   SpO</w:t>
            </w:r>
            <w:r w:rsidRPr="00FC2404">
              <w:rPr>
                <w:rFonts w:asciiTheme="majorBidi" w:hAnsiTheme="majorBidi" w:cstheme="majorBidi"/>
                <w:sz w:val="19"/>
                <w:vertAlign w:val="subscript"/>
              </w:rPr>
              <w:t>2</w:t>
            </w:r>
            <w:r w:rsidRPr="00FC2404">
              <w:rPr>
                <w:rFonts w:asciiTheme="majorBidi" w:hAnsiTheme="majorBidi" w:cstheme="majorBidi"/>
                <w:sz w:val="19"/>
              </w:rPr>
              <w:t xml:space="preserve"> &lt;80%</w:t>
            </w:r>
          </w:p>
        </w:tc>
        <w:tc>
          <w:tcPr>
            <w:tcW w:w="1728" w:type="dxa"/>
          </w:tcPr>
          <w:p w14:paraId="57876E39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>0.26 (0.05-1.06)</w:t>
            </w:r>
          </w:p>
        </w:tc>
        <w:tc>
          <w:tcPr>
            <w:tcW w:w="1728" w:type="dxa"/>
          </w:tcPr>
          <w:p w14:paraId="019C72AD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>1.07 (0.01-3.53)</w:t>
            </w:r>
          </w:p>
        </w:tc>
        <w:tc>
          <w:tcPr>
            <w:tcW w:w="1728" w:type="dxa"/>
          </w:tcPr>
          <w:p w14:paraId="69E814E3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>-2.4 (-4.8 to -0.7)</w:t>
            </w:r>
          </w:p>
        </w:tc>
        <w:tc>
          <w:tcPr>
            <w:tcW w:w="1728" w:type="dxa"/>
          </w:tcPr>
          <w:p w14:paraId="07763198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>0.019</w:t>
            </w:r>
          </w:p>
        </w:tc>
      </w:tr>
      <w:tr w:rsidR="00BB5E42" w:rsidRPr="00FC2404" w14:paraId="701BB3BF" w14:textId="77777777" w:rsidTr="00667E7F">
        <w:tc>
          <w:tcPr>
            <w:tcW w:w="1728" w:type="dxa"/>
          </w:tcPr>
          <w:p w14:paraId="68EF4006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 xml:space="preserve">   SpO</w:t>
            </w:r>
            <w:r w:rsidRPr="00FC2404">
              <w:rPr>
                <w:rFonts w:asciiTheme="majorBidi" w:hAnsiTheme="majorBidi" w:cstheme="majorBidi"/>
                <w:sz w:val="19"/>
                <w:vertAlign w:val="subscript"/>
              </w:rPr>
              <w:t>2</w:t>
            </w:r>
            <w:r w:rsidRPr="00FC2404">
              <w:rPr>
                <w:rFonts w:asciiTheme="majorBidi" w:hAnsiTheme="majorBidi" w:cstheme="majorBidi"/>
                <w:sz w:val="19"/>
              </w:rPr>
              <w:t xml:space="preserve"> &gt;94% on supplemental oxygen</w:t>
            </w:r>
          </w:p>
        </w:tc>
        <w:tc>
          <w:tcPr>
            <w:tcW w:w="1728" w:type="dxa"/>
          </w:tcPr>
          <w:p w14:paraId="3D7809C3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>3.1 (1.0-5.0)</w:t>
            </w:r>
          </w:p>
        </w:tc>
        <w:tc>
          <w:tcPr>
            <w:tcW w:w="1728" w:type="dxa"/>
          </w:tcPr>
          <w:p w14:paraId="411B40AD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>16.1 (1.4-27.7)</w:t>
            </w:r>
          </w:p>
        </w:tc>
        <w:tc>
          <w:tcPr>
            <w:tcW w:w="1728" w:type="dxa"/>
          </w:tcPr>
          <w:p w14:paraId="4D8D0796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>-14.6 (-21.8 to -7.7)</w:t>
            </w:r>
          </w:p>
        </w:tc>
        <w:tc>
          <w:tcPr>
            <w:tcW w:w="1728" w:type="dxa"/>
          </w:tcPr>
          <w:p w14:paraId="3668DE0F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>&lt;0.001</w:t>
            </w:r>
          </w:p>
        </w:tc>
      </w:tr>
      <w:tr w:rsidR="00BB5E42" w:rsidRPr="00FC2404" w14:paraId="7C378EE3" w14:textId="77777777" w:rsidTr="00667E7F">
        <w:tc>
          <w:tcPr>
            <w:tcW w:w="1728" w:type="dxa"/>
          </w:tcPr>
          <w:p w14:paraId="71CB9F78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 xml:space="preserve">   SpO</w:t>
            </w:r>
            <w:r w:rsidRPr="00FC2404">
              <w:rPr>
                <w:rFonts w:asciiTheme="majorBidi" w:hAnsiTheme="majorBidi" w:cstheme="majorBidi"/>
                <w:sz w:val="19"/>
                <w:vertAlign w:val="subscript"/>
              </w:rPr>
              <w:t>2</w:t>
            </w:r>
            <w:r w:rsidRPr="00FC2404">
              <w:rPr>
                <w:rFonts w:asciiTheme="majorBidi" w:hAnsiTheme="majorBidi" w:cstheme="majorBidi"/>
                <w:sz w:val="19"/>
              </w:rPr>
              <w:t xml:space="preserve"> &gt;94% in room air</w:t>
            </w:r>
          </w:p>
        </w:tc>
        <w:tc>
          <w:tcPr>
            <w:tcW w:w="1728" w:type="dxa"/>
          </w:tcPr>
          <w:p w14:paraId="2BB1ACD1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>33.3 (2.0-59.7)</w:t>
            </w:r>
          </w:p>
        </w:tc>
        <w:tc>
          <w:tcPr>
            <w:tcW w:w="1728" w:type="dxa"/>
          </w:tcPr>
          <w:p w14:paraId="5A3F88E5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>8.4 (0.0-52.4)</w:t>
            </w:r>
          </w:p>
        </w:tc>
        <w:tc>
          <w:tcPr>
            <w:tcW w:w="1728" w:type="dxa"/>
          </w:tcPr>
          <w:p w14:paraId="52739128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>8.3 (2.1 to 15.0)</w:t>
            </w:r>
          </w:p>
        </w:tc>
        <w:tc>
          <w:tcPr>
            <w:tcW w:w="1728" w:type="dxa"/>
          </w:tcPr>
          <w:p w14:paraId="36948ED0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>0.020</w:t>
            </w:r>
          </w:p>
        </w:tc>
      </w:tr>
      <w:tr w:rsidR="00BB5E42" w:rsidRPr="00FC2404" w14:paraId="79B4FCD7" w14:textId="77777777" w:rsidTr="00667E7F">
        <w:tc>
          <w:tcPr>
            <w:tcW w:w="1728" w:type="dxa"/>
          </w:tcPr>
          <w:p w14:paraId="7A7185AF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b/>
                <w:sz w:val="19"/>
              </w:rPr>
              <w:t>Episodes per 12 h</w:t>
            </w:r>
          </w:p>
        </w:tc>
        <w:tc>
          <w:tcPr>
            <w:tcW w:w="1728" w:type="dxa"/>
          </w:tcPr>
          <w:p w14:paraId="70228814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28" w:type="dxa"/>
          </w:tcPr>
          <w:p w14:paraId="77CB4AB1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28" w:type="dxa"/>
          </w:tcPr>
          <w:p w14:paraId="4CFD6A00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28" w:type="dxa"/>
          </w:tcPr>
          <w:p w14:paraId="30D86C06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</w:p>
        </w:tc>
      </w:tr>
      <w:tr w:rsidR="00BB5E42" w:rsidRPr="00FC2404" w14:paraId="5661CDCD" w14:textId="77777777" w:rsidTr="00667E7F">
        <w:tc>
          <w:tcPr>
            <w:tcW w:w="1728" w:type="dxa"/>
          </w:tcPr>
          <w:p w14:paraId="2F54BC11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 xml:space="preserve">   SpO</w:t>
            </w:r>
            <w:r w:rsidRPr="00FC2404">
              <w:rPr>
                <w:rFonts w:asciiTheme="majorBidi" w:hAnsiTheme="majorBidi" w:cstheme="majorBidi"/>
                <w:sz w:val="19"/>
                <w:vertAlign w:val="subscript"/>
              </w:rPr>
              <w:t>2</w:t>
            </w:r>
            <w:r w:rsidRPr="00FC2404">
              <w:rPr>
                <w:rFonts w:asciiTheme="majorBidi" w:hAnsiTheme="majorBidi" w:cstheme="majorBidi"/>
                <w:sz w:val="19"/>
              </w:rPr>
              <w:t xml:space="preserve"> &lt;80% for at least 10 s</w:t>
            </w:r>
          </w:p>
        </w:tc>
        <w:tc>
          <w:tcPr>
            <w:tcW w:w="1728" w:type="dxa"/>
          </w:tcPr>
          <w:p w14:paraId="60BFAAAC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>4 (0-11)</w:t>
            </w:r>
          </w:p>
        </w:tc>
        <w:tc>
          <w:tcPr>
            <w:tcW w:w="1728" w:type="dxa"/>
          </w:tcPr>
          <w:p w14:paraId="340361CD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>8 (0-22)</w:t>
            </w:r>
          </w:p>
        </w:tc>
        <w:tc>
          <w:tcPr>
            <w:tcW w:w="1728" w:type="dxa"/>
          </w:tcPr>
          <w:p w14:paraId="00CBBCBC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>-</w:t>
            </w:r>
          </w:p>
        </w:tc>
        <w:tc>
          <w:tcPr>
            <w:tcW w:w="1728" w:type="dxa"/>
          </w:tcPr>
          <w:p w14:paraId="231421CF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>0.048</w:t>
            </w:r>
          </w:p>
        </w:tc>
      </w:tr>
      <w:tr w:rsidR="00BB5E42" w:rsidRPr="00FC2404" w14:paraId="389AB741" w14:textId="77777777" w:rsidTr="00667E7F">
        <w:tc>
          <w:tcPr>
            <w:tcW w:w="1728" w:type="dxa"/>
          </w:tcPr>
          <w:p w14:paraId="01212162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 xml:space="preserve">   SpO</w:t>
            </w:r>
            <w:r w:rsidRPr="00FC2404">
              <w:rPr>
                <w:rFonts w:asciiTheme="majorBidi" w:hAnsiTheme="majorBidi" w:cstheme="majorBidi"/>
                <w:sz w:val="19"/>
                <w:vertAlign w:val="subscript"/>
              </w:rPr>
              <w:t>2</w:t>
            </w:r>
            <w:r w:rsidRPr="00FC2404">
              <w:rPr>
                <w:rFonts w:asciiTheme="majorBidi" w:hAnsiTheme="majorBidi" w:cstheme="majorBidi"/>
                <w:sz w:val="19"/>
              </w:rPr>
              <w:t xml:space="preserve"> &lt;80% for at least 1 min</w:t>
            </w:r>
          </w:p>
        </w:tc>
        <w:tc>
          <w:tcPr>
            <w:tcW w:w="1728" w:type="dxa"/>
          </w:tcPr>
          <w:p w14:paraId="6F0A579C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>0 (0-1)</w:t>
            </w:r>
          </w:p>
        </w:tc>
        <w:tc>
          <w:tcPr>
            <w:tcW w:w="1728" w:type="dxa"/>
          </w:tcPr>
          <w:p w14:paraId="7ACFDF8D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>1 (0-8)</w:t>
            </w:r>
          </w:p>
        </w:tc>
        <w:tc>
          <w:tcPr>
            <w:tcW w:w="1728" w:type="dxa"/>
          </w:tcPr>
          <w:p w14:paraId="13C00E8D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>-</w:t>
            </w:r>
          </w:p>
        </w:tc>
        <w:tc>
          <w:tcPr>
            <w:tcW w:w="1728" w:type="dxa"/>
          </w:tcPr>
          <w:p w14:paraId="49FAE11B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>0.007</w:t>
            </w:r>
          </w:p>
        </w:tc>
      </w:tr>
      <w:tr w:rsidR="00BB5E42" w:rsidRPr="00FC2404" w14:paraId="44E29ED3" w14:textId="77777777" w:rsidTr="00667E7F">
        <w:tc>
          <w:tcPr>
            <w:tcW w:w="1728" w:type="dxa"/>
          </w:tcPr>
          <w:p w14:paraId="2275086A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 xml:space="preserve">   Mean duration per episode &lt;80% (min)</w:t>
            </w:r>
          </w:p>
        </w:tc>
        <w:tc>
          <w:tcPr>
            <w:tcW w:w="1728" w:type="dxa"/>
          </w:tcPr>
          <w:p w14:paraId="7ED08F23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>0.33 (0.00-0.53)</w:t>
            </w:r>
          </w:p>
        </w:tc>
        <w:tc>
          <w:tcPr>
            <w:tcW w:w="1728" w:type="dxa"/>
          </w:tcPr>
          <w:p w14:paraId="2210409B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>0.53 (0.00-1.07)</w:t>
            </w:r>
          </w:p>
        </w:tc>
        <w:tc>
          <w:tcPr>
            <w:tcW w:w="1728" w:type="dxa"/>
          </w:tcPr>
          <w:p w14:paraId="648B3CC5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>-</w:t>
            </w:r>
          </w:p>
        </w:tc>
        <w:tc>
          <w:tcPr>
            <w:tcW w:w="1728" w:type="dxa"/>
          </w:tcPr>
          <w:p w14:paraId="4CA72FD3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>0.048</w:t>
            </w:r>
          </w:p>
        </w:tc>
      </w:tr>
      <w:tr w:rsidR="00BB5E42" w:rsidRPr="00FC2404" w14:paraId="62A8AF66" w14:textId="77777777" w:rsidTr="00667E7F">
        <w:tc>
          <w:tcPr>
            <w:tcW w:w="1728" w:type="dxa"/>
          </w:tcPr>
          <w:p w14:paraId="44F3D114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 xml:space="preserve">   SpO</w:t>
            </w:r>
            <w:r w:rsidRPr="00FC2404">
              <w:rPr>
                <w:rFonts w:asciiTheme="majorBidi" w:hAnsiTheme="majorBidi" w:cstheme="majorBidi"/>
                <w:sz w:val="19"/>
                <w:vertAlign w:val="subscript"/>
              </w:rPr>
              <w:t>2</w:t>
            </w:r>
            <w:r w:rsidRPr="00FC2404">
              <w:rPr>
                <w:rFonts w:asciiTheme="majorBidi" w:hAnsiTheme="majorBidi" w:cstheme="majorBidi"/>
                <w:sz w:val="19"/>
              </w:rPr>
              <w:t xml:space="preserve"> &gt;=98% on oxygen for at least 10 s</w:t>
            </w:r>
          </w:p>
        </w:tc>
        <w:tc>
          <w:tcPr>
            <w:tcW w:w="1728" w:type="dxa"/>
          </w:tcPr>
          <w:p w14:paraId="58A8D098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>5 (2-8)</w:t>
            </w:r>
          </w:p>
        </w:tc>
        <w:tc>
          <w:tcPr>
            <w:tcW w:w="1728" w:type="dxa"/>
          </w:tcPr>
          <w:p w14:paraId="5F573960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>7 (0-45)</w:t>
            </w:r>
          </w:p>
        </w:tc>
        <w:tc>
          <w:tcPr>
            <w:tcW w:w="1728" w:type="dxa"/>
          </w:tcPr>
          <w:p w14:paraId="3040EFC4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>-</w:t>
            </w:r>
          </w:p>
        </w:tc>
        <w:tc>
          <w:tcPr>
            <w:tcW w:w="1728" w:type="dxa"/>
          </w:tcPr>
          <w:p w14:paraId="463B0E84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>0.016</w:t>
            </w:r>
          </w:p>
        </w:tc>
      </w:tr>
      <w:tr w:rsidR="00BB5E42" w:rsidRPr="00FC2404" w14:paraId="4E5129F9" w14:textId="77777777" w:rsidTr="00667E7F">
        <w:tc>
          <w:tcPr>
            <w:tcW w:w="1728" w:type="dxa"/>
          </w:tcPr>
          <w:p w14:paraId="7C5DC6E6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 xml:space="preserve">   SpO</w:t>
            </w:r>
            <w:r w:rsidRPr="00FC2404">
              <w:rPr>
                <w:rFonts w:asciiTheme="majorBidi" w:hAnsiTheme="majorBidi" w:cstheme="majorBidi"/>
                <w:sz w:val="19"/>
                <w:vertAlign w:val="subscript"/>
              </w:rPr>
              <w:t>2</w:t>
            </w:r>
            <w:r w:rsidRPr="00FC2404">
              <w:rPr>
                <w:rFonts w:asciiTheme="majorBidi" w:hAnsiTheme="majorBidi" w:cstheme="majorBidi"/>
                <w:sz w:val="19"/>
              </w:rPr>
              <w:t xml:space="preserve"> &gt;=98% on oxygen for at least 1 min</w:t>
            </w:r>
          </w:p>
        </w:tc>
        <w:tc>
          <w:tcPr>
            <w:tcW w:w="1728" w:type="dxa"/>
          </w:tcPr>
          <w:p w14:paraId="34A46682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>0 (0-0)</w:t>
            </w:r>
          </w:p>
        </w:tc>
        <w:tc>
          <w:tcPr>
            <w:tcW w:w="1728" w:type="dxa"/>
          </w:tcPr>
          <w:p w14:paraId="21FD53EF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>1 (0-14)</w:t>
            </w:r>
          </w:p>
        </w:tc>
        <w:tc>
          <w:tcPr>
            <w:tcW w:w="1728" w:type="dxa"/>
          </w:tcPr>
          <w:p w14:paraId="0E89AEFA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>-</w:t>
            </w:r>
          </w:p>
        </w:tc>
        <w:tc>
          <w:tcPr>
            <w:tcW w:w="1728" w:type="dxa"/>
          </w:tcPr>
          <w:p w14:paraId="530A544F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>0.002</w:t>
            </w:r>
          </w:p>
        </w:tc>
      </w:tr>
      <w:tr w:rsidR="00BB5E42" w:rsidRPr="00FC2404" w14:paraId="33FBDDD6" w14:textId="77777777" w:rsidTr="00667E7F">
        <w:tc>
          <w:tcPr>
            <w:tcW w:w="1728" w:type="dxa"/>
          </w:tcPr>
          <w:p w14:paraId="1AC4160B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b/>
                <w:sz w:val="19"/>
              </w:rPr>
              <w:t>Inspired oxygen</w:t>
            </w:r>
          </w:p>
        </w:tc>
        <w:tc>
          <w:tcPr>
            <w:tcW w:w="1728" w:type="dxa"/>
          </w:tcPr>
          <w:p w14:paraId="6F8E5CA4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28" w:type="dxa"/>
          </w:tcPr>
          <w:p w14:paraId="4384E5B5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28" w:type="dxa"/>
          </w:tcPr>
          <w:p w14:paraId="5C6D1A68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28" w:type="dxa"/>
          </w:tcPr>
          <w:p w14:paraId="609AF6D3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</w:p>
        </w:tc>
      </w:tr>
      <w:tr w:rsidR="00BB5E42" w:rsidRPr="00FC2404" w14:paraId="5318E9B0" w14:textId="77777777" w:rsidTr="00667E7F">
        <w:tc>
          <w:tcPr>
            <w:tcW w:w="1728" w:type="dxa"/>
          </w:tcPr>
          <w:p w14:paraId="607A24C5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 xml:space="preserve">   Mean FiO</w:t>
            </w:r>
            <w:r w:rsidRPr="00FC2404">
              <w:rPr>
                <w:rFonts w:asciiTheme="majorBidi" w:hAnsiTheme="majorBidi" w:cstheme="majorBidi"/>
                <w:sz w:val="19"/>
                <w:vertAlign w:val="subscript"/>
              </w:rPr>
              <w:t>2</w:t>
            </w:r>
            <w:r w:rsidRPr="00FC2404">
              <w:rPr>
                <w:rFonts w:asciiTheme="majorBidi" w:hAnsiTheme="majorBidi" w:cstheme="majorBidi"/>
                <w:sz w:val="19"/>
              </w:rPr>
              <w:t xml:space="preserve"> per infant (%)</w:t>
            </w:r>
          </w:p>
        </w:tc>
        <w:tc>
          <w:tcPr>
            <w:tcW w:w="1728" w:type="dxa"/>
          </w:tcPr>
          <w:p w14:paraId="48E18517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>23.7 (21.6-30.4)</w:t>
            </w:r>
          </w:p>
        </w:tc>
        <w:tc>
          <w:tcPr>
            <w:tcW w:w="1728" w:type="dxa"/>
          </w:tcPr>
          <w:p w14:paraId="0EBB8FEF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>25.6 (21.4-30.8)</w:t>
            </w:r>
          </w:p>
        </w:tc>
        <w:tc>
          <w:tcPr>
            <w:tcW w:w="1728" w:type="dxa"/>
          </w:tcPr>
          <w:p w14:paraId="4C8D8FBA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>-</w:t>
            </w:r>
          </w:p>
        </w:tc>
        <w:tc>
          <w:tcPr>
            <w:tcW w:w="1728" w:type="dxa"/>
          </w:tcPr>
          <w:p w14:paraId="6DCFAC7B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>0.62</w:t>
            </w:r>
          </w:p>
        </w:tc>
      </w:tr>
      <w:tr w:rsidR="00BB5E42" w:rsidRPr="00FC2404" w14:paraId="11BC4942" w14:textId="77777777" w:rsidTr="00667E7F">
        <w:tc>
          <w:tcPr>
            <w:tcW w:w="1728" w:type="dxa"/>
          </w:tcPr>
          <w:p w14:paraId="7DC9DA47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 xml:space="preserve">   Median FiO</w:t>
            </w:r>
            <w:r w:rsidRPr="00FC2404">
              <w:rPr>
                <w:rFonts w:asciiTheme="majorBidi" w:hAnsiTheme="majorBidi" w:cstheme="majorBidi"/>
                <w:sz w:val="19"/>
                <w:vertAlign w:val="subscript"/>
              </w:rPr>
              <w:t>2</w:t>
            </w:r>
            <w:r w:rsidRPr="00FC2404">
              <w:rPr>
                <w:rFonts w:asciiTheme="majorBidi" w:hAnsiTheme="majorBidi" w:cstheme="majorBidi"/>
                <w:sz w:val="19"/>
              </w:rPr>
              <w:t xml:space="preserve"> per infant (%)</w:t>
            </w:r>
          </w:p>
        </w:tc>
        <w:tc>
          <w:tcPr>
            <w:tcW w:w="1728" w:type="dxa"/>
          </w:tcPr>
          <w:p w14:paraId="43C7D1B9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>21.5 (21.0-28.5)</w:t>
            </w:r>
          </w:p>
        </w:tc>
        <w:tc>
          <w:tcPr>
            <w:tcW w:w="1728" w:type="dxa"/>
          </w:tcPr>
          <w:p w14:paraId="63C590D4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>25.0 (21.0-35.0)</w:t>
            </w:r>
          </w:p>
        </w:tc>
        <w:tc>
          <w:tcPr>
            <w:tcW w:w="1728" w:type="dxa"/>
          </w:tcPr>
          <w:p w14:paraId="2D520110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>-</w:t>
            </w:r>
          </w:p>
        </w:tc>
        <w:tc>
          <w:tcPr>
            <w:tcW w:w="1728" w:type="dxa"/>
          </w:tcPr>
          <w:p w14:paraId="3DFF99CE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>0.047</w:t>
            </w:r>
          </w:p>
        </w:tc>
      </w:tr>
      <w:tr w:rsidR="00BB5E42" w:rsidRPr="00FC2404" w14:paraId="4604856F" w14:textId="77777777" w:rsidTr="00667E7F">
        <w:tc>
          <w:tcPr>
            <w:tcW w:w="1728" w:type="dxa"/>
          </w:tcPr>
          <w:p w14:paraId="7F531F25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lastRenderedPageBreak/>
              <w:t xml:space="preserve">   Set-FiO</w:t>
            </w:r>
            <w:r w:rsidRPr="00FC2404">
              <w:rPr>
                <w:rFonts w:asciiTheme="majorBidi" w:hAnsiTheme="majorBidi" w:cstheme="majorBidi"/>
                <w:sz w:val="19"/>
                <w:vertAlign w:val="subscript"/>
              </w:rPr>
              <w:t>2</w:t>
            </w:r>
            <w:r w:rsidRPr="00FC2404">
              <w:rPr>
                <w:rFonts w:asciiTheme="majorBidi" w:hAnsiTheme="majorBidi" w:cstheme="majorBidi"/>
                <w:sz w:val="19"/>
              </w:rPr>
              <w:t xml:space="preserve"> changes of at least 1% (n per 12 h)</w:t>
            </w:r>
          </w:p>
        </w:tc>
        <w:tc>
          <w:tcPr>
            <w:tcW w:w="1728" w:type="dxa"/>
          </w:tcPr>
          <w:p w14:paraId="32DEDB28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>2850 (514-3648)</w:t>
            </w:r>
          </w:p>
        </w:tc>
        <w:tc>
          <w:tcPr>
            <w:tcW w:w="1728" w:type="dxa"/>
          </w:tcPr>
          <w:p w14:paraId="2A8A6C2B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>128 (90-154)</w:t>
            </w:r>
          </w:p>
        </w:tc>
        <w:tc>
          <w:tcPr>
            <w:tcW w:w="1728" w:type="dxa"/>
          </w:tcPr>
          <w:p w14:paraId="1B6470E9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>-</w:t>
            </w:r>
          </w:p>
        </w:tc>
        <w:tc>
          <w:tcPr>
            <w:tcW w:w="1728" w:type="dxa"/>
          </w:tcPr>
          <w:p w14:paraId="774C5277" w14:textId="77777777" w:rsidR="00BB5E42" w:rsidRPr="00FC2404" w:rsidRDefault="00BB5E42" w:rsidP="00667E7F">
            <w:pPr>
              <w:rPr>
                <w:rFonts w:asciiTheme="majorBidi" w:hAnsiTheme="majorBidi" w:cstheme="majorBidi"/>
              </w:rPr>
            </w:pPr>
            <w:r w:rsidRPr="00FC2404">
              <w:rPr>
                <w:rFonts w:asciiTheme="majorBidi" w:hAnsiTheme="majorBidi" w:cstheme="majorBidi"/>
                <w:sz w:val="19"/>
              </w:rPr>
              <w:t>&lt;0.001</w:t>
            </w:r>
          </w:p>
        </w:tc>
      </w:tr>
    </w:tbl>
    <w:p w14:paraId="367FC3DF" w14:textId="77777777" w:rsidR="00BB5E42" w:rsidRDefault="00BB5E42" w:rsidP="00BB5E42">
      <w:pPr>
        <w:spacing w:line="240" w:lineRule="auto"/>
        <w:rPr>
          <w:rFonts w:asciiTheme="majorBidi" w:hAnsiTheme="majorBidi" w:cstheme="majorBidi"/>
          <w:i/>
          <w:sz w:val="18"/>
        </w:rPr>
      </w:pPr>
      <w:r w:rsidRPr="00FC2404">
        <w:rPr>
          <w:rFonts w:asciiTheme="majorBidi" w:hAnsiTheme="majorBidi" w:cstheme="majorBidi"/>
          <w:i/>
          <w:sz w:val="18"/>
        </w:rPr>
        <w:t>Proportions use valid SpO</w:t>
      </w:r>
      <w:r w:rsidRPr="00FC2404">
        <w:rPr>
          <w:rFonts w:asciiTheme="majorBidi" w:hAnsiTheme="majorBidi" w:cstheme="majorBidi"/>
          <w:i/>
          <w:sz w:val="18"/>
          <w:vertAlign w:val="subscript"/>
        </w:rPr>
        <w:t>2</w:t>
      </w:r>
      <w:r w:rsidRPr="00FC2404">
        <w:rPr>
          <w:rFonts w:asciiTheme="majorBidi" w:hAnsiTheme="majorBidi" w:cstheme="majorBidi"/>
          <w:i/>
          <w:sz w:val="18"/>
        </w:rPr>
        <w:t xml:space="preserve"> recording time as the denominator. The four categories SpO</w:t>
      </w:r>
      <w:r w:rsidRPr="00FC2404">
        <w:rPr>
          <w:rFonts w:asciiTheme="majorBidi" w:hAnsiTheme="majorBidi" w:cstheme="majorBidi"/>
          <w:i/>
          <w:sz w:val="18"/>
          <w:vertAlign w:val="subscript"/>
        </w:rPr>
        <w:t>2</w:t>
      </w:r>
      <w:r w:rsidRPr="00FC2404">
        <w:rPr>
          <w:rFonts w:asciiTheme="majorBidi" w:hAnsiTheme="majorBidi" w:cstheme="majorBidi"/>
          <w:i/>
          <w:sz w:val="18"/>
        </w:rPr>
        <w:t xml:space="preserve"> 90-94%, SpO</w:t>
      </w:r>
      <w:r w:rsidRPr="00FC2404">
        <w:rPr>
          <w:rFonts w:asciiTheme="majorBidi" w:hAnsiTheme="majorBidi" w:cstheme="majorBidi"/>
          <w:i/>
          <w:sz w:val="18"/>
          <w:vertAlign w:val="subscript"/>
        </w:rPr>
        <w:t>2</w:t>
      </w:r>
      <w:r w:rsidRPr="00FC2404">
        <w:rPr>
          <w:rFonts w:asciiTheme="majorBidi" w:hAnsiTheme="majorBidi" w:cstheme="majorBidi"/>
          <w:i/>
          <w:sz w:val="18"/>
        </w:rPr>
        <w:t xml:space="preserve"> &lt;90%, SpO</w:t>
      </w:r>
      <w:r w:rsidRPr="00FC2404">
        <w:rPr>
          <w:rFonts w:asciiTheme="majorBidi" w:hAnsiTheme="majorBidi" w:cstheme="majorBidi"/>
          <w:i/>
          <w:sz w:val="18"/>
          <w:vertAlign w:val="subscript"/>
        </w:rPr>
        <w:t>2</w:t>
      </w:r>
      <w:r w:rsidRPr="00FC2404">
        <w:rPr>
          <w:rFonts w:asciiTheme="majorBidi" w:hAnsiTheme="majorBidi" w:cstheme="majorBidi"/>
          <w:i/>
          <w:sz w:val="18"/>
        </w:rPr>
        <w:t xml:space="preserve"> &gt;94% on supplemental oxygen and SpO</w:t>
      </w:r>
      <w:r w:rsidRPr="00FC2404">
        <w:rPr>
          <w:rFonts w:asciiTheme="majorBidi" w:hAnsiTheme="majorBidi" w:cstheme="majorBidi"/>
          <w:i/>
          <w:sz w:val="18"/>
          <w:vertAlign w:val="subscript"/>
        </w:rPr>
        <w:t>2</w:t>
      </w:r>
      <w:r w:rsidRPr="00FC2404">
        <w:rPr>
          <w:rFonts w:asciiTheme="majorBidi" w:hAnsiTheme="majorBidi" w:cstheme="majorBidi"/>
          <w:i/>
          <w:sz w:val="18"/>
        </w:rPr>
        <w:t xml:space="preserve"> &gt;94% in room air together account for 100% of recording time; the clinically adjusted target range is the sum of the first and last of these. Room air was identified second-by-second from the set FiO</w:t>
      </w:r>
      <w:r w:rsidRPr="00FC2404">
        <w:rPr>
          <w:rFonts w:asciiTheme="majorBidi" w:hAnsiTheme="majorBidi" w:cstheme="majorBidi"/>
          <w:i/>
          <w:sz w:val="18"/>
          <w:vertAlign w:val="subscript"/>
        </w:rPr>
        <w:t>2</w:t>
      </w:r>
      <w:r w:rsidRPr="00FC2404">
        <w:rPr>
          <w:rFonts w:asciiTheme="majorBidi" w:hAnsiTheme="majorBidi" w:cstheme="majorBidi"/>
          <w:i/>
          <w:sz w:val="18"/>
        </w:rPr>
        <w:t xml:space="preserve"> lagged 15 s. Mean difference is automated minus manual with a bootstrap 95% CI, and is not presented for count outcomes. P values are from Wilcoxon signed-rank tests. Area-under-the-curve oxygen-burden indices and subgroup analyses are in the Supplementary Material.</w:t>
      </w:r>
    </w:p>
    <w:p w14:paraId="12A6BAEC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E42"/>
    <w:rsid w:val="000C4033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BB5E42"/>
    <w:rsid w:val="00C94D66"/>
    <w:rsid w:val="00DE7E69"/>
    <w:rsid w:val="00E023F9"/>
    <w:rsid w:val="00F5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4801D"/>
  <w15:chartTrackingRefBased/>
  <w15:docId w15:val="{D342AA22-77C4-4D24-AF15-C4035FC68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E42"/>
    <w:pPr>
      <w:spacing w:after="200" w:line="276" w:lineRule="auto"/>
    </w:pPr>
    <w:rPr>
      <w:rFonts w:ascii="Times New Roman" w:eastAsia="Times New Roman" w:hAnsi="Times New Roman" w:cs="Times New Roman"/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5E4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5E4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5E4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5E4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5E4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5E42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5E42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5E42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5E42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E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5E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5E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5E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5E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5E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5E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5E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5E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5E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B5E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5E4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B5E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5E4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B5E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5E4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B5E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5E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5E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5E4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BB5E42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2026-09-03T01:29:00Z</dcterms:created>
  <dcterms:modified xsi:type="dcterms:W3CDTF">2026-09-03T01:29:00Z</dcterms:modified>
</cp:coreProperties>
</file>