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AC11F1" w14:textId="77777777" w:rsidR="003B05A0" w:rsidRDefault="003B05A0" w:rsidP="00E80953">
      <w:pPr>
        <w:jc w:val="both"/>
      </w:pPr>
      <w:r>
        <w:t>Supplementary figures</w:t>
      </w:r>
    </w:p>
    <w:p w14:paraId="4A391DB9" w14:textId="77777777" w:rsidR="003B05A0" w:rsidRDefault="003B05A0" w:rsidP="00E80953">
      <w:pPr>
        <w:jc w:val="both"/>
      </w:pPr>
    </w:p>
    <w:p w14:paraId="549CEC19" w14:textId="1DB00D3E" w:rsidR="003B05A0" w:rsidRDefault="003B05A0" w:rsidP="00E80953">
      <w:pPr>
        <w:jc w:val="both"/>
      </w:pPr>
      <w:r w:rsidRPr="00A3095A">
        <w:rPr>
          <w:b/>
          <w:bCs/>
        </w:rPr>
        <w:t>Supplementary Figure 1.</w:t>
      </w:r>
      <w:r>
        <w:t xml:space="preserve"> Bar plots showing the percentage of institutions answering “Yes” to the question: do you have an executive board where health research strategy is set? Dark colour corresponds to the institution’s answer in the FOI response, middle dark colour corresponds to our interpretation of the institution’s answer based on what they said in the FOI response, and light colour corresponds to the information extracted for the internet search (higher education institution only). </w:t>
      </w:r>
      <w:r w:rsidR="00E80953">
        <w:t xml:space="preserve">Navy blue corresponds to universities, teal blue to </w:t>
      </w:r>
      <w:r w:rsidR="00AD71F4">
        <w:t>NHS trusts</w:t>
      </w:r>
      <w:r w:rsidR="00E80953">
        <w:t>, orange corresponds to integrated care boards (ICB), and green to funders.</w:t>
      </w:r>
    </w:p>
    <w:p w14:paraId="1F917B84" w14:textId="77777777" w:rsidR="00E80953" w:rsidRDefault="00E80953" w:rsidP="00E80953">
      <w:pPr>
        <w:jc w:val="both"/>
      </w:pPr>
    </w:p>
    <w:p w14:paraId="470A32F2" w14:textId="042A83B8" w:rsidR="003B05A0" w:rsidRDefault="00AD71F4" w:rsidP="00E80953">
      <w:pPr>
        <w:jc w:val="both"/>
      </w:pPr>
      <w:r>
        <w:rPr>
          <w:noProof/>
        </w:rPr>
        <w:drawing>
          <wp:inline distT="0" distB="0" distL="0" distR="0" wp14:anchorId="6E0BE123" wp14:editId="4F27F27E">
            <wp:extent cx="5731510" cy="3440430"/>
            <wp:effectExtent l="0" t="0" r="0" b="0"/>
            <wp:docPr id="2052767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67716" name="Picture 205276771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440430"/>
                    </a:xfrm>
                    <a:prstGeom prst="rect">
                      <a:avLst/>
                    </a:prstGeom>
                  </pic:spPr>
                </pic:pic>
              </a:graphicData>
            </a:graphic>
          </wp:inline>
        </w:drawing>
      </w:r>
    </w:p>
    <w:p w14:paraId="67FD6490" w14:textId="77777777" w:rsidR="003B05A0" w:rsidRDefault="003B05A0" w:rsidP="00E80953">
      <w:pPr>
        <w:jc w:val="both"/>
      </w:pPr>
    </w:p>
    <w:p w14:paraId="566727B8" w14:textId="77777777" w:rsidR="00E56002" w:rsidRDefault="00E56002" w:rsidP="00E80953">
      <w:pPr>
        <w:jc w:val="both"/>
        <w:rPr>
          <w:b/>
          <w:bCs/>
        </w:rPr>
      </w:pPr>
    </w:p>
    <w:p w14:paraId="5B86017A" w14:textId="77777777" w:rsidR="002538E4" w:rsidRDefault="002538E4" w:rsidP="00E80953">
      <w:pPr>
        <w:jc w:val="both"/>
        <w:rPr>
          <w:b/>
          <w:bCs/>
        </w:rPr>
      </w:pPr>
    </w:p>
    <w:p w14:paraId="1E92F75F" w14:textId="77777777" w:rsidR="002538E4" w:rsidRDefault="002538E4" w:rsidP="00E80953">
      <w:pPr>
        <w:jc w:val="both"/>
        <w:rPr>
          <w:b/>
          <w:bCs/>
        </w:rPr>
      </w:pPr>
    </w:p>
    <w:p w14:paraId="3F2312D9" w14:textId="77777777" w:rsidR="002538E4" w:rsidRDefault="002538E4" w:rsidP="00E80953">
      <w:pPr>
        <w:jc w:val="both"/>
        <w:rPr>
          <w:b/>
          <w:bCs/>
        </w:rPr>
      </w:pPr>
    </w:p>
    <w:p w14:paraId="1BD33B60" w14:textId="77777777" w:rsidR="002538E4" w:rsidRDefault="002538E4" w:rsidP="00E80953">
      <w:pPr>
        <w:jc w:val="both"/>
        <w:rPr>
          <w:b/>
          <w:bCs/>
        </w:rPr>
      </w:pPr>
    </w:p>
    <w:p w14:paraId="49B1BE76" w14:textId="77777777" w:rsidR="002538E4" w:rsidRDefault="002538E4" w:rsidP="00E80953">
      <w:pPr>
        <w:jc w:val="both"/>
        <w:rPr>
          <w:b/>
          <w:bCs/>
        </w:rPr>
      </w:pPr>
    </w:p>
    <w:p w14:paraId="569F57C7" w14:textId="77777777" w:rsidR="002538E4" w:rsidRDefault="002538E4" w:rsidP="00E80953">
      <w:pPr>
        <w:jc w:val="both"/>
        <w:rPr>
          <w:b/>
          <w:bCs/>
        </w:rPr>
      </w:pPr>
    </w:p>
    <w:p w14:paraId="5E6255AB" w14:textId="77777777" w:rsidR="002538E4" w:rsidRDefault="002538E4" w:rsidP="00E80953">
      <w:pPr>
        <w:jc w:val="both"/>
        <w:rPr>
          <w:b/>
          <w:bCs/>
        </w:rPr>
      </w:pPr>
    </w:p>
    <w:p w14:paraId="501C9E40" w14:textId="77777777" w:rsidR="002538E4" w:rsidRDefault="002538E4" w:rsidP="00E80953">
      <w:pPr>
        <w:jc w:val="both"/>
        <w:rPr>
          <w:b/>
          <w:bCs/>
        </w:rPr>
      </w:pPr>
    </w:p>
    <w:p w14:paraId="30A558D2" w14:textId="77777777" w:rsidR="002538E4" w:rsidRDefault="002538E4" w:rsidP="00E80953">
      <w:pPr>
        <w:jc w:val="both"/>
        <w:rPr>
          <w:b/>
          <w:bCs/>
        </w:rPr>
      </w:pPr>
    </w:p>
    <w:p w14:paraId="792A70C7" w14:textId="77777777" w:rsidR="002538E4" w:rsidRDefault="002538E4" w:rsidP="00E80953">
      <w:pPr>
        <w:jc w:val="both"/>
        <w:rPr>
          <w:b/>
          <w:bCs/>
        </w:rPr>
      </w:pPr>
    </w:p>
    <w:p w14:paraId="5D2984E1" w14:textId="77777777" w:rsidR="002538E4" w:rsidRDefault="002538E4" w:rsidP="00E80953">
      <w:pPr>
        <w:jc w:val="both"/>
        <w:rPr>
          <w:b/>
          <w:bCs/>
        </w:rPr>
      </w:pPr>
    </w:p>
    <w:p w14:paraId="30B6A15D" w14:textId="77777777" w:rsidR="002538E4" w:rsidRDefault="002538E4" w:rsidP="00E80953">
      <w:pPr>
        <w:jc w:val="both"/>
        <w:rPr>
          <w:b/>
          <w:bCs/>
        </w:rPr>
      </w:pPr>
    </w:p>
    <w:p w14:paraId="2050814D" w14:textId="77777777" w:rsidR="002538E4" w:rsidRDefault="002538E4" w:rsidP="00E80953">
      <w:pPr>
        <w:jc w:val="both"/>
        <w:rPr>
          <w:b/>
          <w:bCs/>
        </w:rPr>
      </w:pPr>
    </w:p>
    <w:p w14:paraId="1AAE70F8" w14:textId="77777777" w:rsidR="002538E4" w:rsidRDefault="002538E4" w:rsidP="00E80953">
      <w:pPr>
        <w:jc w:val="both"/>
        <w:rPr>
          <w:b/>
          <w:bCs/>
        </w:rPr>
      </w:pPr>
    </w:p>
    <w:p w14:paraId="2E74AE8F" w14:textId="77777777" w:rsidR="002538E4" w:rsidRDefault="002538E4" w:rsidP="00E80953">
      <w:pPr>
        <w:jc w:val="both"/>
        <w:rPr>
          <w:b/>
          <w:bCs/>
        </w:rPr>
      </w:pPr>
    </w:p>
    <w:p w14:paraId="79812AFD" w14:textId="77777777" w:rsidR="002538E4" w:rsidRDefault="002538E4" w:rsidP="00E80953">
      <w:pPr>
        <w:jc w:val="both"/>
        <w:rPr>
          <w:b/>
          <w:bCs/>
        </w:rPr>
      </w:pPr>
    </w:p>
    <w:p w14:paraId="21774006" w14:textId="4D5964E9" w:rsidR="003B05A0" w:rsidRDefault="003B05A0" w:rsidP="00E80953">
      <w:pPr>
        <w:jc w:val="both"/>
      </w:pPr>
      <w:r w:rsidRPr="00394DA0">
        <w:rPr>
          <w:b/>
          <w:bCs/>
        </w:rPr>
        <w:lastRenderedPageBreak/>
        <w:t xml:space="preserve">Supplementary </w:t>
      </w:r>
      <w:r>
        <w:rPr>
          <w:b/>
          <w:bCs/>
        </w:rPr>
        <w:t>F</w:t>
      </w:r>
      <w:r w:rsidRPr="00394DA0">
        <w:rPr>
          <w:b/>
          <w:bCs/>
        </w:rPr>
        <w:t>igure 2</w:t>
      </w:r>
      <w:r>
        <w:t>.</w:t>
      </w:r>
    </w:p>
    <w:p w14:paraId="7A3DDD5D" w14:textId="03B92B99" w:rsidR="00E80953" w:rsidRDefault="00E80953" w:rsidP="00E80953">
      <w:pPr>
        <w:jc w:val="both"/>
      </w:pPr>
      <w:r>
        <w:t xml:space="preserve">Bar plots showing the primary outcome (top), i.e., percentage of institutions with executive boards or committees that have a member with an explicitly defined PPI role, and the percentage of institutions </w:t>
      </w:r>
      <w:r>
        <w:rPr>
          <w:rFonts w:eastAsiaTheme="minorEastAsia"/>
        </w:rPr>
        <w:t xml:space="preserve">with a separate PPI board that feeds into their governance structure (secondary outcome, bottom), by institution type. The data is based on our interpretation of their answer to the FOI request. </w:t>
      </w:r>
      <w:r>
        <w:t xml:space="preserve"> Navy blue corresponds to universities, teal blue to </w:t>
      </w:r>
      <w:r w:rsidR="003C1DFD">
        <w:t>NHS trusts</w:t>
      </w:r>
      <w:r>
        <w:t>, orange corresponds to integrated care boards (ICB), and green to funders.</w:t>
      </w:r>
    </w:p>
    <w:p w14:paraId="4950A769" w14:textId="2A2B3A7F" w:rsidR="003B05A0" w:rsidRDefault="003C1DFD" w:rsidP="00E80953">
      <w:pPr>
        <w:jc w:val="both"/>
      </w:pPr>
      <w:r>
        <w:rPr>
          <w:noProof/>
        </w:rPr>
        <w:drawing>
          <wp:inline distT="0" distB="0" distL="0" distR="0" wp14:anchorId="576FF04E" wp14:editId="71CA4E97">
            <wp:extent cx="5731510" cy="4582160"/>
            <wp:effectExtent l="0" t="0" r="0" b="0"/>
            <wp:docPr id="7360317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031717" name="Picture 7360317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582160"/>
                    </a:xfrm>
                    <a:prstGeom prst="rect">
                      <a:avLst/>
                    </a:prstGeom>
                  </pic:spPr>
                </pic:pic>
              </a:graphicData>
            </a:graphic>
          </wp:inline>
        </w:drawing>
      </w:r>
    </w:p>
    <w:p w14:paraId="315F8E5E" w14:textId="77777777" w:rsidR="002A7A3F" w:rsidRDefault="002A7A3F" w:rsidP="00E80953">
      <w:pPr>
        <w:jc w:val="both"/>
      </w:pPr>
    </w:p>
    <w:p w14:paraId="33F07C7D" w14:textId="77777777" w:rsidR="002A7A3F" w:rsidRDefault="002A7A3F" w:rsidP="00E80953">
      <w:pPr>
        <w:jc w:val="both"/>
      </w:pPr>
    </w:p>
    <w:p w14:paraId="7E32F899" w14:textId="77777777" w:rsidR="002A7A3F" w:rsidRDefault="002A7A3F" w:rsidP="00E80953">
      <w:pPr>
        <w:jc w:val="both"/>
      </w:pPr>
    </w:p>
    <w:p w14:paraId="0B12A6BD" w14:textId="77777777" w:rsidR="002A7A3F" w:rsidRDefault="002A7A3F" w:rsidP="00E80953">
      <w:pPr>
        <w:jc w:val="both"/>
      </w:pPr>
    </w:p>
    <w:p w14:paraId="4D125961" w14:textId="77777777" w:rsidR="00E56F36" w:rsidRDefault="00E56F36" w:rsidP="00E80953">
      <w:pPr>
        <w:jc w:val="both"/>
      </w:pPr>
    </w:p>
    <w:p w14:paraId="7CA4C3F5" w14:textId="77777777" w:rsidR="00E56F36" w:rsidRDefault="00E56F36" w:rsidP="00E80953">
      <w:pPr>
        <w:jc w:val="both"/>
      </w:pPr>
    </w:p>
    <w:p w14:paraId="597791E2" w14:textId="77777777" w:rsidR="00E56F36" w:rsidRDefault="00E56F36" w:rsidP="00E80953">
      <w:pPr>
        <w:jc w:val="both"/>
      </w:pPr>
    </w:p>
    <w:p w14:paraId="2265F381" w14:textId="77777777" w:rsidR="00E56F36" w:rsidRDefault="00E56F36" w:rsidP="00E80953">
      <w:pPr>
        <w:jc w:val="both"/>
      </w:pPr>
    </w:p>
    <w:p w14:paraId="4C621721" w14:textId="77777777" w:rsidR="00E56F36" w:rsidRDefault="00E56F36" w:rsidP="00E80953">
      <w:pPr>
        <w:jc w:val="both"/>
      </w:pPr>
    </w:p>
    <w:p w14:paraId="2062D499" w14:textId="77777777" w:rsidR="00E56F36" w:rsidRDefault="00E56F36" w:rsidP="00E80953">
      <w:pPr>
        <w:jc w:val="both"/>
      </w:pPr>
    </w:p>
    <w:p w14:paraId="522B14CD" w14:textId="77777777" w:rsidR="00E56F36" w:rsidRDefault="00E56F36" w:rsidP="00E80953">
      <w:pPr>
        <w:jc w:val="both"/>
      </w:pPr>
    </w:p>
    <w:p w14:paraId="2EBF71C8" w14:textId="77777777" w:rsidR="00E56F36" w:rsidRDefault="00E56F36" w:rsidP="00E80953">
      <w:pPr>
        <w:jc w:val="both"/>
      </w:pPr>
    </w:p>
    <w:p w14:paraId="29DCB342" w14:textId="77777777" w:rsidR="00E56F36" w:rsidRDefault="00E56F36" w:rsidP="00E80953">
      <w:pPr>
        <w:jc w:val="both"/>
      </w:pPr>
    </w:p>
    <w:p w14:paraId="07285926" w14:textId="77777777" w:rsidR="00E56F36" w:rsidRDefault="00E56F36" w:rsidP="00E80953">
      <w:pPr>
        <w:jc w:val="both"/>
      </w:pPr>
    </w:p>
    <w:p w14:paraId="7D0A1819" w14:textId="77777777" w:rsidR="00E56F36" w:rsidRDefault="00E56F36" w:rsidP="00E80953">
      <w:pPr>
        <w:jc w:val="both"/>
      </w:pPr>
    </w:p>
    <w:p w14:paraId="0C99B163" w14:textId="2222E8BC" w:rsidR="00E56F36" w:rsidRDefault="00E56F36" w:rsidP="00E80953">
      <w:pPr>
        <w:jc w:val="both"/>
      </w:pPr>
      <w:r>
        <w:rPr>
          <w:b/>
          <w:bCs/>
        </w:rPr>
        <w:lastRenderedPageBreak/>
        <w:t xml:space="preserve">Supplementary </w:t>
      </w:r>
      <w:r w:rsidRPr="006E3A14">
        <w:rPr>
          <w:b/>
          <w:bCs/>
        </w:rPr>
        <w:t xml:space="preserve">Figure </w:t>
      </w:r>
      <w:r>
        <w:rPr>
          <w:b/>
          <w:bCs/>
        </w:rPr>
        <w:t>3.</w:t>
      </w:r>
      <w:r>
        <w:t xml:space="preserve"> </w:t>
      </w:r>
    </w:p>
    <w:p w14:paraId="7F36D90F" w14:textId="2123C165" w:rsidR="00E56F36" w:rsidRDefault="00E56F36" w:rsidP="00E80953">
      <w:pPr>
        <w:jc w:val="both"/>
      </w:pPr>
      <w:r>
        <w:t>Bar plot showing the percentage of institutions with remuneration (dark shading</w:t>
      </w:r>
      <w:r w:rsidRPr="008A4515">
        <w:rPr>
          <w:rFonts w:eastAsiaTheme="minorEastAsia"/>
        </w:rPr>
        <w:t xml:space="preserve">) and mandatory training (light shading) for PPI representatives, by institution type. </w:t>
      </w:r>
      <w:r w:rsidR="00AF6C52">
        <w:rPr>
          <w:rFonts w:eastAsiaTheme="minorEastAsia"/>
        </w:rPr>
        <w:t>This is computed among institutions that have PPI representation or a PPI advisory structure at executive level.</w:t>
      </w:r>
      <w:r>
        <w:t xml:space="preserve"> Navy blue corresponds to universities, teal blue to </w:t>
      </w:r>
      <w:r w:rsidR="009008DB">
        <w:t>NHS trusts</w:t>
      </w:r>
      <w:r w:rsidR="000C133C">
        <w:t>,</w:t>
      </w:r>
      <w:r>
        <w:t xml:space="preserve"> orange corresponds to integrated care boards (ICB), and green to funders.</w:t>
      </w:r>
    </w:p>
    <w:p w14:paraId="6115289E" w14:textId="77777777" w:rsidR="002A7A3F" w:rsidRDefault="002A7A3F" w:rsidP="00E80953">
      <w:pPr>
        <w:jc w:val="both"/>
      </w:pPr>
    </w:p>
    <w:p w14:paraId="14C2BABD" w14:textId="1F3661A2" w:rsidR="002A7A3F" w:rsidRDefault="009008DB" w:rsidP="00E80953">
      <w:pPr>
        <w:jc w:val="both"/>
      </w:pPr>
      <w:r>
        <w:rPr>
          <w:noProof/>
        </w:rPr>
        <w:drawing>
          <wp:inline distT="0" distB="0" distL="0" distR="0" wp14:anchorId="044C3D07" wp14:editId="73BF0C31">
            <wp:extent cx="5731510" cy="3440430"/>
            <wp:effectExtent l="0" t="0" r="0" b="0"/>
            <wp:docPr id="9012336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233629" name="Picture 90123362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440430"/>
                    </a:xfrm>
                    <a:prstGeom prst="rect">
                      <a:avLst/>
                    </a:prstGeom>
                  </pic:spPr>
                </pic:pic>
              </a:graphicData>
            </a:graphic>
          </wp:inline>
        </w:drawing>
      </w:r>
    </w:p>
    <w:sectPr w:rsidR="002A7A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5A0"/>
    <w:rsid w:val="00046B35"/>
    <w:rsid w:val="000C133C"/>
    <w:rsid w:val="002538E4"/>
    <w:rsid w:val="002A7A3F"/>
    <w:rsid w:val="003B05A0"/>
    <w:rsid w:val="003C1DFD"/>
    <w:rsid w:val="00454AF0"/>
    <w:rsid w:val="005B6A9A"/>
    <w:rsid w:val="008D25E9"/>
    <w:rsid w:val="009008DB"/>
    <w:rsid w:val="00985F7B"/>
    <w:rsid w:val="00AD71F4"/>
    <w:rsid w:val="00AF6C52"/>
    <w:rsid w:val="00E12C0D"/>
    <w:rsid w:val="00E149CD"/>
    <w:rsid w:val="00E56002"/>
    <w:rsid w:val="00E56F36"/>
    <w:rsid w:val="00E809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53269"/>
  <w15:chartTrackingRefBased/>
  <w15:docId w15:val="{8C077B44-0D2A-41F0-A575-104A311DE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5A0"/>
    <w:pPr>
      <w:spacing w:after="0" w:line="240" w:lineRule="auto"/>
    </w:pPr>
  </w:style>
  <w:style w:type="paragraph" w:styleId="Heading1">
    <w:name w:val="heading 1"/>
    <w:basedOn w:val="Normal"/>
    <w:next w:val="Normal"/>
    <w:link w:val="Heading1Char"/>
    <w:uiPriority w:val="9"/>
    <w:qFormat/>
    <w:rsid w:val="003B05A0"/>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05A0"/>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05A0"/>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05A0"/>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05A0"/>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05A0"/>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05A0"/>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05A0"/>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05A0"/>
    <w:pPr>
      <w:keepNext/>
      <w:keepLines/>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5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05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05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05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05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05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05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05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05A0"/>
    <w:rPr>
      <w:rFonts w:eastAsiaTheme="majorEastAsia" w:cstheme="majorBidi"/>
      <w:color w:val="272727" w:themeColor="text1" w:themeTint="D8"/>
    </w:rPr>
  </w:style>
  <w:style w:type="paragraph" w:styleId="Title">
    <w:name w:val="Title"/>
    <w:basedOn w:val="Normal"/>
    <w:next w:val="Normal"/>
    <w:link w:val="TitleChar"/>
    <w:uiPriority w:val="10"/>
    <w:qFormat/>
    <w:rsid w:val="003B05A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05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05A0"/>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05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05A0"/>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3B05A0"/>
    <w:rPr>
      <w:i/>
      <w:iCs/>
      <w:color w:val="404040" w:themeColor="text1" w:themeTint="BF"/>
    </w:rPr>
  </w:style>
  <w:style w:type="paragraph" w:styleId="ListParagraph">
    <w:name w:val="List Paragraph"/>
    <w:basedOn w:val="Normal"/>
    <w:uiPriority w:val="34"/>
    <w:qFormat/>
    <w:rsid w:val="003B05A0"/>
    <w:pPr>
      <w:spacing w:after="160" w:line="278" w:lineRule="auto"/>
      <w:ind w:left="720"/>
      <w:contextualSpacing/>
    </w:pPr>
  </w:style>
  <w:style w:type="character" w:styleId="IntenseEmphasis">
    <w:name w:val="Intense Emphasis"/>
    <w:basedOn w:val="DefaultParagraphFont"/>
    <w:uiPriority w:val="21"/>
    <w:qFormat/>
    <w:rsid w:val="003B05A0"/>
    <w:rPr>
      <w:i/>
      <w:iCs/>
      <w:color w:val="0F4761" w:themeColor="accent1" w:themeShade="BF"/>
    </w:rPr>
  </w:style>
  <w:style w:type="paragraph" w:styleId="IntenseQuote">
    <w:name w:val="Intense Quote"/>
    <w:basedOn w:val="Normal"/>
    <w:next w:val="Normal"/>
    <w:link w:val="IntenseQuoteChar"/>
    <w:uiPriority w:val="30"/>
    <w:qFormat/>
    <w:rsid w:val="003B05A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05A0"/>
    <w:rPr>
      <w:i/>
      <w:iCs/>
      <w:color w:val="0F4761" w:themeColor="accent1" w:themeShade="BF"/>
    </w:rPr>
  </w:style>
  <w:style w:type="character" w:styleId="IntenseReference">
    <w:name w:val="Intense Reference"/>
    <w:basedOn w:val="DefaultParagraphFont"/>
    <w:uiPriority w:val="32"/>
    <w:qFormat/>
    <w:rsid w:val="003B05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42e168-c151-4c59-9c1d-60252873f258" xsi:nil="true"/>
    <lcf76f155ced4ddcb4097134ff3c332f xmlns="91e88355-4fad-458d-be2e-5793b9b2eec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C216E363309A43BCA15B92E6A54759" ma:contentTypeVersion="11" ma:contentTypeDescription="Create a new document." ma:contentTypeScope="" ma:versionID="8efc8e41be67ae9d17073fb3ba428539">
  <xsd:schema xmlns:xsd="http://www.w3.org/2001/XMLSchema" xmlns:xs="http://www.w3.org/2001/XMLSchema" xmlns:p="http://schemas.microsoft.com/office/2006/metadata/properties" xmlns:ns2="91e88355-4fad-458d-be2e-5793b9b2eec5" xmlns:ns3="db42e168-c151-4c59-9c1d-60252873f258" targetNamespace="http://schemas.microsoft.com/office/2006/metadata/properties" ma:root="true" ma:fieldsID="ed88e6cbc5ab0b6b5225f03603b7f5a3" ns2:_="" ns3:_="">
    <xsd:import namespace="91e88355-4fad-458d-be2e-5793b9b2eec5"/>
    <xsd:import namespace="db42e168-c151-4c59-9c1d-60252873f2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88355-4fad-458d-be2e-5793b9b2e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c18f9b8-5ae4-4f0b-a238-a922c51e2dd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42e168-c151-4c59-9c1d-60252873f25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b8f6e52-3904-4384-a09c-7eb6735592c9}" ma:internalName="TaxCatchAll" ma:showField="CatchAllData" ma:web="db42e168-c151-4c59-9c1d-60252873f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99CA9A-7DD5-4E14-AA61-ECD3948F8671}">
  <ds:schemaRefs>
    <ds:schemaRef ds:uri="http://schemas.microsoft.com/office/2006/metadata/properties"/>
    <ds:schemaRef ds:uri="http://schemas.microsoft.com/office/infopath/2007/PartnerControls"/>
    <ds:schemaRef ds:uri="db42e168-c151-4c59-9c1d-60252873f258"/>
    <ds:schemaRef ds:uri="91e88355-4fad-458d-be2e-5793b9b2eec5"/>
  </ds:schemaRefs>
</ds:datastoreItem>
</file>

<file path=customXml/itemProps2.xml><?xml version="1.0" encoding="utf-8"?>
<ds:datastoreItem xmlns:ds="http://schemas.openxmlformats.org/officeDocument/2006/customXml" ds:itemID="{9711DA76-FE1A-4D4D-837A-859B03635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88355-4fad-458d-be2e-5793b9b2eec5"/>
    <ds:schemaRef ds:uri="db42e168-c151-4c59-9c1d-60252873f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3081B1-B6CF-42D3-880C-3B51AB9E48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253</Words>
  <Characters>1448</Characters>
  <Application>Microsoft Office Word</Application>
  <DocSecurity>0</DocSecurity>
  <Lines>12</Lines>
  <Paragraphs>3</Paragraphs>
  <ScaleCrop>false</ScaleCrop>
  <Company>Queen Mary, University of London</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Devonald</dc:creator>
  <cp:keywords/>
  <dc:description/>
  <cp:lastModifiedBy>Chloe Pasin</cp:lastModifiedBy>
  <cp:revision>16</cp:revision>
  <dcterms:created xsi:type="dcterms:W3CDTF">2026-07-22T11:07:00Z</dcterms:created>
  <dcterms:modified xsi:type="dcterms:W3CDTF">2026-08-10T14:11:00Z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0x010100FDC216E363309A43BCA15B92E6A54759</vt:lpwstr>
  </property>
  <property fmtid="{D5CDD505-2E9C-101B-9397-08002B2CF9AE}" pid="3" name="MediaServiceImageTags">
    <vt:lpwstr/>
  </property>
</Properties>
</file>