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9FD2AFE" w:rsidR="00722577" w:rsidRPr="00564793" w:rsidRDefault="0D31C0AF" w:rsidP="00564793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64793">
        <w:rPr>
          <w:rFonts w:ascii="Arial" w:hAnsi="Arial" w:cs="Arial"/>
          <w:b/>
          <w:bCs/>
          <w:sz w:val="28"/>
          <w:szCs w:val="28"/>
        </w:rPr>
        <w:t>Appendix</w:t>
      </w:r>
    </w:p>
    <w:p w14:paraId="110BF689" w14:textId="77777777" w:rsidR="00564793" w:rsidRPr="00564793" w:rsidRDefault="00564793" w:rsidP="00564793">
      <w:pPr>
        <w:jc w:val="both"/>
        <w:rPr>
          <w:rFonts w:ascii="Arial" w:hAnsi="Arial" w:cs="Arial"/>
          <w:b/>
          <w:bCs/>
        </w:rPr>
      </w:pPr>
      <w:r w:rsidRPr="00564793">
        <w:rPr>
          <w:rFonts w:ascii="Arial" w:hAnsi="Arial" w:cs="Arial"/>
          <w:b/>
          <w:bCs/>
        </w:rPr>
        <w:t>A1. Additional dataset details</w:t>
      </w:r>
    </w:p>
    <w:p w14:paraId="18E0DA6C" w14:textId="49BCAD3C" w:rsidR="00564793" w:rsidRPr="00564793" w:rsidRDefault="00564793" w:rsidP="00564793">
      <w:pPr>
        <w:jc w:val="both"/>
        <w:rPr>
          <w:rFonts w:ascii="Arial" w:hAnsi="Arial" w:cs="Arial"/>
          <w:sz w:val="22"/>
          <w:szCs w:val="22"/>
        </w:rPr>
      </w:pPr>
      <w:r w:rsidRPr="00564793">
        <w:rPr>
          <w:rFonts w:ascii="Arial" w:hAnsi="Arial" w:cs="Arial"/>
          <w:sz w:val="22"/>
          <w:szCs w:val="22"/>
        </w:rPr>
        <w:t>Inclusion criteria for the in-house cohort included: (</w:t>
      </w:r>
      <w:proofErr w:type="spellStart"/>
      <w:r w:rsidRPr="00564793">
        <w:rPr>
          <w:rFonts w:ascii="Arial" w:hAnsi="Arial" w:cs="Arial"/>
          <w:sz w:val="22"/>
          <w:szCs w:val="22"/>
        </w:rPr>
        <w:t>i</w:t>
      </w:r>
      <w:proofErr w:type="spellEnd"/>
      <w:r w:rsidRPr="00564793">
        <w:rPr>
          <w:rFonts w:ascii="Arial" w:hAnsi="Arial" w:cs="Arial"/>
          <w:sz w:val="22"/>
          <w:szCs w:val="22"/>
        </w:rPr>
        <w:t>) adult patients (18 years), (ii)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4793">
        <w:rPr>
          <w:rFonts w:ascii="Arial" w:hAnsi="Arial" w:cs="Arial"/>
          <w:sz w:val="22"/>
          <w:szCs w:val="22"/>
        </w:rPr>
        <w:t>histopathologically</w:t>
      </w:r>
      <w:proofErr w:type="spellEnd"/>
      <w:r w:rsidRPr="00564793">
        <w:rPr>
          <w:rFonts w:ascii="Arial" w:hAnsi="Arial" w:cs="Arial"/>
          <w:sz w:val="22"/>
          <w:szCs w:val="22"/>
        </w:rPr>
        <w:t xml:space="preserve"> confirmed glioma, (iii) availability of preoperative multi-sequence MRI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(T1, T1C, T2, FLAIR), and (iv) complete molecular and/or survival data. Exclusion criteria included: (</w:t>
      </w:r>
      <w:proofErr w:type="spellStart"/>
      <w:r w:rsidRPr="00564793">
        <w:rPr>
          <w:rFonts w:ascii="Arial" w:hAnsi="Arial" w:cs="Arial"/>
          <w:sz w:val="22"/>
          <w:szCs w:val="22"/>
        </w:rPr>
        <w:t>i</w:t>
      </w:r>
      <w:proofErr w:type="spellEnd"/>
      <w:r w:rsidRPr="00564793">
        <w:rPr>
          <w:rFonts w:ascii="Arial" w:hAnsi="Arial" w:cs="Arial"/>
          <w:sz w:val="22"/>
          <w:szCs w:val="22"/>
        </w:rPr>
        <w:t>) poor image quality, (ii) missing key MRI sequences, and (iii) prior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treatment before imaging. Data were collected retrospectively between 2010-2025. Missing values (NA) in clinical and molecular variables were handled using complete-case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analysis for each downstream task. No imputation was performed; models were trained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only on samples with available labels for the specific endpoint.</w:t>
      </w:r>
    </w:p>
    <w:p w14:paraId="0528146A" w14:textId="77777777" w:rsidR="00564793" w:rsidRPr="00564793" w:rsidRDefault="00564793" w:rsidP="00564793">
      <w:pPr>
        <w:jc w:val="both"/>
        <w:rPr>
          <w:rFonts w:ascii="Arial" w:hAnsi="Arial" w:cs="Arial"/>
          <w:b/>
          <w:bCs/>
        </w:rPr>
      </w:pPr>
      <w:r w:rsidRPr="00564793">
        <w:rPr>
          <w:rFonts w:ascii="Arial" w:hAnsi="Arial" w:cs="Arial"/>
          <w:b/>
          <w:bCs/>
        </w:rPr>
        <w:t>A2. Additional training details</w:t>
      </w:r>
    </w:p>
    <w:p w14:paraId="12CBE415" w14:textId="53409E2A" w:rsidR="005A5014" w:rsidRDefault="00564793" w:rsidP="00564793">
      <w:pPr>
        <w:jc w:val="both"/>
        <w:rPr>
          <w:rFonts w:ascii="Arial" w:hAnsi="Arial" w:cs="Arial"/>
          <w:sz w:val="22"/>
          <w:szCs w:val="22"/>
        </w:rPr>
      </w:pPr>
      <w:r w:rsidRPr="00564793">
        <w:rPr>
          <w:rFonts w:ascii="Arial" w:hAnsi="Arial" w:cs="Arial"/>
          <w:sz w:val="22"/>
          <w:szCs w:val="22"/>
        </w:rPr>
        <w:t xml:space="preserve">Models were trained using </w:t>
      </w:r>
      <w:proofErr w:type="spellStart"/>
      <w:r w:rsidRPr="00564793">
        <w:rPr>
          <w:rFonts w:ascii="Arial" w:hAnsi="Arial" w:cs="Arial"/>
          <w:sz w:val="22"/>
          <w:szCs w:val="22"/>
        </w:rPr>
        <w:t>AdamW</w:t>
      </w:r>
      <w:proofErr w:type="spellEnd"/>
      <w:r w:rsidRPr="00564793">
        <w:rPr>
          <w:rFonts w:ascii="Arial" w:hAnsi="Arial" w:cs="Arial"/>
          <w:sz w:val="22"/>
          <w:szCs w:val="22"/>
        </w:rPr>
        <w:t xml:space="preserve"> optimizer (weight decay=1e-4, 1=0.9, 2=0.999) with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a learning rate of 1e-5 and batch size of 2. Training was performed for 100 epochs with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early stopping based on validation loss (patience=20). Experiments were conducted on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an NVIDIA A6000 GPU (48 GB VRAM), with total training time of approximately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52 hours. Convergence was assessed via stabilization of validation loss and embedding</w:t>
      </w:r>
      <w:r>
        <w:rPr>
          <w:rFonts w:ascii="Arial" w:hAnsi="Arial" w:cs="Arial"/>
          <w:sz w:val="22"/>
          <w:szCs w:val="22"/>
        </w:rPr>
        <w:t xml:space="preserve"> </w:t>
      </w:r>
      <w:r w:rsidRPr="00564793">
        <w:rPr>
          <w:rFonts w:ascii="Arial" w:hAnsi="Arial" w:cs="Arial"/>
          <w:sz w:val="22"/>
          <w:szCs w:val="22"/>
        </w:rPr>
        <w:t>consistency metrics.</w:t>
      </w:r>
    </w:p>
    <w:p w14:paraId="20536241" w14:textId="463D8B37" w:rsidR="00345CF4" w:rsidRDefault="00345C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44635" w:rsidRPr="00744635" w14:paraId="323F4D9D" w14:textId="77777777" w:rsidTr="009C228E">
        <w:tc>
          <w:tcPr>
            <w:tcW w:w="4320" w:type="dxa"/>
          </w:tcPr>
          <w:p w14:paraId="0B0DE173" w14:textId="77777777" w:rsidR="00744635" w:rsidRPr="00744635" w:rsidRDefault="00744635" w:rsidP="00744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635">
              <w:rPr>
                <w:rFonts w:ascii="Arial" w:hAnsi="Arial" w:cs="Arial"/>
                <w:b/>
                <w:bCs/>
              </w:rPr>
              <w:lastRenderedPageBreak/>
              <w:t>Dataset</w:t>
            </w:r>
          </w:p>
        </w:tc>
        <w:tc>
          <w:tcPr>
            <w:tcW w:w="4320" w:type="dxa"/>
          </w:tcPr>
          <w:p w14:paraId="2E8EAAE8" w14:textId="77777777" w:rsidR="00744635" w:rsidRPr="00744635" w:rsidRDefault="00744635" w:rsidP="00744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635">
              <w:rPr>
                <w:rFonts w:ascii="Arial" w:hAnsi="Arial" w:cs="Arial"/>
                <w:b/>
                <w:bCs/>
              </w:rPr>
              <w:t>N</w:t>
            </w:r>
          </w:p>
        </w:tc>
      </w:tr>
      <w:tr w:rsidR="00744635" w:rsidRPr="00744635" w14:paraId="536DF21F" w14:textId="77777777" w:rsidTr="009C228E">
        <w:tc>
          <w:tcPr>
            <w:tcW w:w="4320" w:type="dxa"/>
          </w:tcPr>
          <w:p w14:paraId="419156E1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proofErr w:type="spellStart"/>
            <w:r w:rsidRPr="00744635">
              <w:rPr>
                <w:rFonts w:ascii="Arial" w:hAnsi="Arial" w:cs="Arial"/>
              </w:rPr>
              <w:t>BraTS</w:t>
            </w:r>
            <w:proofErr w:type="spellEnd"/>
            <w:r w:rsidRPr="00744635">
              <w:rPr>
                <w:rFonts w:ascii="Arial" w:hAnsi="Arial" w:cs="Arial"/>
              </w:rPr>
              <w:t>-GLI-Pre</w:t>
            </w:r>
          </w:p>
        </w:tc>
        <w:tc>
          <w:tcPr>
            <w:tcW w:w="4320" w:type="dxa"/>
          </w:tcPr>
          <w:p w14:paraId="7FBEBD37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1,443</w:t>
            </w:r>
          </w:p>
        </w:tc>
      </w:tr>
      <w:tr w:rsidR="00744635" w:rsidRPr="00744635" w14:paraId="63789F03" w14:textId="77777777" w:rsidTr="009C228E">
        <w:tc>
          <w:tcPr>
            <w:tcW w:w="4320" w:type="dxa"/>
          </w:tcPr>
          <w:p w14:paraId="3BEE74F1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proofErr w:type="spellStart"/>
            <w:r w:rsidRPr="00744635">
              <w:rPr>
                <w:rFonts w:ascii="Arial" w:hAnsi="Arial" w:cs="Arial"/>
              </w:rPr>
              <w:t>BraTS</w:t>
            </w:r>
            <w:proofErr w:type="spellEnd"/>
            <w:r w:rsidRPr="00744635">
              <w:rPr>
                <w:rFonts w:ascii="Arial" w:hAnsi="Arial" w:cs="Arial"/>
              </w:rPr>
              <w:t>-GLI-Post</w:t>
            </w:r>
          </w:p>
        </w:tc>
        <w:tc>
          <w:tcPr>
            <w:tcW w:w="4320" w:type="dxa"/>
          </w:tcPr>
          <w:p w14:paraId="460907AF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1,809</w:t>
            </w:r>
          </w:p>
        </w:tc>
      </w:tr>
      <w:tr w:rsidR="00744635" w:rsidRPr="00744635" w14:paraId="270BA54B" w14:textId="77777777" w:rsidTr="009C228E">
        <w:tc>
          <w:tcPr>
            <w:tcW w:w="4320" w:type="dxa"/>
          </w:tcPr>
          <w:p w14:paraId="25791926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BraTS-MEN</w:t>
            </w:r>
          </w:p>
        </w:tc>
        <w:tc>
          <w:tcPr>
            <w:tcW w:w="4320" w:type="dxa"/>
          </w:tcPr>
          <w:p w14:paraId="31C67F3A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1,141</w:t>
            </w:r>
          </w:p>
        </w:tc>
      </w:tr>
      <w:tr w:rsidR="00744635" w:rsidRPr="00744635" w14:paraId="0108A1D6" w14:textId="77777777" w:rsidTr="009C228E">
        <w:tc>
          <w:tcPr>
            <w:tcW w:w="4320" w:type="dxa"/>
          </w:tcPr>
          <w:p w14:paraId="04D10431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proofErr w:type="spellStart"/>
            <w:r w:rsidRPr="00744635">
              <w:rPr>
                <w:rFonts w:ascii="Arial" w:hAnsi="Arial" w:cs="Arial"/>
              </w:rPr>
              <w:t>BraTS</w:t>
            </w:r>
            <w:proofErr w:type="spellEnd"/>
            <w:r w:rsidRPr="00744635">
              <w:rPr>
                <w:rFonts w:ascii="Arial" w:hAnsi="Arial" w:cs="Arial"/>
              </w:rPr>
              <w:t>-MET</w:t>
            </w:r>
          </w:p>
        </w:tc>
        <w:tc>
          <w:tcPr>
            <w:tcW w:w="4320" w:type="dxa"/>
          </w:tcPr>
          <w:p w14:paraId="619A8C63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1,475</w:t>
            </w:r>
          </w:p>
        </w:tc>
      </w:tr>
      <w:tr w:rsidR="00744635" w:rsidRPr="00744635" w14:paraId="34FF0DB4" w14:textId="77777777" w:rsidTr="009C228E">
        <w:tc>
          <w:tcPr>
            <w:tcW w:w="4320" w:type="dxa"/>
          </w:tcPr>
          <w:p w14:paraId="4335497C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proofErr w:type="spellStart"/>
            <w:r w:rsidRPr="00744635">
              <w:rPr>
                <w:rFonts w:ascii="Arial" w:hAnsi="Arial" w:cs="Arial"/>
              </w:rPr>
              <w:t>BraTS</w:t>
            </w:r>
            <w:proofErr w:type="spellEnd"/>
            <w:r w:rsidRPr="00744635">
              <w:rPr>
                <w:rFonts w:ascii="Arial" w:hAnsi="Arial" w:cs="Arial"/>
              </w:rPr>
              <w:t>-PED</w:t>
            </w:r>
          </w:p>
        </w:tc>
        <w:tc>
          <w:tcPr>
            <w:tcW w:w="4320" w:type="dxa"/>
          </w:tcPr>
          <w:p w14:paraId="6E510378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351</w:t>
            </w:r>
          </w:p>
        </w:tc>
      </w:tr>
      <w:tr w:rsidR="00744635" w:rsidRPr="00744635" w14:paraId="41FD15B0" w14:textId="77777777" w:rsidTr="009C228E">
        <w:tc>
          <w:tcPr>
            <w:tcW w:w="4320" w:type="dxa"/>
          </w:tcPr>
          <w:p w14:paraId="37BD76A7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LUMIERE</w:t>
            </w:r>
          </w:p>
        </w:tc>
        <w:tc>
          <w:tcPr>
            <w:tcW w:w="4320" w:type="dxa"/>
          </w:tcPr>
          <w:p w14:paraId="7A7DAA59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599</w:t>
            </w:r>
          </w:p>
        </w:tc>
      </w:tr>
      <w:tr w:rsidR="00744635" w:rsidRPr="00744635" w14:paraId="71274075" w14:textId="77777777" w:rsidTr="009C228E">
        <w:tc>
          <w:tcPr>
            <w:tcW w:w="4320" w:type="dxa"/>
          </w:tcPr>
          <w:p w14:paraId="2535D66F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MU-Glioma-Post</w:t>
            </w:r>
          </w:p>
        </w:tc>
        <w:tc>
          <w:tcPr>
            <w:tcW w:w="4320" w:type="dxa"/>
          </w:tcPr>
          <w:p w14:paraId="1D701D78" w14:textId="77777777" w:rsidR="00744635" w:rsidRPr="00744635" w:rsidRDefault="00744635" w:rsidP="00744635">
            <w:pPr>
              <w:jc w:val="center"/>
              <w:rPr>
                <w:rFonts w:ascii="Arial" w:hAnsi="Arial" w:cs="Arial"/>
              </w:rPr>
            </w:pPr>
            <w:r w:rsidRPr="00744635">
              <w:rPr>
                <w:rFonts w:ascii="Arial" w:hAnsi="Arial" w:cs="Arial"/>
              </w:rPr>
              <w:t>596</w:t>
            </w:r>
          </w:p>
        </w:tc>
      </w:tr>
      <w:tr w:rsidR="00744635" w:rsidRPr="00744635" w14:paraId="2FF87AAA" w14:textId="77777777" w:rsidTr="009C228E">
        <w:tc>
          <w:tcPr>
            <w:tcW w:w="4320" w:type="dxa"/>
          </w:tcPr>
          <w:p w14:paraId="09E0CDBB" w14:textId="77777777" w:rsidR="00744635" w:rsidRPr="00744635" w:rsidRDefault="00744635" w:rsidP="00744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635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4320" w:type="dxa"/>
          </w:tcPr>
          <w:p w14:paraId="104130C4" w14:textId="77777777" w:rsidR="00744635" w:rsidRPr="00744635" w:rsidRDefault="00744635" w:rsidP="00744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635">
              <w:rPr>
                <w:rFonts w:ascii="Arial" w:hAnsi="Arial" w:cs="Arial"/>
                <w:b/>
                <w:bCs/>
              </w:rPr>
              <w:t>7,414</w:t>
            </w:r>
          </w:p>
        </w:tc>
      </w:tr>
    </w:tbl>
    <w:p w14:paraId="421296D2" w14:textId="0AFDAAA0" w:rsidR="00564793" w:rsidRDefault="001956B8" w:rsidP="00564793">
      <w:pPr>
        <w:jc w:val="both"/>
        <w:rPr>
          <w:rFonts w:ascii="Arial" w:hAnsi="Arial" w:cs="Arial"/>
          <w:sz w:val="22"/>
          <w:szCs w:val="22"/>
        </w:rPr>
      </w:pPr>
      <w:r w:rsidRPr="00631054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631054">
        <w:rPr>
          <w:rFonts w:ascii="Arial" w:hAnsi="Arial" w:cs="Arial"/>
          <w:b/>
          <w:bCs/>
          <w:sz w:val="22"/>
          <w:szCs w:val="22"/>
        </w:rPr>
        <w:t>Table 1:</w:t>
      </w:r>
      <w:r w:rsidRPr="001956B8">
        <w:rPr>
          <w:rFonts w:ascii="Arial" w:hAnsi="Arial" w:cs="Arial"/>
          <w:sz w:val="22"/>
          <w:szCs w:val="22"/>
        </w:rPr>
        <w:t xml:space="preserve"> Training</w:t>
      </w:r>
      <w:r>
        <w:rPr>
          <w:rFonts w:ascii="Arial" w:hAnsi="Arial" w:cs="Arial"/>
          <w:sz w:val="22"/>
          <w:szCs w:val="22"/>
        </w:rPr>
        <w:t xml:space="preserve"> </w:t>
      </w:r>
      <w:r w:rsidRPr="001956B8">
        <w:rPr>
          <w:rFonts w:ascii="Arial" w:hAnsi="Arial" w:cs="Arial"/>
          <w:sz w:val="22"/>
          <w:szCs w:val="22"/>
        </w:rPr>
        <w:t>Dataset Composition and Sample Size</w:t>
      </w:r>
    </w:p>
    <w:p w14:paraId="2A1892DB" w14:textId="0BC6A6DD" w:rsidR="001956B8" w:rsidRDefault="001956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EFC34D0" w14:textId="79B972D5" w:rsidR="001956B8" w:rsidRDefault="00566514" w:rsidP="005647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A7743AC" wp14:editId="297D254F">
            <wp:extent cx="5943600" cy="1557655"/>
            <wp:effectExtent l="0" t="0" r="0" b="4445"/>
            <wp:docPr id="757245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45345" name="Picture 757245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D3534" w14:textId="1E11BB1D" w:rsidR="007E3261" w:rsidRDefault="009715F8" w:rsidP="00564793">
      <w:pPr>
        <w:jc w:val="both"/>
        <w:rPr>
          <w:rFonts w:ascii="Arial" w:hAnsi="Arial" w:cs="Arial"/>
          <w:sz w:val="22"/>
          <w:szCs w:val="22"/>
        </w:rPr>
      </w:pPr>
      <w:r w:rsidRPr="00631054">
        <w:rPr>
          <w:rFonts w:ascii="Arial" w:hAnsi="Arial" w:cs="Arial"/>
          <w:b/>
          <w:bCs/>
          <w:sz w:val="22"/>
          <w:szCs w:val="22"/>
        </w:rPr>
        <w:t>Supplementary Figure 1:</w:t>
      </w:r>
      <w:r>
        <w:rPr>
          <w:rFonts w:ascii="Arial" w:hAnsi="Arial" w:cs="Arial"/>
          <w:sz w:val="22"/>
          <w:szCs w:val="22"/>
        </w:rPr>
        <w:t xml:space="preserve"> </w:t>
      </w:r>
      <w:r w:rsidRPr="009715F8">
        <w:rPr>
          <w:rFonts w:ascii="Arial" w:hAnsi="Arial" w:cs="Arial"/>
          <w:sz w:val="22"/>
          <w:szCs w:val="22"/>
        </w:rPr>
        <w:t>Overview of the study cohorts.</w:t>
      </w:r>
    </w:p>
    <w:p w14:paraId="32D2F34D" w14:textId="61CCABC9" w:rsidR="009715F8" w:rsidRDefault="00971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3E71D8F" w14:textId="58EF244C" w:rsidR="009715F8" w:rsidRDefault="009715F8" w:rsidP="005647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950624E" wp14:editId="035E6901">
            <wp:extent cx="5943600" cy="6320790"/>
            <wp:effectExtent l="0" t="0" r="0" b="3810"/>
            <wp:docPr id="2099517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17738" name="Picture 20995177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44F4D" w14:textId="2829D5C8" w:rsidR="009715F8" w:rsidRDefault="009715F8" w:rsidP="00AC0F7C">
      <w:pPr>
        <w:jc w:val="both"/>
        <w:rPr>
          <w:rFonts w:ascii="Arial" w:hAnsi="Arial" w:cs="Arial"/>
          <w:sz w:val="22"/>
          <w:szCs w:val="22"/>
        </w:rPr>
      </w:pPr>
      <w:r w:rsidRPr="00631054">
        <w:rPr>
          <w:rFonts w:ascii="Arial" w:hAnsi="Arial" w:cs="Arial"/>
          <w:b/>
          <w:bCs/>
          <w:sz w:val="22"/>
          <w:szCs w:val="22"/>
        </w:rPr>
        <w:t>Su</w:t>
      </w:r>
      <w:r w:rsidR="00AC0F7C" w:rsidRPr="00631054">
        <w:rPr>
          <w:rFonts w:ascii="Arial" w:hAnsi="Arial" w:cs="Arial"/>
          <w:b/>
          <w:bCs/>
          <w:sz w:val="22"/>
          <w:szCs w:val="22"/>
        </w:rPr>
        <w:t>pplementary Figure 2:</w:t>
      </w:r>
      <w:r w:rsidR="00AC0F7C">
        <w:rPr>
          <w:rFonts w:ascii="Arial" w:hAnsi="Arial" w:cs="Arial"/>
          <w:sz w:val="22"/>
          <w:szCs w:val="22"/>
        </w:rPr>
        <w:t xml:space="preserve"> </w:t>
      </w:r>
      <w:r w:rsidR="00AC0F7C" w:rsidRPr="00AC0F7C">
        <w:rPr>
          <w:rFonts w:ascii="Arial" w:hAnsi="Arial" w:cs="Arial"/>
          <w:sz w:val="22"/>
          <w:szCs w:val="22"/>
        </w:rPr>
        <w:t>Comparison high- and low-risk patients of base SSL method</w:t>
      </w:r>
      <w:r w:rsidR="00AC0F7C">
        <w:rPr>
          <w:rFonts w:ascii="Arial" w:hAnsi="Arial" w:cs="Arial"/>
          <w:sz w:val="22"/>
          <w:szCs w:val="22"/>
        </w:rPr>
        <w:t xml:space="preserve"> </w:t>
      </w:r>
      <w:r w:rsidR="00AC0F7C" w:rsidRPr="00AC0F7C">
        <w:rPr>
          <w:rFonts w:ascii="Arial" w:hAnsi="Arial" w:cs="Arial"/>
          <w:sz w:val="22"/>
          <w:szCs w:val="22"/>
        </w:rPr>
        <w:t xml:space="preserve">and </w:t>
      </w:r>
      <w:proofErr w:type="spellStart"/>
      <w:r w:rsidR="00AC0F7C" w:rsidRPr="00AC0F7C">
        <w:rPr>
          <w:rFonts w:ascii="Arial" w:hAnsi="Arial" w:cs="Arial"/>
          <w:sz w:val="22"/>
          <w:szCs w:val="22"/>
        </w:rPr>
        <w:t>NeuroRAD</w:t>
      </w:r>
      <w:proofErr w:type="spellEnd"/>
      <w:r w:rsidR="00AC0F7C" w:rsidRPr="00AC0F7C">
        <w:rPr>
          <w:rFonts w:ascii="Arial" w:hAnsi="Arial" w:cs="Arial"/>
          <w:sz w:val="22"/>
          <w:szCs w:val="22"/>
        </w:rPr>
        <w:t>-FM for UCSF, UPenn and In-house cohorts</w:t>
      </w:r>
      <w:r w:rsidR="00AC0F7C">
        <w:rPr>
          <w:rFonts w:ascii="Arial" w:hAnsi="Arial" w:cs="Arial"/>
          <w:sz w:val="22"/>
          <w:szCs w:val="22"/>
        </w:rPr>
        <w:t>.</w:t>
      </w:r>
    </w:p>
    <w:p w14:paraId="53EA63CA" w14:textId="62030FB4" w:rsidR="00606EA7" w:rsidRDefault="00606E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A7E45A2" w14:textId="07A4F114" w:rsidR="00606EA7" w:rsidRDefault="00606EA7" w:rsidP="00AC0F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DC13121" wp14:editId="7F528925">
            <wp:extent cx="5943600" cy="3385820"/>
            <wp:effectExtent l="0" t="0" r="0" b="5080"/>
            <wp:docPr id="6495048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04844" name="Picture 6495048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E162E" w14:textId="77C88676" w:rsidR="00C10F49" w:rsidRDefault="00C10F49" w:rsidP="00C10F49">
      <w:pPr>
        <w:jc w:val="both"/>
        <w:rPr>
          <w:rFonts w:ascii="Arial" w:hAnsi="Arial" w:cs="Arial"/>
          <w:sz w:val="22"/>
          <w:szCs w:val="22"/>
        </w:rPr>
      </w:pPr>
      <w:r w:rsidRPr="00631054"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 w:rsidRPr="00631054">
        <w:rPr>
          <w:rFonts w:ascii="Arial" w:hAnsi="Arial" w:cs="Arial"/>
          <w:b/>
          <w:bCs/>
          <w:sz w:val="22"/>
          <w:szCs w:val="22"/>
        </w:rPr>
        <w:t>3</w:t>
      </w:r>
      <w:r w:rsidRPr="00631054">
        <w:rPr>
          <w:rFonts w:ascii="Arial" w:hAnsi="Arial" w:cs="Arial"/>
          <w:b/>
          <w:bCs/>
          <w:sz w:val="22"/>
          <w:szCs w:val="22"/>
        </w:rPr>
        <w:t>:</w:t>
      </w:r>
      <w:r w:rsidRPr="00C10F49">
        <w:rPr>
          <w:rFonts w:ascii="Arial" w:hAnsi="Arial" w:cs="Arial"/>
          <w:sz w:val="22"/>
          <w:szCs w:val="22"/>
        </w:rPr>
        <w:t xml:space="preserve"> Stratification of high- and low-risk patients for different uncommon mutation types.</w:t>
      </w:r>
    </w:p>
    <w:p w14:paraId="14A26C4F" w14:textId="3621CF3E" w:rsidR="00C10F49" w:rsidRDefault="00C10F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A184E5F" w14:textId="49D22B03" w:rsidR="00C10F49" w:rsidRDefault="00C10F49" w:rsidP="00C10F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EC90016" wp14:editId="550BFC43">
            <wp:extent cx="5943600" cy="3799840"/>
            <wp:effectExtent l="0" t="0" r="0" b="0"/>
            <wp:docPr id="20234602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60209" name="Picture 20234602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297E" w14:textId="0D2FC565" w:rsidR="00DD4023" w:rsidRDefault="00DD4023" w:rsidP="00831C57">
      <w:pPr>
        <w:jc w:val="both"/>
        <w:rPr>
          <w:rFonts w:ascii="Arial" w:hAnsi="Arial" w:cs="Arial"/>
          <w:sz w:val="22"/>
          <w:szCs w:val="22"/>
        </w:rPr>
      </w:pPr>
      <w:r w:rsidRPr="00631054"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 w:rsidR="00C8348C" w:rsidRPr="00631054">
        <w:rPr>
          <w:rFonts w:ascii="Arial" w:hAnsi="Arial" w:cs="Arial"/>
          <w:b/>
          <w:bCs/>
          <w:sz w:val="22"/>
          <w:szCs w:val="22"/>
        </w:rPr>
        <w:t>4</w:t>
      </w:r>
      <w:r w:rsidRPr="00631054">
        <w:rPr>
          <w:rFonts w:ascii="Arial" w:hAnsi="Arial" w:cs="Arial"/>
          <w:b/>
          <w:bCs/>
          <w:sz w:val="22"/>
          <w:szCs w:val="22"/>
        </w:rPr>
        <w:t>:</w:t>
      </w:r>
      <w:r w:rsidRPr="00C10F49">
        <w:rPr>
          <w:rFonts w:ascii="Arial" w:hAnsi="Arial" w:cs="Arial"/>
          <w:sz w:val="22"/>
          <w:szCs w:val="22"/>
        </w:rPr>
        <w:t xml:space="preserve"> </w:t>
      </w:r>
      <w:r w:rsidR="00831C57">
        <w:t>Percentage of attention center regions (derived using 5% and 1% Grad-CAM thresholds) that overlap with the tumor region</w:t>
      </w:r>
      <w:r w:rsidR="00831C57">
        <w:t>.</w:t>
      </w:r>
      <w:r>
        <w:rPr>
          <w:rFonts w:ascii="Arial" w:hAnsi="Arial" w:cs="Arial"/>
          <w:sz w:val="22"/>
          <w:szCs w:val="22"/>
        </w:rPr>
        <w:br w:type="page"/>
      </w:r>
    </w:p>
    <w:p w14:paraId="67576F2A" w14:textId="4A4746D0" w:rsidR="00DD4023" w:rsidRDefault="00DD4023" w:rsidP="00C10F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B7481DD" wp14:editId="4904E04E">
            <wp:extent cx="5943600" cy="4592320"/>
            <wp:effectExtent l="0" t="0" r="0" b="5080"/>
            <wp:docPr id="856484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8439" name="Picture 856484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A4B7" w14:textId="36F6F149" w:rsidR="00C8348C" w:rsidRDefault="00C8348C" w:rsidP="00C8348C">
      <w:pPr>
        <w:jc w:val="both"/>
        <w:rPr>
          <w:rFonts w:ascii="Arial" w:hAnsi="Arial" w:cs="Arial"/>
          <w:sz w:val="22"/>
          <w:szCs w:val="22"/>
        </w:rPr>
      </w:pPr>
      <w:r w:rsidRPr="00631054"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 w:rsidRPr="00631054">
        <w:rPr>
          <w:rFonts w:ascii="Arial" w:hAnsi="Arial" w:cs="Arial"/>
          <w:b/>
          <w:bCs/>
          <w:sz w:val="22"/>
          <w:szCs w:val="22"/>
        </w:rPr>
        <w:t>5</w:t>
      </w:r>
      <w:r w:rsidRPr="00631054">
        <w:rPr>
          <w:rFonts w:ascii="Arial" w:hAnsi="Arial" w:cs="Arial"/>
          <w:b/>
          <w:bCs/>
          <w:sz w:val="22"/>
          <w:szCs w:val="22"/>
        </w:rPr>
        <w:t>:</w:t>
      </w:r>
      <w:r w:rsidRPr="00C10F49">
        <w:rPr>
          <w:rFonts w:ascii="Arial" w:hAnsi="Arial" w:cs="Arial"/>
          <w:sz w:val="22"/>
          <w:szCs w:val="22"/>
        </w:rPr>
        <w:t xml:space="preserve"> </w:t>
      </w:r>
      <w:r w:rsidR="00DE0E35">
        <w:rPr>
          <w:rFonts w:ascii="Arial" w:hAnsi="Arial" w:cs="Arial"/>
          <w:sz w:val="22"/>
          <w:szCs w:val="22"/>
        </w:rPr>
        <w:t xml:space="preserve">Additional </w:t>
      </w:r>
      <w:r w:rsidR="00DE0E35">
        <w:t>Grad-CAM visualizations</w:t>
      </w:r>
      <w:r w:rsidR="00DE0E35">
        <w:t xml:space="preserve"> along with the disease summary.</w:t>
      </w:r>
    </w:p>
    <w:p w14:paraId="337F8907" w14:textId="77777777" w:rsidR="00C8348C" w:rsidRPr="00744635" w:rsidRDefault="00C8348C" w:rsidP="00C10F49">
      <w:pPr>
        <w:jc w:val="both"/>
        <w:rPr>
          <w:rFonts w:ascii="Arial" w:hAnsi="Arial" w:cs="Arial"/>
          <w:sz w:val="22"/>
          <w:szCs w:val="22"/>
        </w:rPr>
      </w:pPr>
    </w:p>
    <w:sectPr w:rsidR="00C8348C" w:rsidRPr="0074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17A465"/>
    <w:rsid w:val="001956B8"/>
    <w:rsid w:val="00345CF4"/>
    <w:rsid w:val="00466C2B"/>
    <w:rsid w:val="00564793"/>
    <w:rsid w:val="00566514"/>
    <w:rsid w:val="005A5014"/>
    <w:rsid w:val="005B2B8B"/>
    <w:rsid w:val="00606EA7"/>
    <w:rsid w:val="00631054"/>
    <w:rsid w:val="006A6D7C"/>
    <w:rsid w:val="00722577"/>
    <w:rsid w:val="00744635"/>
    <w:rsid w:val="007E3261"/>
    <w:rsid w:val="00831C57"/>
    <w:rsid w:val="009715F8"/>
    <w:rsid w:val="00AC0F7C"/>
    <w:rsid w:val="00C10F49"/>
    <w:rsid w:val="00C73894"/>
    <w:rsid w:val="00C8348C"/>
    <w:rsid w:val="00DD4023"/>
    <w:rsid w:val="00DE0E35"/>
    <w:rsid w:val="0D31C0AF"/>
    <w:rsid w:val="3817A465"/>
    <w:rsid w:val="7C91E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1CE2"/>
  <w15:chartTrackingRefBased/>
  <w15:docId w15:val="{A2559098-FBD3-4255-B8F3-AEF12519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635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Bhattacharya, Moinak</dc:creator>
  <cp:keywords/>
  <dc:description/>
  <cp:lastModifiedBy>Bhattacharya, Moinak</cp:lastModifiedBy>
  <cp:revision>20</cp:revision>
  <dcterms:created xsi:type="dcterms:W3CDTF">2026-07-17T05:06:00Z</dcterms:created>
  <dcterms:modified xsi:type="dcterms:W3CDTF">2026-07-20T18:42:00Z</dcterms:modified>
</cp:coreProperties>
</file>