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F8374" w14:textId="77777777" w:rsidR="00164304" w:rsidRPr="00D237E7" w:rsidRDefault="00164304" w:rsidP="00164304">
      <w:r>
        <w:rPr>
          <w:rFonts w:ascii="Calibri" w:eastAsia="Calibri" w:hAnsi="Calibri" w:cs="Calibri"/>
          <w:b/>
          <w:bCs/>
          <w:color w:val="000000" w:themeColor="text1"/>
        </w:rPr>
        <w:t>Supplementary Figures:</w:t>
      </w:r>
    </w:p>
    <w:p w14:paraId="5032DF31" w14:textId="77777777" w:rsidR="00164304" w:rsidRDefault="00164304" w:rsidP="00164304">
      <w:pPr>
        <w:jc w:val="both"/>
        <w:rPr>
          <w:rFonts w:ascii="Calibri" w:eastAsia="Calibri" w:hAnsi="Calibri" w:cs="Calibri"/>
          <w:i/>
          <w:color w:val="000000" w:themeColor="text1"/>
        </w:rPr>
      </w:pPr>
      <w:r>
        <w:rPr>
          <w:rFonts w:ascii="Calibri" w:eastAsia="Calibri" w:hAnsi="Calibri" w:cs="Calibri"/>
          <w:i/>
          <w:color w:val="000000" w:themeColor="text1"/>
        </w:rPr>
        <w:t>Supplementary Figure S1. Principal component analysis of the 48 RNA-seq libraries (all genes, log2), colored by tissue and shaped by embryo-production group (IVP/MOET). PC1 separates tissues, indicating tissue is the dominant source of expression variance.</w:t>
      </w:r>
    </w:p>
    <w:p w14:paraId="4AA943C6" w14:textId="77777777" w:rsidR="00164304" w:rsidRDefault="00164304" w:rsidP="00164304">
      <w:pPr>
        <w:spacing w:after="240"/>
        <w:jc w:val="center"/>
      </w:pPr>
      <w:r>
        <w:rPr>
          <w:noProof/>
        </w:rPr>
        <w:drawing>
          <wp:inline distT="0" distB="0" distL="0" distR="0" wp14:anchorId="29FEABC4" wp14:editId="2A103521">
            <wp:extent cx="5485465" cy="2082800"/>
            <wp:effectExtent l="0" t="0" r="1270" b="0"/>
            <wp:docPr id="9009" name="Picture 9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9" name="Picture 900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107" cy="208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EF20" w14:textId="77777777" w:rsidR="00164304" w:rsidRDefault="00164304" w:rsidP="00164304">
      <w:pPr>
        <w:jc w:val="both"/>
        <w:rPr>
          <w:rFonts w:ascii="Calibri" w:eastAsia="Calibri" w:hAnsi="Calibri" w:cs="Calibri"/>
          <w:i/>
          <w:color w:val="000000" w:themeColor="text1"/>
        </w:rPr>
      </w:pPr>
      <w:r>
        <w:rPr>
          <w:rFonts w:ascii="Calibri" w:eastAsia="Calibri" w:hAnsi="Calibri" w:cs="Calibri"/>
          <w:i/>
          <w:color w:val="000000" w:themeColor="text1"/>
        </w:rPr>
        <w:t>Supplementary Figure S2. Sample-sample expression correlation with hierarchical clustering of the 48 libraries. Samples cluster primarily by tissue, confirming expected biological structure and absence of major outliers.</w:t>
      </w:r>
    </w:p>
    <w:p w14:paraId="5E77838D" w14:textId="77777777" w:rsidR="00164304" w:rsidRDefault="00164304" w:rsidP="00164304">
      <w:pPr>
        <w:spacing w:after="240"/>
        <w:jc w:val="center"/>
      </w:pPr>
      <w:r>
        <w:rPr>
          <w:noProof/>
        </w:rPr>
        <w:drawing>
          <wp:inline distT="0" distB="0" distL="0" distR="0" wp14:anchorId="4AD2EBEF" wp14:editId="18B20B77">
            <wp:extent cx="4076700" cy="3638550"/>
            <wp:effectExtent l="0" t="0" r="0" b="0"/>
            <wp:docPr id="9010" name="Picture 9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0" name="Picture 90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402" cy="365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D16A7" w14:textId="77777777" w:rsidR="008B07A6" w:rsidRDefault="008B07A6"/>
    <w:sectPr w:rsidR="008B07A6" w:rsidSect="00164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04"/>
    <w:rsid w:val="00066677"/>
    <w:rsid w:val="00153A17"/>
    <w:rsid w:val="00164304"/>
    <w:rsid w:val="001A37F3"/>
    <w:rsid w:val="001D60C3"/>
    <w:rsid w:val="003A4E89"/>
    <w:rsid w:val="00556784"/>
    <w:rsid w:val="008B07A6"/>
    <w:rsid w:val="0097029A"/>
    <w:rsid w:val="00987B63"/>
    <w:rsid w:val="00990454"/>
    <w:rsid w:val="00A234E6"/>
    <w:rsid w:val="00BF13F9"/>
    <w:rsid w:val="00CE738E"/>
    <w:rsid w:val="00D31E7D"/>
    <w:rsid w:val="00F5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829E0"/>
  <w15:chartTrackingRefBased/>
  <w15:docId w15:val="{A3446CD1-1B4B-4B6A-9845-89F06D08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304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3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3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30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30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30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30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30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30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30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3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3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3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3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3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3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3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3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3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4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30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4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304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43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304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43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3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3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3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2026-09-02T05:23:00Z</dcterms:created>
  <dcterms:modified xsi:type="dcterms:W3CDTF">2026-09-02T05:24:00Z</dcterms:modified>
</cp:coreProperties>
</file>