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12895">
      <w:pPr>
        <w:numPr>
          <w:ilvl w:val="0"/>
          <w:numId w:val="0"/>
        </w:numPr>
        <w:spacing w:line="480" w:lineRule="auto"/>
        <w:rPr>
          <w:rFonts w:hint="default" w:ascii="Times New Roman" w:hAnsi="Times New Roman" w:eastAsia="宋体" w:cs="Times New Roman"/>
          <w:b/>
          <w:bCs w:val="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kern w:val="0"/>
          <w:sz w:val="36"/>
          <w:szCs w:val="36"/>
          <w:lang w:val="en-US" w:eastAsia="zh-CN"/>
        </w:rPr>
        <w:t>Highlights:</w:t>
      </w:r>
    </w:p>
    <w:p w14:paraId="440102A3">
      <w:pPr>
        <w:numPr>
          <w:ilvl w:val="0"/>
          <w:numId w:val="0"/>
        </w:numPr>
        <w:spacing w:line="480" w:lineRule="auto"/>
        <w:rPr>
          <w:rFonts w:hint="default" w:ascii="Times New Roman" w:hAnsi="Times New Roman" w:eastAsia="宋体" w:cs="Times New Roman"/>
          <w:b/>
          <w:bCs w:val="0"/>
          <w:kern w:val="0"/>
          <w:sz w:val="36"/>
          <w:szCs w:val="36"/>
          <w:lang w:val="en-US" w:eastAsia="zh-CN"/>
        </w:rPr>
      </w:pPr>
      <w:bookmarkStart w:id="0" w:name="_GoBack"/>
      <w:bookmarkEnd w:id="0"/>
    </w:p>
    <w:p w14:paraId="0A721708">
      <w:pPr>
        <w:spacing w:line="480" w:lineRule="auto"/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A coupled framework integrating Quantification Theory I, entropy weighting and Geodetector was built to diagnose site limiting factors and evaluate ecological quality of karst multi-layer agroforestry across Yunnan’s 7 rocky desertification subregions.</w:t>
      </w:r>
    </w:p>
    <w:p w14:paraId="247F6F7A">
      <w:pPr>
        <w:spacing w:line="480" w:lineRule="auto"/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Mean annual precipitation acts as the primary natural limiting factor in six subregions, while grain yield and agricultural output drive socioeconomic spatial differentiation of agroforestry layout.</w:t>
      </w:r>
    </w:p>
    <w:p w14:paraId="16296D76">
      <w:pPr>
        <w:spacing w:line="480" w:lineRule="auto"/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Habitat suitability was graded into three tiers, with customized intercropping schemes (rubber-coffee, walnut‑oiltea camellia, medicinal underplanting) proposed for different karst zones.</w:t>
      </w:r>
    </w:p>
    <w:p w14:paraId="1AD65CF1">
      <w:pPr>
        <w:spacing w:line="480" w:lineRule="auto"/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Tropical multi-layer agroforestry outperforms single-layer upland forests by 40% in soil organic carbon storage and cuts annual soil erosion by 32% in karst terrain.</w:t>
      </w:r>
    </w:p>
    <w:p w14:paraId="4297E43E">
      <w:pPr>
        <w:spacing w:line="480" w:lineRule="auto"/>
        <w:rPr>
          <w:sz w:val="22"/>
          <w:szCs w:val="28"/>
        </w:rPr>
      </w:pPr>
      <w:r>
        <w:rPr>
          <w:rFonts w:hint="eastAsia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cs="Times New Roman"/>
          <w:b w:val="0"/>
          <w:bCs/>
          <w:kern w:val="0"/>
          <w:sz w:val="24"/>
          <w:szCs w:val="24"/>
          <w:lang w:val="en-US" w:eastAsia="zh-CN"/>
        </w:rPr>
        <w:t>This multi-model evaluation workflow and zoned silvicultural strategies can be replicated for seasonal-drought subtropical karst restoration worldwide.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84BBA"/>
    <w:rsid w:val="15084BBA"/>
    <w:rsid w:val="2DC1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356</Characters>
  <Lines>0</Lines>
  <Paragraphs>0</Paragraphs>
  <TotalTime>1</TotalTime>
  <ScaleCrop>false</ScaleCrop>
  <LinksUpToDate>false</LinksUpToDate>
  <CharactersWithSpaces>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2026-08-07T02:17:00Z</dcterms:created>
  <dc:creator>努力 努力 再努力！</dc:creator>
  <cp:lastModifiedBy>努力 努力 再努力！</cp:lastModifiedBy>
  <dcterms:modified xsi:type="dcterms:W3CDTF">2026-08-10T13:43:46Z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02204B85812849DDA7B4A713AC3A9E52_13</vt:lpwstr>
  </property>
  <property fmtid="{D5CDD505-2E9C-101B-9397-08002B2CF9AE}" pid="4" name="KSOTemplateDocerSaveRecord">
    <vt:lpwstr>eyJoZGlkIjoiMjY1ZjFjMGI3NmNiY2ZhODFhOWI0MmRlNTFjN2E1YjkiLCJ1c2VySWQiOiIxMDMzNDE1Mjc2In0=</vt:lpwstr>
  </property>
</Properties>
</file>