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D35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Supplementary Information</w:t>
      </w:r>
    </w:p>
    <w:p w14:paraId="6C4A60AB">
      <w:pPr>
        <w:pStyle w:val="3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</w:p>
    <w:p w14:paraId="6213E375">
      <w:pPr>
        <w:pStyle w:val="3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2311" w:firstLineChars="110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Table 1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 Main instruments and equipment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42"/>
        <w:gridCol w:w="4007"/>
      </w:tblGrid>
      <w:tr w14:paraId="12E527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4342" w:type="dxa"/>
            <w:tcBorders>
              <w:bottom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8B7CF9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-h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Instrument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61D7E6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-h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Model/Specification</w:t>
            </w:r>
          </w:p>
        </w:tc>
      </w:tr>
      <w:tr w14:paraId="5E162D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2" w:type="dxa"/>
            <w:tcBorders>
              <w:top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7F3EAE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High</w:t>
            </w: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performance liquid chromatography system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21FB15F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Shimadzu LC</w:t>
            </w: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2050³D with PDA detector</w:t>
            </w:r>
          </w:p>
        </w:tc>
      </w:tr>
      <w:tr w14:paraId="232EF0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2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8AD7C2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Chromatographic column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36FD19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ShimNex CS C18 (5 μm, 4.6 mm × 150 mm)</w:t>
            </w:r>
          </w:p>
        </w:tc>
      </w:tr>
      <w:tr w14:paraId="739B26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2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33F252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Incubator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283BF4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37°C</w:t>
            </w:r>
          </w:p>
        </w:tc>
      </w:tr>
      <w:tr w14:paraId="701B33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2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C18AF0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Constant</w:t>
            </w: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temperature shaking incubator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54CD28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37°C, 250 rpm</w:t>
            </w:r>
          </w:p>
        </w:tc>
      </w:tr>
      <w:tr w14:paraId="1EAD6C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2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65FA65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Electronic balance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6A6A512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0.1 mg / 1 mg precision</w:t>
            </w:r>
          </w:p>
        </w:tc>
      </w:tr>
      <w:tr w14:paraId="7F7748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2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D46BA5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Pipettes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4EBE5EA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0.5–1000 μL</w:t>
            </w:r>
          </w:p>
        </w:tc>
      </w:tr>
      <w:tr w14:paraId="3D9DE0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2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2141757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Biological safety cabinet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448C606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Thermo Fisher Scientific (USA), model 1379</w:t>
            </w:r>
          </w:p>
        </w:tc>
      </w:tr>
    </w:tbl>
    <w:p w14:paraId="3098DA89">
      <w:pPr>
        <w:pStyle w:val="3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3152" w:firstLineChars="150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Table 2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 Main reagents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75"/>
        <w:gridCol w:w="5108"/>
      </w:tblGrid>
      <w:tr w14:paraId="65105889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3375" w:type="dxa"/>
            <w:tcBorders>
              <w:bottom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2656C7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-h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Reagent</w:t>
            </w:r>
          </w:p>
        </w:tc>
        <w:tc>
          <w:tcPr>
            <w:tcW w:w="5108" w:type="dxa"/>
            <w:tcBorders>
              <w:bottom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73FECE8">
            <w:pPr>
              <w:keepNext w:val="0"/>
              <w:keepLines w:val="0"/>
              <w:widowControl/>
              <w:suppressLineNumbers w:val="0"/>
              <w:ind w:firstLine="1261" w:firstLineChars="600"/>
              <w:jc w:val="left"/>
              <w:rPr>
                <w:rFonts w:hint="default" w:ascii="Times New Roman" w:hAnsi="Times New Roman" w:eastAsia="var(--dsw-font-markdown-table-h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Purity/Specification</w:t>
            </w:r>
          </w:p>
        </w:tc>
      </w:tr>
      <w:tr w14:paraId="2C4E1D44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375" w:type="dxa"/>
            <w:tcBorders>
              <w:top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DD37CF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Sterile PBS buffer</w:t>
            </w:r>
          </w:p>
        </w:tc>
        <w:tc>
          <w:tcPr>
            <w:tcW w:w="5108" w:type="dxa"/>
            <w:tcBorders>
              <w:top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6A3D09D7">
            <w:pPr>
              <w:keepNext w:val="0"/>
              <w:keepLines w:val="0"/>
              <w:widowControl/>
              <w:suppressLineNumbers w:val="0"/>
              <w:ind w:firstLine="1260" w:firstLineChars="600"/>
              <w:jc w:val="left"/>
              <w:rPr>
                <w:rFonts w:hint="default" w:ascii="Times New Roman" w:hAnsi="Times New Roman" w:eastAsia="var(--dsw-font-markdown-table)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0.01 mol/L, pH 7.2–7.4</w:t>
            </w:r>
          </w:p>
        </w:tc>
      </w:tr>
      <w:tr w14:paraId="67A1C22F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375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F08DA5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Acetonitrile</w:t>
            </w:r>
          </w:p>
        </w:tc>
        <w:tc>
          <w:tcPr>
            <w:tcW w:w="5108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469E236">
            <w:pPr>
              <w:keepNext w:val="0"/>
              <w:keepLines w:val="0"/>
              <w:widowControl/>
              <w:suppressLineNumbers w:val="0"/>
              <w:ind w:firstLine="1680" w:firstLineChars="800"/>
              <w:jc w:val="left"/>
              <w:rPr>
                <w:rFonts w:hint="default" w:ascii="Times New Roman" w:hAnsi="Times New Roman" w:eastAsia="var(--dsw-font-markdown-table)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HPLC grade</w:t>
            </w:r>
          </w:p>
        </w:tc>
      </w:tr>
      <w:tr w14:paraId="4DCC6F01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375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CBC37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Phosphate buffer</w:t>
            </w:r>
          </w:p>
        </w:tc>
        <w:tc>
          <w:tcPr>
            <w:tcW w:w="5108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BC91F4A">
            <w:pPr>
              <w:keepNext w:val="0"/>
              <w:keepLines w:val="0"/>
              <w:widowControl/>
              <w:suppressLineNumbers w:val="0"/>
              <w:ind w:firstLine="1470" w:firstLineChars="700"/>
              <w:jc w:val="left"/>
              <w:rPr>
                <w:rFonts w:hint="default" w:ascii="Times New Roman" w:hAnsi="Times New Roman" w:eastAsia="var(--dsw-font-markdown-table)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0.05 mol/L, pH 3.0</w:t>
            </w:r>
          </w:p>
        </w:tc>
      </w:tr>
      <w:tr w14:paraId="355C4CA1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375" w:type="dxa"/>
            <w:tcBorders>
              <w:bottom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CCEE40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Vancomycin standard</w:t>
            </w:r>
          </w:p>
        </w:tc>
        <w:tc>
          <w:tcPr>
            <w:tcW w:w="5108" w:type="dxa"/>
            <w:tcBorders>
              <w:bottom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2432A5F">
            <w:pPr>
              <w:keepNext w:val="0"/>
              <w:keepLines w:val="0"/>
              <w:widowControl/>
              <w:suppressLineNumbers w:val="0"/>
              <w:ind w:firstLine="1680" w:firstLineChars="800"/>
              <w:jc w:val="left"/>
              <w:rPr>
                <w:rFonts w:hint="default" w:ascii="Times New Roman" w:hAnsi="Times New Roman" w:eastAsia="var(--dsw-font-markdown-table)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≥98% purity</w:t>
            </w:r>
          </w:p>
        </w:tc>
      </w:tr>
    </w:tbl>
    <w:p w14:paraId="073AE36C">
      <w:pPr>
        <w:pStyle w:val="3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0CC98D89">
      <w:pPr>
        <w:pStyle w:val="3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bookmarkStart w:id="0" w:name="_GoBack"/>
      <w:r>
        <w:rPr>
          <w:rFonts w:hint="default" w:ascii="Times New Roman" w:hAnsi="Times New Roman" w:cs="Times New Roman"/>
          <w:sz w:val="21"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1209675</wp:posOffset>
            </wp:positionH>
            <wp:positionV relativeFrom="paragraph">
              <wp:posOffset>471805</wp:posOffset>
            </wp:positionV>
            <wp:extent cx="3157220" cy="2240280"/>
            <wp:effectExtent l="5080" t="4445" r="7620" b="10795"/>
            <wp:wrapTight wrapText="bothSides">
              <wp:wrapPolygon>
                <wp:start x="-35" y="-43"/>
                <wp:lineTo x="-35" y="21557"/>
                <wp:lineTo x="21548" y="21557"/>
                <wp:lineTo x="21548" y="-43"/>
                <wp:lineTo x="-35" y="-43"/>
              </wp:wrapPolygon>
            </wp:wrapTight>
            <wp:docPr id="14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  <w:bookmarkEnd w:id="0"/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Figure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.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1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 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Standard curves for different antibiotic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noBreakHyphen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loaded cement formulations.</w:t>
      </w:r>
    </w:p>
    <w:p w14:paraId="406BB269">
      <w:pPr>
        <w:pStyle w:val="2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</w:p>
    <w:p w14:paraId="675C5116">
      <w:pPr>
        <w:pStyle w:val="2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</w:p>
    <w:p w14:paraId="196AD3F7">
      <w:pPr>
        <w:pStyle w:val="2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</w:p>
    <w:p w14:paraId="319FB60C">
      <w:pPr>
        <w:pStyle w:val="2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</w:p>
    <w:p w14:paraId="7F8AF21A">
      <w:pPr>
        <w:pStyle w:val="2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</w:p>
    <w:p w14:paraId="0D5A3B82">
      <w:pPr>
        <w:pStyle w:val="2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</w:p>
    <w:p w14:paraId="79CEA7F8">
      <w:pPr>
        <w:pStyle w:val="2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</w:p>
    <w:p w14:paraId="20FE7194">
      <w:pPr>
        <w:pStyle w:val="2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</w:p>
    <w:p w14:paraId="4362745F">
      <w:pPr>
        <w:pStyle w:val="3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right="0"/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Figure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.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2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 Vancomycin concentrations at different time points for each cement formulation </w:t>
      </w:r>
    </w:p>
    <w:tbl>
      <w:tblPr>
        <w:tblStyle w:val="4"/>
        <w:tblW w:w="813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3"/>
        <w:gridCol w:w="2713"/>
        <w:gridCol w:w="2713"/>
      </w:tblGrid>
      <w:tr w14:paraId="517DB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3" w:hRule="atLeast"/>
        </w:trPr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31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577975" cy="903605"/>
                  <wp:effectExtent l="0" t="0" r="6985" b="10795"/>
                  <wp:docPr id="15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975" cy="903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F9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511300" cy="865505"/>
                  <wp:effectExtent l="0" t="0" r="12700" b="3175"/>
                  <wp:docPr id="16" name="图片 2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2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865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9C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577340" cy="902970"/>
                  <wp:effectExtent l="0" t="0" r="7620" b="11430"/>
                  <wp:docPr id="17" name="图片 3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3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902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FDF7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66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4A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08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6g</w:t>
            </w:r>
          </w:p>
        </w:tc>
      </w:tr>
    </w:tbl>
    <w:p w14:paraId="3544B83F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</w:p>
    <w:p w14:paraId="036DA0E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</w:p>
    <w:p w14:paraId="011938E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</w:p>
    <w:p w14:paraId="002C9D7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</w:p>
    <w:p w14:paraId="2E1CC62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Figure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.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3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 Inhibition rates of different antibiotic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noBreakHyphen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loaded cement formulations at 12 weeks.</w:t>
      </w:r>
    </w:p>
    <w:p w14:paraId="10A632F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 w14:paraId="2DB7960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default" w:ascii="Times New Roman" w:hAnsi="Times New Roman" w:cs="Times New Roman"/>
          <w:sz w:val="21"/>
          <w:szCs w:val="21"/>
        </w:rPr>
        <w:drawing>
          <wp:inline distT="0" distB="0" distL="114300" distR="114300">
            <wp:extent cx="4857750" cy="2482850"/>
            <wp:effectExtent l="4445" t="4445" r="14605" b="12065"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49E4229">
      <w:pPr>
        <w:keepNext w:val="0"/>
        <w:keepLines w:val="0"/>
        <w:widowControl/>
        <w:suppressLineNumbers w:val="0"/>
        <w:ind w:firstLine="1471" w:firstLineChars="700"/>
        <w:jc w:val="left"/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Figure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.4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.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Representative agar plates from the antibacterial inhibition assay at 12 weeks for each antibiotic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noBreakHyphen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loaded cement formulation</w:t>
      </w:r>
    </w:p>
    <w:tbl>
      <w:tblPr>
        <w:tblStyle w:val="4"/>
        <w:tblW w:w="842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6"/>
        <w:gridCol w:w="2106"/>
        <w:gridCol w:w="2107"/>
        <w:gridCol w:w="2107"/>
      </w:tblGrid>
      <w:tr w14:paraId="7F470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2106" w:type="dxa"/>
            <w:shd w:val="clear" w:color="auto" w:fill="auto"/>
            <w:noWrap/>
            <w:vAlign w:val="center"/>
          </w:tcPr>
          <w:p w14:paraId="7F458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1190625"/>
                  <wp:effectExtent l="0" t="0" r="7620" b="13335"/>
                  <wp:docPr id="6" name="图片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6" w:type="dxa"/>
            <w:shd w:val="clear" w:color="auto" w:fill="auto"/>
            <w:noWrap/>
            <w:vAlign w:val="center"/>
          </w:tcPr>
          <w:p w14:paraId="3C74C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90625" cy="1181100"/>
                  <wp:effectExtent l="0" t="0" r="13335" b="7620"/>
                  <wp:docPr id="7" name="图片 5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5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7" w:type="dxa"/>
            <w:shd w:val="clear" w:color="auto" w:fill="auto"/>
            <w:noWrap/>
            <w:vAlign w:val="center"/>
          </w:tcPr>
          <w:p w14:paraId="3AD63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90625" cy="1162050"/>
                  <wp:effectExtent l="0" t="0" r="13335" b="11430"/>
                  <wp:docPr id="8" name="图片 6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6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7" w:type="dxa"/>
            <w:shd w:val="clear" w:color="auto" w:fill="auto"/>
            <w:noWrap/>
            <w:vAlign w:val="center"/>
          </w:tcPr>
          <w:p w14:paraId="19142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90625" cy="1171575"/>
                  <wp:effectExtent l="0" t="0" r="13335" b="1905"/>
                  <wp:docPr id="13" name="图片 7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7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BDF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179E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4CE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A53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C2C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H6</w:t>
            </w:r>
          </w:p>
        </w:tc>
      </w:tr>
      <w:tr w14:paraId="7BA74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7D1D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90625" cy="1181100"/>
                  <wp:effectExtent l="0" t="0" r="13335" b="7620"/>
                  <wp:docPr id="9" name="图片 8" descr="IMG_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 descr="IMG_26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E33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90625" cy="1171575"/>
                  <wp:effectExtent l="0" t="0" r="13335" b="1905"/>
                  <wp:docPr id="12" name="图片 9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9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85D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90625" cy="1181100"/>
                  <wp:effectExtent l="0" t="0" r="13335" b="7620"/>
                  <wp:docPr id="11" name="图片 10" descr="IMG_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0" descr="IMG_26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416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1181100"/>
                  <wp:effectExtent l="0" t="0" r="7620" b="7620"/>
                  <wp:docPr id="10" name="图片 11" descr="IMG_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1" descr="IMG_26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CB7F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2E30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1BB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F09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3FE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M6</w:t>
            </w:r>
          </w:p>
        </w:tc>
      </w:tr>
    </w:tbl>
    <w:p w14:paraId="04700A17">
      <w:pPr>
        <w:pStyle w:val="3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840" w:firstLineChars="400"/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Note</w:t>
      </w:r>
      <w:r>
        <w:rPr>
          <w:rFonts w:hint="default" w:ascii="Times New Roman" w:hAnsi="Times New Roman" w:eastAsia="Segoe UI" w:cs="Times New Roman"/>
          <w:caps w:val="0"/>
          <w:color w:val="0F1115"/>
          <w:spacing w:val="0"/>
          <w:sz w:val="21"/>
          <w:szCs w:val="21"/>
          <w:shd w:val="clear" w:fill="FFFFFF"/>
        </w:rPr>
        <w:t>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 SC, sterile control (PBS only); NC, negative control (cement without antibiotic); M2–M6, medium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noBreakHyphen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viscosity groups with 2, 4, and 6 g vancomycin per 40 g cement, respectively; H2–H6, medium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noBreakHyphen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high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noBreakHyphen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viscosity groups with 2, 4, and 6 g vancomycin per 40 g cement, respectively.</w:t>
      </w:r>
    </w:p>
    <w:p w14:paraId="471EEC9D">
      <w:pPr>
        <w:pStyle w:val="3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840" w:firstLineChars="400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 Scanning electron microscopy (SEM) images of antibiotic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noBreakHyphen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loaded cement specimens at 12 weeks for each formulation (magnification ×50,000).</w:t>
      </w:r>
    </w:p>
    <w:tbl>
      <w:tblPr>
        <w:tblStyle w:val="4"/>
        <w:tblW w:w="84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47C0E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</w:trPr>
        <w:tc>
          <w:tcPr>
            <w:tcW w:w="2833" w:type="dxa"/>
            <w:shd w:val="clear" w:color="auto" w:fill="auto"/>
            <w:noWrap/>
            <w:vAlign w:val="center"/>
          </w:tcPr>
          <w:p w14:paraId="1EF4F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699260" cy="1265555"/>
                  <wp:effectExtent l="0" t="0" r="7620" b="14605"/>
                  <wp:docPr id="22" name="图片 1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1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260" cy="1265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2DC36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699260" cy="1264285"/>
                  <wp:effectExtent l="0" t="0" r="7620" b="635"/>
                  <wp:docPr id="23" name="图片 19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9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260" cy="1264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695C9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699260" cy="1267460"/>
                  <wp:effectExtent l="0" t="0" r="7620" b="12700"/>
                  <wp:docPr id="24" name="图片 20" descr="IMG_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0" descr="IMG_25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260" cy="1267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C28A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680193B">
            <w:pPr>
              <w:keepNext w:val="0"/>
              <w:keepLines w:val="0"/>
              <w:widowControl/>
              <w:suppressLineNumbers w:val="0"/>
              <w:ind w:firstLine="1050" w:firstLineChars="5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766F18">
            <w:pPr>
              <w:keepNext w:val="0"/>
              <w:keepLines w:val="0"/>
              <w:widowControl/>
              <w:suppressLineNumbers w:val="0"/>
              <w:ind w:firstLine="1050" w:firstLineChars="5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D9B2C0">
            <w:pPr>
              <w:keepNext w:val="0"/>
              <w:keepLines w:val="0"/>
              <w:widowControl/>
              <w:suppressLineNumbers w:val="0"/>
              <w:ind w:firstLine="840" w:firstLineChars="4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H6</w:t>
            </w:r>
          </w:p>
        </w:tc>
      </w:tr>
      <w:tr w14:paraId="76E2F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63B1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699260" cy="1264285"/>
                  <wp:effectExtent l="0" t="0" r="7620" b="635"/>
                  <wp:docPr id="20" name="图片 21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1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260" cy="1264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1E7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699260" cy="1264285"/>
                  <wp:effectExtent l="0" t="0" r="7620" b="635"/>
                  <wp:docPr id="21" name="图片 22" descr="IMG_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2" descr="IMG_260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260" cy="1264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531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699260" cy="1264285"/>
                  <wp:effectExtent l="0" t="0" r="7620" b="635"/>
                  <wp:docPr id="25" name="图片 23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3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260" cy="1264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CB74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A9054EE">
            <w:pPr>
              <w:keepNext w:val="0"/>
              <w:keepLines w:val="0"/>
              <w:widowControl/>
              <w:suppressLineNumbers w:val="0"/>
              <w:ind w:firstLine="1050" w:firstLineChars="5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6D17C5">
            <w:pPr>
              <w:keepNext w:val="0"/>
              <w:keepLines w:val="0"/>
              <w:widowControl/>
              <w:suppressLineNumbers w:val="0"/>
              <w:ind w:firstLine="1050" w:firstLineChars="5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3870F6">
            <w:pPr>
              <w:keepNext w:val="0"/>
              <w:keepLines w:val="0"/>
              <w:widowControl/>
              <w:suppressLineNumbers w:val="0"/>
              <w:ind w:firstLine="1050" w:firstLineChars="5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M6</w:t>
            </w:r>
          </w:p>
        </w:tc>
      </w:tr>
    </w:tbl>
    <w:p w14:paraId="4ACF2BF2">
      <w:pPr>
        <w:pStyle w:val="3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default" w:ascii="Times New Roman" w:hAnsi="Times New Roman" w:eastAsia="Segoe UI" w:cs="Times New Roman"/>
          <w:caps w:val="0"/>
          <w:color w:val="0F1115"/>
          <w:spacing w:val="0"/>
          <w:sz w:val="21"/>
          <w:szCs w:val="21"/>
          <w:shd w:val="clear" w:fill="FFFFFF"/>
        </w:rPr>
        <w:t>Note: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 At 50,000× magnification, specimens loaded with 2 g to 6 g vancomycin showed progressively reduced MRSA bacterial adhesion. Bacteria appeared as clustered aggregates, and the amount of extracellular matrix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noBreakHyphen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like substance gradually decreased with increasing vancomycin load, irrespective of cement viscosity.</w:t>
      </w:r>
    </w:p>
    <w:p w14:paraId="1FF344FB">
      <w:pPr>
        <w:pStyle w:val="3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Tabl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e.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3 Results of repeated-measures ANOVA for cumulative vancomycin release concentration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75"/>
        <w:gridCol w:w="1020"/>
        <w:gridCol w:w="1331"/>
        <w:gridCol w:w="873"/>
        <w:gridCol w:w="1233"/>
        <w:gridCol w:w="1045"/>
        <w:gridCol w:w="1004"/>
        <w:gridCol w:w="835"/>
      </w:tblGrid>
      <w:tr w14:paraId="24F79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95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2F654AFF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variation</w:t>
            </w:r>
          </w:p>
        </w:tc>
        <w:tc>
          <w:tcPr>
            <w:tcW w:w="1331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C21634D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 xml:space="preserve"> SS</w:t>
            </w:r>
          </w:p>
        </w:tc>
        <w:tc>
          <w:tcPr>
            <w:tcW w:w="87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E5C0D05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 xml:space="preserve"> df</w:t>
            </w:r>
          </w:p>
        </w:tc>
        <w:tc>
          <w:tcPr>
            <w:tcW w:w="123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C9DC448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MS</w:t>
            </w:r>
          </w:p>
        </w:tc>
        <w:tc>
          <w:tcPr>
            <w:tcW w:w="104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476689F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FF</w:t>
            </w:r>
          </w:p>
        </w:tc>
        <w:tc>
          <w:tcPr>
            <w:tcW w:w="1004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73FD04A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PP</w:t>
            </w:r>
          </w:p>
        </w:tc>
        <w:tc>
          <w:tcPr>
            <w:tcW w:w="83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20F7A81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eastAsia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Partial</w:t>
            </w:r>
            <w:r>
              <w:rPr>
                <w:rFonts w:hint="eastAsia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η²</w:t>
            </w:r>
          </w:p>
        </w:tc>
      </w:tr>
      <w:tr w14:paraId="20B46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75" w:type="dxa"/>
            <w:vMerge w:val="restart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F73284B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Between-subjects</w:t>
            </w:r>
          </w:p>
        </w:tc>
        <w:tc>
          <w:tcPr>
            <w:tcW w:w="1020" w:type="dxa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7B05063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 xml:space="preserve"> Viscosity</w:t>
            </w:r>
          </w:p>
        </w:tc>
        <w:tc>
          <w:tcPr>
            <w:tcW w:w="1331" w:type="dxa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E13F401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156.23</w:t>
            </w:r>
          </w:p>
        </w:tc>
        <w:tc>
          <w:tcPr>
            <w:tcW w:w="873" w:type="dxa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EA1BF32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233" w:type="dxa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346F71F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156.23</w:t>
            </w:r>
          </w:p>
        </w:tc>
        <w:tc>
          <w:tcPr>
            <w:tcW w:w="1045" w:type="dxa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89D3CE0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0.87</w:t>
            </w:r>
          </w:p>
        </w:tc>
        <w:tc>
          <w:tcPr>
            <w:tcW w:w="1004" w:type="dxa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D5DDEDD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0.387</w:t>
            </w:r>
          </w:p>
        </w:tc>
        <w:tc>
          <w:tcPr>
            <w:tcW w:w="835" w:type="dxa"/>
            <w:tcBorders>
              <w:top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27E97E41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0.127</w:t>
            </w:r>
          </w:p>
        </w:tc>
      </w:tr>
      <w:tr w14:paraId="3C1BF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75" w:type="dxa"/>
            <w:vMerge w:val="continue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2BD007F7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942DEC3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 xml:space="preserve"> Dose</w:t>
            </w:r>
          </w:p>
        </w:tc>
        <w:tc>
          <w:tcPr>
            <w:tcW w:w="1331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527C6F5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66892.45</w:t>
            </w:r>
          </w:p>
        </w:tc>
        <w:tc>
          <w:tcPr>
            <w:tcW w:w="873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BBD9CC6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233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555A12B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33446.23</w:t>
            </w:r>
          </w:p>
        </w:tc>
        <w:tc>
          <w:tcPr>
            <w:tcW w:w="1045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DBC07E7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186.34</w:t>
            </w:r>
          </w:p>
        </w:tc>
        <w:tc>
          <w:tcPr>
            <w:tcW w:w="1004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9176718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835" w:type="dxa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04039EF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0.969</w:t>
            </w:r>
          </w:p>
        </w:tc>
      </w:tr>
      <w:tr w14:paraId="622D7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75" w:type="dxa"/>
            <w:vMerge w:val="continue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4D358A8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75D0A28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V × D</w:t>
            </w:r>
          </w:p>
        </w:tc>
        <w:tc>
          <w:tcPr>
            <w:tcW w:w="1331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55C4D55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234.56</w:t>
            </w:r>
          </w:p>
        </w:tc>
        <w:tc>
          <w:tcPr>
            <w:tcW w:w="873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22A104F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233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94E0AE2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117.28</w:t>
            </w:r>
          </w:p>
        </w:tc>
        <w:tc>
          <w:tcPr>
            <w:tcW w:w="1045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A09F721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0.65</w:t>
            </w:r>
          </w:p>
        </w:tc>
        <w:tc>
          <w:tcPr>
            <w:tcW w:w="1004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45072C1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0.554</w:t>
            </w:r>
          </w:p>
        </w:tc>
        <w:tc>
          <w:tcPr>
            <w:tcW w:w="835" w:type="dxa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371E3346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0.098</w:t>
            </w:r>
          </w:p>
        </w:tc>
      </w:tr>
      <w:tr w14:paraId="1B604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75" w:type="dxa"/>
            <w:vMerge w:val="continue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5B4542B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9496D14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Error between</w:t>
            </w:r>
          </w:p>
        </w:tc>
        <w:tc>
          <w:tcPr>
            <w:tcW w:w="1331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BC65521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2153.88†</w:t>
            </w:r>
          </w:p>
        </w:tc>
        <w:tc>
          <w:tcPr>
            <w:tcW w:w="873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7AA19CA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233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4A00AB6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179.49</w:t>
            </w:r>
          </w:p>
        </w:tc>
        <w:tc>
          <w:tcPr>
            <w:tcW w:w="1045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AAC8F8D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—</w:t>
            </w:r>
          </w:p>
        </w:tc>
        <w:tc>
          <w:tcPr>
            <w:tcW w:w="1004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8D705C6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—</w:t>
            </w:r>
          </w:p>
        </w:tc>
        <w:tc>
          <w:tcPr>
            <w:tcW w:w="835" w:type="dxa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7070DE8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—</w:t>
            </w:r>
          </w:p>
        </w:tc>
      </w:tr>
      <w:tr w14:paraId="5999F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75" w:type="dxa"/>
            <w:vMerge w:val="restart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F0F9D9C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Within-subjects</w:t>
            </w:r>
          </w:p>
        </w:tc>
        <w:tc>
          <w:tcPr>
            <w:tcW w:w="1020" w:type="dxa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E0A9C7C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Time</w:t>
            </w:r>
          </w:p>
        </w:tc>
        <w:tc>
          <w:tcPr>
            <w:tcW w:w="1331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BC4A46F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125893.21</w:t>
            </w:r>
          </w:p>
        </w:tc>
        <w:tc>
          <w:tcPr>
            <w:tcW w:w="873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7118735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2.41‡</w:t>
            </w:r>
          </w:p>
        </w:tc>
        <w:tc>
          <w:tcPr>
            <w:tcW w:w="1233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6D632FC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52237.43</w:t>
            </w:r>
          </w:p>
        </w:tc>
        <w:tc>
          <w:tcPr>
            <w:tcW w:w="1045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53F6254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452.67</w:t>
            </w:r>
          </w:p>
        </w:tc>
        <w:tc>
          <w:tcPr>
            <w:tcW w:w="1004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D288948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835" w:type="dxa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18106ED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0.987</w:t>
            </w:r>
          </w:p>
        </w:tc>
      </w:tr>
      <w:tr w14:paraId="401AC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75" w:type="dxa"/>
            <w:vMerge w:val="continue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87316DF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BD2D4BD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T × V</w:t>
            </w:r>
          </w:p>
        </w:tc>
        <w:tc>
          <w:tcPr>
            <w:tcW w:w="1331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296FA61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156.78</w:t>
            </w:r>
          </w:p>
        </w:tc>
        <w:tc>
          <w:tcPr>
            <w:tcW w:w="873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79F4627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2.41‡</w:t>
            </w:r>
          </w:p>
        </w:tc>
        <w:tc>
          <w:tcPr>
            <w:tcW w:w="1233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DC048A0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65.05</w:t>
            </w:r>
          </w:p>
        </w:tc>
        <w:tc>
          <w:tcPr>
            <w:tcW w:w="1045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6CC9CB4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0.56</w:t>
            </w:r>
          </w:p>
        </w:tc>
        <w:tc>
          <w:tcPr>
            <w:tcW w:w="1004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0EE0F91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0.621</w:t>
            </w:r>
          </w:p>
        </w:tc>
        <w:tc>
          <w:tcPr>
            <w:tcW w:w="835" w:type="dxa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B0EF120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0.086</w:t>
            </w:r>
          </w:p>
        </w:tc>
      </w:tr>
      <w:tr w14:paraId="77AE5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75" w:type="dxa"/>
            <w:vMerge w:val="continue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8BDE22D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1C3BCD1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T × D</w:t>
            </w:r>
          </w:p>
        </w:tc>
        <w:tc>
          <w:tcPr>
            <w:tcW w:w="1331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7C94048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15678.92</w:t>
            </w:r>
          </w:p>
        </w:tc>
        <w:tc>
          <w:tcPr>
            <w:tcW w:w="873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5EC268B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4.82‡</w:t>
            </w:r>
          </w:p>
        </w:tc>
        <w:tc>
          <w:tcPr>
            <w:tcW w:w="1233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AE93D92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3253.72</w:t>
            </w:r>
          </w:p>
        </w:tc>
        <w:tc>
          <w:tcPr>
            <w:tcW w:w="1045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3C1CD3A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28.15</w:t>
            </w:r>
          </w:p>
        </w:tc>
        <w:tc>
          <w:tcPr>
            <w:tcW w:w="1004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7DF8748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835" w:type="dxa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B9D130E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0.824</w:t>
            </w:r>
          </w:p>
        </w:tc>
      </w:tr>
      <w:tr w14:paraId="2C4B6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75" w:type="dxa"/>
            <w:vMerge w:val="continue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5EFFE9C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2689ECB6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T × V × D</w:t>
            </w:r>
          </w:p>
        </w:tc>
        <w:tc>
          <w:tcPr>
            <w:tcW w:w="1331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FD4D808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234.89</w:t>
            </w:r>
          </w:p>
        </w:tc>
        <w:tc>
          <w:tcPr>
            <w:tcW w:w="873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F2218B4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4.82‡</w:t>
            </w:r>
          </w:p>
        </w:tc>
        <w:tc>
          <w:tcPr>
            <w:tcW w:w="1233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C2EDD6B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48.73</w:t>
            </w:r>
          </w:p>
        </w:tc>
        <w:tc>
          <w:tcPr>
            <w:tcW w:w="1045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D13C587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0.42</w:t>
            </w:r>
          </w:p>
        </w:tc>
        <w:tc>
          <w:tcPr>
            <w:tcW w:w="1004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683658A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0.829</w:t>
            </w:r>
          </w:p>
        </w:tc>
        <w:tc>
          <w:tcPr>
            <w:tcW w:w="835" w:type="dxa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6BF8E4F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0.065</w:t>
            </w:r>
          </w:p>
        </w:tc>
      </w:tr>
      <w:tr w14:paraId="128B8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75" w:type="dxa"/>
            <w:vMerge w:val="continue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E9AB465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20" w:type="dxa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15E50BB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Error within</w:t>
            </w:r>
          </w:p>
        </w:tc>
        <w:tc>
          <w:tcPr>
            <w:tcW w:w="1331" w:type="dxa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7B49F5F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3341.71††</w:t>
            </w:r>
          </w:p>
        </w:tc>
        <w:tc>
          <w:tcPr>
            <w:tcW w:w="873" w:type="dxa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9571495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28.92‡</w:t>
            </w:r>
          </w:p>
        </w:tc>
        <w:tc>
          <w:tcPr>
            <w:tcW w:w="1233" w:type="dxa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C84B5A0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115.55</w:t>
            </w:r>
          </w:p>
        </w:tc>
        <w:tc>
          <w:tcPr>
            <w:tcW w:w="1045" w:type="dxa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01E857C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—</w:t>
            </w:r>
          </w:p>
        </w:tc>
        <w:tc>
          <w:tcPr>
            <w:tcW w:w="1004" w:type="dxa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28D6ACB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—</w:t>
            </w:r>
          </w:p>
        </w:tc>
        <w:tc>
          <w:tcPr>
            <w:tcW w:w="835" w:type="dxa"/>
            <w:tcBorders>
              <w:bottom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834C6B4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—</w:t>
            </w:r>
          </w:p>
        </w:tc>
      </w:tr>
    </w:tbl>
    <w:p w14:paraId="705EC17C"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† Between</w:t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noBreakHyphen/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subjects error SS was derived by pooling the error SS from each factor; †† Within</w:t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noBreakHyphen/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subjects error SS was estimated after sphericity correction;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‡ Degrees of freedom were corrected using the Greenhouse–Geisser method (Mauchly's test of sphericity, </w:t>
      </w:r>
      <w:r>
        <w:rPr>
          <w:rFonts w:hint="default" w:ascii="Segoe UI" w:hAnsi="Segoe UI" w:eastAsia="Segoe UI" w:cs="Segoe UI"/>
          <w:caps w:val="0"/>
          <w:color w:val="0F1115"/>
          <w:spacing w:val="0"/>
          <w:sz w:val="19"/>
          <w:szCs w:val="19"/>
          <w:shd w:val="clear" w:fill="FFFFFF"/>
        </w:rPr>
        <w:t>P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 &lt; 0.001).</w:t>
      </w:r>
    </w:p>
    <w:p w14:paraId="39FCFEDC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1"/>
          <w:szCs w:val="21"/>
        </w:rPr>
      </w:pPr>
    </w:p>
    <w:p w14:paraId="592D4BF2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Table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4 Pairwise comparisons of vancomycin release concentration among different antibiotic-loaded groups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70"/>
        <w:gridCol w:w="1815"/>
        <w:gridCol w:w="1703"/>
        <w:gridCol w:w="1289"/>
        <w:gridCol w:w="1993"/>
      </w:tblGrid>
      <w:tr w14:paraId="67848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670" w:type="dxa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1DEAB72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Comparison group</w:t>
            </w:r>
          </w:p>
        </w:tc>
        <w:tc>
          <w:tcPr>
            <w:tcW w:w="1815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FFCDF7A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Mean Difference</w:t>
            </w:r>
          </w:p>
        </w:tc>
        <w:tc>
          <w:tcPr>
            <w:tcW w:w="1703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F425127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SE</w:t>
            </w:r>
          </w:p>
        </w:tc>
        <w:tc>
          <w:tcPr>
            <w:tcW w:w="1289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7B1034A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P</w:t>
            </w:r>
          </w:p>
        </w:tc>
        <w:tc>
          <w:tcPr>
            <w:tcW w:w="1993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207F7E1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95%CI</w:t>
            </w:r>
          </w:p>
        </w:tc>
      </w:tr>
      <w:tr w14:paraId="5878D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70" w:type="dxa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E5031F7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4 g vs 2 g</w:t>
            </w:r>
          </w:p>
        </w:tc>
        <w:tc>
          <w:tcPr>
            <w:tcW w:w="1815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A4ADF06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89.56</w:t>
            </w:r>
          </w:p>
        </w:tc>
        <w:tc>
          <w:tcPr>
            <w:tcW w:w="1703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CF696A2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6.32</w:t>
            </w:r>
          </w:p>
        </w:tc>
        <w:tc>
          <w:tcPr>
            <w:tcW w:w="1289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AC84FAD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1993" w:type="dxa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6E41C460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(74.28, 104.84)</w:t>
            </w:r>
          </w:p>
        </w:tc>
      </w:tr>
      <w:tr w14:paraId="2CBCA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70" w:type="dxa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6B129F8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6 g vs 2 g</w:t>
            </w:r>
          </w:p>
        </w:tc>
        <w:tc>
          <w:tcPr>
            <w:tcW w:w="1815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89FC028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156.78</w:t>
            </w:r>
          </w:p>
        </w:tc>
        <w:tc>
          <w:tcPr>
            <w:tcW w:w="1703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6FFBB64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6.32</w:t>
            </w:r>
          </w:p>
        </w:tc>
        <w:tc>
          <w:tcPr>
            <w:tcW w:w="1289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6FF5977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1993" w:type="dxa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2DBC3958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(141.50, 172.06)</w:t>
            </w:r>
          </w:p>
        </w:tc>
      </w:tr>
      <w:tr w14:paraId="737D2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70" w:type="dxa"/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27763EC9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6 g vs 4 g</w:t>
            </w:r>
          </w:p>
        </w:tc>
        <w:tc>
          <w:tcPr>
            <w:tcW w:w="1815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7225E74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67.22</w:t>
            </w:r>
          </w:p>
        </w:tc>
        <w:tc>
          <w:tcPr>
            <w:tcW w:w="1703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F89B7D4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6.32</w:t>
            </w:r>
          </w:p>
        </w:tc>
        <w:tc>
          <w:tcPr>
            <w:tcW w:w="1289" w:type="dxa"/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C00E57E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1993" w:type="dxa"/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66742F6F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(51.94, 82.50)</w:t>
            </w:r>
          </w:p>
        </w:tc>
      </w:tr>
    </w:tbl>
    <w:p w14:paraId="4A3B5F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yriadPro-Bold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var(--dsw-font-markdown-table-h">
    <w:altName w:val="语文格子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ar(--dsw-font-markdown-table)">
    <w:altName w:val="语文格子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A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chart" Target="charts/chart2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MatebookD16\Desktop\2024&#21355;&#29983;&#20581;&#24247;&#22996;&#21592;&#20250;&#35838;&#39064;\&#23454;&#39564;&#32467;&#26524;&#12289;\&#23792;&#38754;&#31215;&#35745;&#31639;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file:///C:\Users\MatebookD16\Desktop\2024&#21355;&#29983;&#20581;&#24247;&#22996;&#21592;&#20250;&#35838;&#39064;\&#22270;\2g-4g-6g&#33647;&#29289;&#27987;&#24230;&#21464;&#21270;&#36235;&#2118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7457763475463"/>
          <c:y val="0.0725623582766444"/>
          <c:w val="0.774215607401448"/>
          <c:h val="0.800566893424036"/>
        </c:manualLayout>
      </c:layout>
      <c:scatterChart>
        <c:scatterStyle val="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elete val="1"/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153511330115312"/>
                  <c:y val="0.00992063492063495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</c:trendlineLbl>
          </c:trendline>
          <c:xVal>
            <c:numRef>
              <c:f>[峰面积计算.xlsx]Sheet1!$A$12:$F$12</c:f>
              <c:numCache>
                <c:formatCode>General</c:formatCode>
                <c:ptCount val="6"/>
                <c:pt idx="0">
                  <c:v>1.5625</c:v>
                </c:pt>
                <c:pt idx="1">
                  <c:v>3.125</c:v>
                </c:pt>
                <c:pt idx="2">
                  <c:v>6.25</c:v>
                </c:pt>
                <c:pt idx="3">
                  <c:v>12.5</c:v>
                </c:pt>
                <c:pt idx="4">
                  <c:v>25</c:v>
                </c:pt>
                <c:pt idx="5">
                  <c:v>50</c:v>
                </c:pt>
              </c:numCache>
            </c:numRef>
          </c:xVal>
          <c:yVal>
            <c:numRef>
              <c:f>[峰面积计算.xlsx]Sheet1!$A$13:$F$13</c:f>
              <c:numCache>
                <c:formatCode>General</c:formatCode>
                <c:ptCount val="6"/>
                <c:pt idx="0">
                  <c:v>26805</c:v>
                </c:pt>
                <c:pt idx="1">
                  <c:v>40058</c:v>
                </c:pt>
                <c:pt idx="2">
                  <c:v>85638</c:v>
                </c:pt>
                <c:pt idx="3">
                  <c:v>179766</c:v>
                </c:pt>
                <c:pt idx="4">
                  <c:v>408444</c:v>
                </c:pt>
                <c:pt idx="5">
                  <c:v>907450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95632122"/>
        <c:axId val="161316171"/>
      </c:scatterChart>
      <c:valAx>
        <c:axId val="39563212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61316171"/>
        <c:crosses val="autoZero"/>
        <c:crossBetween val="midCat"/>
      </c:valAx>
      <c:valAx>
        <c:axId val="16131617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9563212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dca29491-1bcc-4b68-a293-0f78ec7cca58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'[2g-4g-6g药物浓度变化趋势.xlsx]抑菌率'!$B$1</c:f>
              <c:strCache>
                <c:ptCount val="1"/>
                <c:pt idx="0">
                  <c:v>antibacterial rate（%）</c:v>
                </c:pt>
              </c:strCache>
            </c:strRef>
          </c:tx>
          <c:spPr>
            <a:gradFill>
              <a:gsLst>
                <a:gs pos="0">
                  <a:schemeClr val="accent1">
                    <a:lumMod val="40000"/>
                    <a:lumOff val="60000"/>
                  </a:schemeClr>
                </a:gs>
                <a:gs pos="90000">
                  <a:schemeClr val="accent1"/>
                </a:gs>
              </a:gsLst>
              <a:lin ang="5400000" scaled="0"/>
            </a:gradFill>
            <a:ln>
              <a:gradFill>
                <a:gsLst>
                  <a:gs pos="0">
                    <a:schemeClr val="accent1"/>
                  </a:gs>
                  <a:gs pos="100000">
                    <a:schemeClr val="accent1">
                      <a:lumMod val="75000"/>
                    </a:schemeClr>
                  </a:gs>
                </a:gsLst>
                <a:lin ang="5400000" scaled="1"/>
              </a:gradFill>
            </a:ln>
            <a:effectLst>
              <a:outerShdw blurRad="76200" dist="25400" dir="2700000" algn="tl" rotWithShape="0">
                <a:schemeClr val="accent1">
                  <a:lumMod val="50000"/>
                  <a:alpha val="30000"/>
                </a:scheme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'[2g-4g-6g药物浓度变化趋势.xlsx]抑菌率'!$A$2:$A$7</c:f>
              <c:strCache>
                <c:ptCount val="6"/>
                <c:pt idx="0">
                  <c:v>H2</c:v>
                </c:pt>
                <c:pt idx="1">
                  <c:v>H4</c:v>
                </c:pt>
                <c:pt idx="2">
                  <c:v>H6</c:v>
                </c:pt>
                <c:pt idx="3">
                  <c:v>M2</c:v>
                </c:pt>
                <c:pt idx="4">
                  <c:v>M4</c:v>
                </c:pt>
                <c:pt idx="5">
                  <c:v>M6</c:v>
                </c:pt>
              </c:strCache>
            </c:strRef>
          </c:cat>
          <c:val>
            <c:numRef>
              <c:f>'[2g-4g-6g药物浓度变化趋势.xlsx]抑菌率'!$B$2:$B$7</c:f>
              <c:numCache>
                <c:formatCode>General</c:formatCode>
                <c:ptCount val="6"/>
                <c:pt idx="0">
                  <c:v>14.5</c:v>
                </c:pt>
                <c:pt idx="1">
                  <c:v>46.1</c:v>
                </c:pt>
                <c:pt idx="2">
                  <c:v>59.5</c:v>
                </c:pt>
                <c:pt idx="3">
                  <c:v>11</c:v>
                </c:pt>
                <c:pt idx="4">
                  <c:v>46.7</c:v>
                </c:pt>
                <c:pt idx="5">
                  <c:v>61.8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46"/>
        <c:overlap val="-28"/>
        <c:axId val="231358071"/>
        <c:axId val="808294858"/>
      </c:barChart>
      <c:catAx>
        <c:axId val="231358071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accent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08294858"/>
        <c:crosses val="autoZero"/>
        <c:auto val="1"/>
        <c:lblAlgn val="ctr"/>
        <c:lblOffset val="100"/>
        <c:noMultiLvlLbl val="0"/>
      </c:catAx>
      <c:valAx>
        <c:axId val="80829485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3135807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6a390431-24d3-414e-be7a-aeae2037ab7f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1000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gradFill>
        <a:gsLst>
          <a:gs pos="0">
            <a:schemeClr val="phClr">
              <a:lumMod val="40000"/>
              <a:lumOff val="60000"/>
            </a:schemeClr>
          </a:gs>
          <a:gs pos="90000">
            <a:schemeClr val="phClr"/>
          </a:gs>
        </a:gsLst>
        <a:lin ang="5400000" scaled="0"/>
      </a:gradFill>
      <a:ln>
        <a:gradFill>
          <a:gsLst>
            <a:gs pos="0">
              <a:schemeClr val="phClr"/>
            </a:gs>
            <a:gs pos="100000">
              <a:schemeClr val="phClr">
                <a:lumMod val="75000"/>
              </a:schemeClr>
            </a:gs>
          </a:gsLst>
          <a:lin ang="5400000" scaled="1"/>
        </a:gradFill>
      </a:ln>
      <a:effectLst>
        <a:outerShdw blurRad="76200" dist="25400" dir="2700000" algn="tl" rotWithShape="0">
          <a:schemeClr val="phClr">
            <a:lumMod val="50000"/>
            <a:alpha val="30000"/>
          </a:schemeClr>
        </a:outerShdw>
      </a:effectLst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2026-07-07T14:43:56Z</dcterms:created>
  <dc:creator>MatebookD16</dc:creator>
  <cp:lastModifiedBy>黑色灯光</cp:lastModifiedBy>
  <dcterms:modified xsi:type="dcterms:W3CDTF">2026-07-07T14:44:03Z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eyJoZGlkIjoiMDE1MTg0NTQ0YzE3ZGNiNjBiYWNiNzg3YjQ0M2EwODMiLCJ1c2VySWQiOiIyNDIxNjQ5OTAifQ==</vt:lpwstr>
  </property>
  <property fmtid="{D5CDD505-2E9C-101B-9397-08002B2CF9AE}" pid="4" name="ICV">
    <vt:lpwstr>153944E175C74FE589798330D339363D_12</vt:lpwstr>
  </property>
</Properties>
</file>