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D3E" w:rsidRDefault="00A0669F" w:rsidP="00A0669F">
      <w:pPr>
        <w:pStyle w:val="Heading1"/>
        <w:numPr>
          <w:ilvl w:val="0"/>
          <w:numId w:val="0"/>
        </w:numPr>
        <w:ind w:left="360"/>
      </w:pPr>
      <w:r>
        <w:t>Table 1. Baseline household and respondent characteristics by low disaster/environment resilience status</w:t>
      </w:r>
    </w:p>
    <w:p w:rsidR="00D46D3E" w:rsidRDefault="00A0669F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D46D3E" w:rsidRDefault="00A0669F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1. Baseline household and respondent characteristics by low disaster/environment resilience status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803"/>
        <w:gridCol w:w="1643"/>
        <w:gridCol w:w="1072"/>
        <w:gridCol w:w="796"/>
        <w:gridCol w:w="937"/>
        <w:gridCol w:w="942"/>
        <w:gridCol w:w="635"/>
        <w:gridCol w:w="1238"/>
      </w:tblGrid>
      <w:tr w:rsidR="00D46D3E" w:rsidTr="00A0669F">
        <w:trPr>
          <w:tblHeader/>
          <w:jc w:val="center"/>
        </w:trPr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</w:t>
            </w:r>
          </w:p>
        </w:tc>
        <w:tc>
          <w:tcPr>
            <w:tcW w:w="92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Characteristic</w:t>
            </w:r>
          </w:p>
        </w:tc>
        <w:tc>
          <w:tcPr>
            <w:tcW w:w="60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Cat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egory</w:t>
            </w:r>
          </w:p>
        </w:tc>
        <w:tc>
          <w:tcPr>
            <w:tcW w:w="41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Overall</w:t>
            </w:r>
          </w:p>
        </w:tc>
        <w:tc>
          <w:tcPr>
            <w:tcW w:w="52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 absent</w:t>
            </w:r>
          </w:p>
        </w:tc>
        <w:tc>
          <w:tcPr>
            <w:tcW w:w="54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 present</w:t>
            </w:r>
          </w:p>
        </w:tc>
        <w:tc>
          <w:tcPr>
            <w:tcW w:w="29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p-value</w:t>
            </w:r>
          </w:p>
        </w:tc>
        <w:tc>
          <w:tcPr>
            <w:tcW w:w="69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Analysis note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Respondent age</w:t>
            </w:r>
          </w:p>
        </w:tc>
        <w:tc>
          <w:tcPr>
            <w:tcW w:w="60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Mean ± SD</w:t>
            </w:r>
          </w:p>
        </w:tc>
        <w:tc>
          <w:tcPr>
            <w:tcW w:w="41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39.1 ± 15.0</w:t>
            </w:r>
          </w:p>
        </w:tc>
        <w:tc>
          <w:tcPr>
            <w:tcW w:w="52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41.3 ± 13.1</w:t>
            </w:r>
          </w:p>
        </w:tc>
        <w:tc>
          <w:tcPr>
            <w:tcW w:w="54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39.0 ± 15.1</w:t>
            </w:r>
          </w:p>
        </w:tc>
        <w:tc>
          <w:tcPr>
            <w:tcW w:w="29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0.142</w:t>
            </w:r>
          </w:p>
        </w:tc>
        <w:tc>
          <w:tcPr>
            <w:tcW w:w="69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Wilcoxon rank-sum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members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Mean ± SD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4.0 ± 1.8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4.2 ± 1.7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4.0 ± 1.8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0.326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Wilcoxon rank-sum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Under-five children in household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Mean ± SD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 ± 0.8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 ± 1.0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 ± 0.8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0.410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Wilcoxon rank-sum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Asset index score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Mean ± SD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3.7 ± 1.1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4.0 ± 1.7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3.6 ± 1.1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0.480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Wilcoxon rank-sum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Female respondent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368 (59.4%)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 (48.4%)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353 (59.9%)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0.277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with orphans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69 (11.1%)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 (12.9%)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 (11%)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0.977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with disability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 (10%)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 (16.1%)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57 (9.7%)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0.390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Vulnerable household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 (18.4%)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 (22.6%)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107 (18.2%)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0.704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418 (67.4%)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27 (87.1%)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(66.4%)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0.028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 (25.6%)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 (9.7%)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155 (26.4%)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 (23%)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 (48.4%)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127 (21.6%)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 (51.5%)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13 (41.9%)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305 (52%)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 (33.2%)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 (32.3%)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196 (33.3%)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 (33.4%)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 (45.2%)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193 (32.8%)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  <w:tr w:rsidR="00D46D3E" w:rsidTr="00A0669F">
        <w:trPr>
          <w:jc w:val="center"/>
        </w:trPr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0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41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 (33.4%)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 (22.6%)</w:t>
            </w:r>
          </w:p>
        </w:tc>
        <w:tc>
          <w:tcPr>
            <w:tcW w:w="54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200 (34%)</w:t>
            </w:r>
          </w:p>
        </w:tc>
        <w:tc>
          <w:tcPr>
            <w:tcW w:w="29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  <w:tc>
          <w:tcPr>
            <w:tcW w:w="69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D3E" w:rsidRDefault="00A066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Chi-square test</w:t>
            </w:r>
          </w:p>
        </w:tc>
      </w:tr>
    </w:tbl>
    <w:p w:rsidR="00D46D3E" w:rsidRDefault="00A0669F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D46D3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3E"/>
    <w:rsid w:val="00A0669F"/>
    <w:rsid w:val="00D4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7098A0-317F-4AAC-9524-D5DE6BA9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2026-08-10T13:34:00Z</dcterms:modified>
  <cp:category/>
</cp:coreProperties>
</file>