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line="276" w:lineRule="auto" w:before="200" w:after="80"/>
        <w:jc w:val="center"/>
      </w:pPr>
      <w:r>
        <w:rPr>
          <w:rFonts w:ascii="Times New Roman" w:hAnsi="Times New Roman"/>
          <w:b/>
          <w:color w:val="000000"/>
          <w:sz w:val="28"/>
        </w:rPr>
        <w:t>Additional file 5. Window-overlap audit of published lactate and acute kidney injury studies</w:t>
      </w:r>
    </w:p>
    <w:p>
      <w:pPr>
        <w:jc w:val="left"/>
      </w:pPr>
      <w:r>
        <w:t>Supporting the literature-audit and design-grid analyses in the main manuscript.</w:t>
      </w:r>
    </w:p>
    <w:p>
      <w:pPr>
        <w:pStyle w:val="Heading2"/>
        <w:keepNext/>
        <w:spacing w:line="276" w:lineRule="auto" w:before="200" w:after="80"/>
      </w:pPr>
      <w:r>
        <w:rPr>
          <w:rFonts w:ascii="Times New Roman" w:hAnsi="Times New Roman"/>
          <w:color w:val="000000"/>
        </w:rPr>
        <w:t>1. Scope and interpretation</w:t>
      </w:r>
    </w:p>
    <w:p>
      <w:pPr>
        <w:jc w:val="left"/>
      </w:pPr>
      <w:r>
        <w:t>This file describes a purposive, non-exhaustive audit of 20 published studies of blood lactate and acute kidney injury after adult cardiac surgery. The studies were selected to span commonly used exposure windows and study designs. The audit can establish that incomplete reporting and window overlap occur in the included reports. It cannot estimate their prevalence in the literature, quantify bias in any published estimate, or support a pooled effect.</w:t>
      </w:r>
    </w:p>
    <w:p>
      <w:pPr>
        <w:jc w:val="left"/>
      </w:pPr>
      <w:r>
        <w:t>The 73.0% concurrent fraction reported in the manuscript is a property of the INSPIRE case study under its exposure window, renal definition and time origin. It is not an estimate for any other cohort.</w:t>
      </w:r>
    </w:p>
    <w:p>
      <w:pPr>
        <w:jc w:val="left"/>
      </w:pPr>
      <w:r>
        <w:t>The record-level extraction sheet, derived ratings, summary counts and exclusion log are supplied as Additional files 8 to 11. The calculation code and aggregate outputs are included in Additional file 12.</w:t>
      </w:r>
    </w:p>
    <w:p>
      <w:pPr>
        <w:pStyle w:val="Heading2"/>
        <w:keepNext/>
        <w:spacing w:line="276" w:lineRule="auto" w:before="200" w:after="80"/>
      </w:pPr>
      <w:r>
        <w:rPr>
          <w:rFonts w:ascii="Times New Roman" w:hAnsi="Times New Roman"/>
          <w:color w:val="000000"/>
        </w:rPr>
        <w:t>2. Study selection</w:t>
      </w:r>
    </w:p>
    <w:p>
      <w:pPr>
        <w:pStyle w:val="Heading3"/>
        <w:keepNext/>
        <w:spacing w:line="276" w:lineRule="auto" w:before="200" w:after="80"/>
      </w:pPr>
      <w:r>
        <w:rPr>
          <w:rFonts w:ascii="Times New Roman" w:hAnsi="Times New Roman"/>
          <w:color w:val="000000"/>
        </w:rPr>
        <w:t>2.1 Eligibility</w:t>
      </w:r>
    </w:p>
    <w:p>
      <w:pPr>
        <w:jc w:val="left"/>
      </w:pPr>
      <w:r>
        <w:t>Studies were eligible when they included adults undergoing cardiac surgery, measured blood lactate during the perioperative or early postoperative period, evaluated acute kidney injury after surgery, and reported primary research in English or Chinese. Paediatric cohorts, extracorporeal membrane oxygenation or ventricular-assist-device cohorts, case reports, reviews without primary data, studies treating lactate only as an outcome, and conference abstracts without extractable methods were excluded.</w:t>
      </w:r>
    </w:p>
    <w:p>
      <w:pPr>
        <w:pStyle w:val="Heading3"/>
        <w:keepNext/>
        <w:spacing w:line="276" w:lineRule="auto" w:before="200" w:after="80"/>
      </w:pPr>
      <w:r>
        <w:rPr>
          <w:rFonts w:ascii="Times New Roman" w:hAnsi="Times New Roman"/>
          <w:color w:val="000000"/>
        </w:rPr>
        <w:t>2.2 Search approach</w:t>
      </w:r>
    </w:p>
    <w:p>
      <w:pPr>
        <w:jc w:val="left"/>
      </w:pPr>
      <w:r>
        <w:t>PubMed Central was searched in July 2026 using free-text combinations of cardiac surgery, cardiopulmonary bypass, lactate, hyperlactataemia and acute kidney injury. Searches covered fixed postoperative time points, windowed summaries, intraoperative lactate, lactate clearance, aortic-dissection cohorts, prediction models and studies outside China. Candidate records were screened by title and abstract, followed by full-text review when apparently eligible.</w:t>
      </w:r>
    </w:p>
    <w:p>
      <w:pPr>
        <w:jc w:val="left"/>
      </w:pPr>
      <w:r>
        <w:t>No retrieval counts were preserved, no second bibliographic database was searched, and no duplicate-removal log was created. The resulting set must therefore be read as a structured design audit rather than a systematic review. The exclusion log records three candidate groups identified during this process but is not a PRISMA flow record.</w:t>
      </w:r>
    </w:p>
    <w:p>
      <w:pPr>
        <w:pStyle w:val="Heading2"/>
        <w:keepNext/>
        <w:spacing w:line="276" w:lineRule="auto" w:before="200" w:after="80"/>
      </w:pPr>
      <w:r>
        <w:rPr>
          <w:rFonts w:ascii="Times New Roman" w:hAnsi="Times New Roman"/>
          <w:color w:val="000000"/>
        </w:rPr>
        <w:t>3. Extraction and verification</w:t>
      </w:r>
    </w:p>
    <w:p>
      <w:pPr>
        <w:jc w:val="left"/>
      </w:pPr>
      <w:r>
        <w:t>One row was created per study. Extracted fields covered study design, sample size, exposure origin and window, lactate summary, outcome definition and origin, landmark use, exclusion or reporting of concurrent events, effect contrast, effect estimate and adjustment variables. Missing time anchors were recorded as not stated rather than inferred.</w:t>
      </w:r>
    </w:p>
    <w:p>
      <w:pPr>
        <w:jc w:val="left"/>
      </w:pPr>
      <w:r>
        <w:t>Initial extraction was assisted by automated full-text reading and reviewed by one author. Six external-study rows underwent a second source-text check: Lyu 2023, Yan 2023, Tang 2026, Lopez-Delgado 2013, Chen 2025 and Zhang 2015. The other 14 rows were not independently double-extracted. Additional file 8 contains a public verification field that distinguishes these groups. Extraction error remains possible, especially where full-text reporting was incomplete.</w:t>
      </w:r>
    </w:p>
    <w:p>
      <w:pPr>
        <w:jc w:val="left"/>
      </w:pPr>
      <w:r>
        <w:t>Automated reading initially confused a measurement at a fixed time with a landmark in three reports. These entries were checked against the source and corrected. Empty effect-estimate fields were retained when the published text did not provide a usable numerical estimate or presented internally inconsistent values.</w:t>
      </w:r>
    </w:p>
    <w:p>
      <w:pPr>
        <w:pStyle w:val="Heading2"/>
        <w:keepNext/>
        <w:spacing w:line="276" w:lineRule="auto" w:before="200" w:after="80"/>
      </w:pPr>
      <w:r>
        <w:rPr>
          <w:rFonts w:ascii="Times New Roman" w:hAnsi="Times New Roman"/>
          <w:color w:val="000000"/>
        </w:rPr>
        <w:t>4. Deterministic rating rule</w:t>
      </w:r>
    </w:p>
    <w:p>
      <w:pPr>
        <w:jc w:val="left"/>
      </w:pPr>
      <w:r>
        <w:t>Ratings were computed from the extracted time windows and handling of concurrent events.</w:t>
      </w:r>
    </w:p>
    <w:tbl>
      <w:tblPr>
        <w:tblStyle w:val="TableGrid"/>
        <w:tblW w:type="auto" w:w="0"/>
        <w:jc w:val="center"/>
        <w:tblLook w:firstColumn="1" w:firstRow="1" w:lastColumn="0" w:lastRow="0" w:noHBand="0" w:noVBand="1" w:val="04A0"/>
      </w:tblPr>
      <w:tblGrid>
        <w:gridCol w:w="4680"/>
        <w:gridCol w:w="4680"/>
      </w:tblGrid>
      <w:tr>
        <w:trPr>
          <w:tblHeader w:val="true"/>
          <w:cantSplit/>
        </w:trPr>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Rating</w:t>
            </w:r>
          </w:p>
        </w:tc>
        <w:tc>
          <w:tcPr>
            <w:tcW w:type="dxa" w:w="4680"/>
            <w:shd w:val="clear" w:fill="E8E8E8"/>
          </w:tcPr>
          <w:p>
            <w:pPr>
              <w:spacing w:line="240" w:lineRule="auto" w:after="0"/>
            </w:pPr>
            <w:r>
              <w:rPr>
                <w:rFonts w:ascii="Times New Roman" w:hAnsi="Times New Roman"/>
                <w:b/>
                <w:sz w:val="15"/>
              </w:rPr>
            </w:r>
            <w:r>
              <w:rPr>
                <w:rFonts w:ascii="Times New Roman" w:hAnsi="Times New Roman"/>
                <w:b/>
                <w:sz w:val="15"/>
              </w:rPr>
              <w:t>Rule</w:t>
            </w:r>
          </w:p>
        </w:tc>
      </w:tr>
      <w:tr>
        <w:trPr>
          <w:cantSplit/>
        </w:trPr>
        <w:tc>
          <w:tcPr>
            <w:tcW w:type="dxa" w:w="4680"/>
          </w:tcPr>
          <w:p>
            <w:pPr>
              <w:spacing w:line="240" w:lineRule="auto" w:after="0"/>
            </w:pPr>
            <w:r>
              <w:rPr>
                <w:rFonts w:ascii="Times New Roman" w:hAnsi="Times New Roman"/>
                <w:sz w:val="15"/>
              </w:rPr>
            </w:r>
            <w:r>
              <w:rPr>
                <w:rFonts w:ascii="Times New Roman" w:hAnsi="Times New Roman"/>
                <w:b/>
                <w:sz w:val="15"/>
              </w:rPr>
              <w:t>overlap protected</w:t>
            </w:r>
          </w:p>
        </w:tc>
        <w:tc>
          <w:tcPr>
            <w:tcW w:type="dxa" w:w="4680"/>
          </w:tcPr>
          <w:p>
            <w:pPr>
              <w:spacing w:line="240" w:lineRule="auto" w:after="0"/>
            </w:pPr>
            <w:r>
              <w:rPr>
                <w:rFonts w:ascii="Times New Roman" w:hAnsi="Times New Roman"/>
                <w:sz w:val="15"/>
              </w:rPr>
            </w:r>
            <w:r>
              <w:rPr>
                <w:rFonts w:ascii="Times New Roman" w:hAnsi="Times New Roman"/>
                <w:sz w:val="15"/>
              </w:rPr>
              <w:t>A landmark was used, concurrent cases were excluded, or the exposure and outcome windows did not overlap.</w:t>
            </w:r>
          </w:p>
        </w:tc>
      </w:tr>
      <w:tr>
        <w:trPr>
          <w:cantSplit/>
        </w:trPr>
        <w:tc>
          <w:tcPr>
            <w:tcW w:type="dxa" w:w="4680"/>
          </w:tcPr>
          <w:p>
            <w:pPr>
              <w:spacing w:line="240" w:lineRule="auto" w:after="0"/>
            </w:pPr>
            <w:r>
              <w:rPr>
                <w:rFonts w:ascii="Times New Roman" w:hAnsi="Times New Roman"/>
                <w:sz w:val="15"/>
              </w:rPr>
            </w:r>
            <w:r>
              <w:rPr>
                <w:rFonts w:ascii="Times New Roman" w:hAnsi="Times New Roman"/>
                <w:b/>
                <w:sz w:val="15"/>
              </w:rPr>
              <w:t>overlap bounded</w:t>
            </w:r>
          </w:p>
        </w:tc>
        <w:tc>
          <w:tcPr>
            <w:tcW w:type="dxa" w:w="4680"/>
          </w:tcPr>
          <w:p>
            <w:pPr>
              <w:spacing w:line="240" w:lineRule="auto" w:after="0"/>
            </w:pPr>
            <w:r>
              <w:rPr>
                <w:rFonts w:ascii="Times New Roman" w:hAnsi="Times New Roman"/>
                <w:sz w:val="15"/>
              </w:rPr>
            </w:r>
            <w:r>
              <w:rPr>
                <w:rFonts w:ascii="Times New Roman" w:hAnsi="Times New Roman"/>
                <w:sz w:val="15"/>
              </w:rPr>
              <w:t>The windows overlapped without exclusion, but the number of concurrent cases was reported.</w:t>
            </w:r>
          </w:p>
        </w:tc>
      </w:tr>
      <w:tr>
        <w:trPr>
          <w:cantSplit/>
        </w:trPr>
        <w:tc>
          <w:tcPr>
            <w:tcW w:type="dxa" w:w="4680"/>
          </w:tcPr>
          <w:p>
            <w:pPr>
              <w:spacing w:line="240" w:lineRule="auto" w:after="0"/>
            </w:pPr>
            <w:r>
              <w:rPr>
                <w:rFonts w:ascii="Times New Roman" w:hAnsi="Times New Roman"/>
                <w:sz w:val="15"/>
              </w:rPr>
            </w:r>
            <w:r>
              <w:rPr>
                <w:rFonts w:ascii="Times New Roman" w:hAnsi="Times New Roman"/>
                <w:b/>
                <w:sz w:val="15"/>
              </w:rPr>
              <w:t>overlap unbounded</w:t>
            </w:r>
          </w:p>
        </w:tc>
        <w:tc>
          <w:tcPr>
            <w:tcW w:type="dxa" w:w="4680"/>
          </w:tcPr>
          <w:p>
            <w:pPr>
              <w:spacing w:line="240" w:lineRule="auto" w:after="0"/>
            </w:pPr>
            <w:r>
              <w:rPr>
                <w:rFonts w:ascii="Times New Roman" w:hAnsi="Times New Roman"/>
                <w:sz w:val="15"/>
              </w:rPr>
            </w:r>
            <w:r>
              <w:rPr>
                <w:rFonts w:ascii="Times New Roman" w:hAnsi="Times New Roman"/>
                <w:sz w:val="15"/>
              </w:rPr>
              <w:t>The windows overlapped, concurrent cases were not excluded, and their number was not reported.</w:t>
            </w:r>
          </w:p>
        </w:tc>
      </w:tr>
      <w:tr>
        <w:trPr>
          <w:cantSplit/>
        </w:trPr>
        <w:tc>
          <w:tcPr>
            <w:tcW w:type="dxa" w:w="4680"/>
          </w:tcPr>
          <w:p>
            <w:pPr>
              <w:spacing w:line="240" w:lineRule="auto" w:after="0"/>
            </w:pPr>
            <w:r>
              <w:rPr>
                <w:rFonts w:ascii="Times New Roman" w:hAnsi="Times New Roman"/>
                <w:sz w:val="15"/>
              </w:rPr>
            </w:r>
            <w:r>
              <w:rPr>
                <w:rFonts w:ascii="Times New Roman" w:hAnsi="Times New Roman"/>
                <w:b/>
                <w:sz w:val="15"/>
              </w:rPr>
              <w:t>timing unclassifiable</w:t>
            </w:r>
          </w:p>
        </w:tc>
        <w:tc>
          <w:tcPr>
            <w:tcW w:type="dxa" w:w="4680"/>
          </w:tcPr>
          <w:p>
            <w:pPr>
              <w:spacing w:line="240" w:lineRule="auto" w:after="0"/>
            </w:pPr>
            <w:r>
              <w:rPr>
                <w:rFonts w:ascii="Times New Roman" w:hAnsi="Times New Roman"/>
                <w:sz w:val="15"/>
              </w:rPr>
            </w:r>
            <w:r>
              <w:rPr>
                <w:rFonts w:ascii="Times New Roman" w:hAnsi="Times New Roman"/>
                <w:sz w:val="15"/>
              </w:rPr>
              <w:t>The reported origins or boundaries were insufficient to determine overlap.</w:t>
            </w:r>
          </w:p>
        </w:tc>
      </w:tr>
    </w:tbl>
    <w:p/>
    <w:p>
      <w:pPr>
        <w:jc w:val="left"/>
      </w:pPr>
      <w:r>
        <w:t>These labels describe what a reader can establish from the report. They are not a study-quality score or a complete risk-of-bias judgement.</w:t>
      </w:r>
    </w:p>
    <w:p>
      <w:pPr>
        <w:pStyle w:val="Heading2"/>
        <w:keepNext/>
        <w:spacing w:line="276" w:lineRule="auto" w:before="200" w:after="80"/>
      </w:pPr>
      <w:r>
        <w:rPr>
          <w:rFonts w:ascii="Times New Roman" w:hAnsi="Times New Roman"/>
          <w:color w:val="000000"/>
        </w:rPr>
        <w:t>5. Results of the literature audit</w:t>
      </w:r>
    </w:p>
    <w:p>
      <w:pPr>
        <w:jc w:val="left"/>
      </w:pPr>
      <w:r>
        <w:t>The 20 external studies included 32,717 patients in total. Cohort size ranged from 60 to 11,624, with a median of 426. Publication years ranged from 2013 to 2026.</w:t>
      </w:r>
    </w:p>
    <w:p>
      <w:pPr>
        <w:jc w:val="left"/>
      </w:pPr>
      <w:r>
        <w:t>None of the 20 reports explicitly used a landmark for this question, excluded patients whose postoperative acute kidney injury criteria had already been met during the exposure window, or reported the concurrent-event count. These counts describe only the included reports.</w:t>
      </w:r>
    </w:p>
    <w:p>
      <w:pPr>
        <w:pStyle w:val="Heading3"/>
        <w:keepNext/>
        <w:spacing w:line="276" w:lineRule="auto" w:before="200" w:after="80"/>
      </w:pPr>
      <w:r>
        <w:rPr>
          <w:rFonts w:ascii="Times New Roman" w:hAnsi="Times New Roman"/>
          <w:color w:val="000000"/>
        </w:rPr>
        <w:t>5.1 Rating distribution</w:t>
      </w:r>
    </w:p>
    <w:tbl>
      <w:tblPr>
        <w:tblStyle w:val="TableGrid"/>
        <w:tblW w:type="auto" w:w="0"/>
        <w:jc w:val="center"/>
        <w:tblLook w:firstColumn="1" w:firstRow="1" w:lastColumn="0" w:lastRow="0" w:noHBand="0" w:noVBand="1" w:val="04A0"/>
      </w:tblPr>
      <w:tblGrid>
        <w:gridCol w:w="3120"/>
        <w:gridCol w:w="3120"/>
        <w:gridCol w:w="3120"/>
      </w:tblGrid>
      <w:tr>
        <w:trPr>
          <w:tblHeader w:val="true"/>
          <w:cantSplit/>
        </w:trPr>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Rating</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n</w:t>
            </w:r>
          </w:p>
        </w:tc>
        <w:tc>
          <w:tcPr>
            <w:tcW w:type="dxa" w:w="3120"/>
            <w:shd w:val="clear" w:fill="E8E8E8"/>
          </w:tcPr>
          <w:p>
            <w:pPr>
              <w:spacing w:line="240" w:lineRule="auto" w:after="0"/>
            </w:pPr>
            <w:r>
              <w:rPr>
                <w:rFonts w:ascii="Times New Roman" w:hAnsi="Times New Roman"/>
                <w:b/>
                <w:sz w:val="15"/>
              </w:rPr>
            </w:r>
            <w:r>
              <w:rPr>
                <w:rFonts w:ascii="Times New Roman" w:hAnsi="Times New Roman"/>
                <w:b/>
                <w:sz w:val="15"/>
              </w:rPr>
              <w:t>Studies</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overlap protected</w:t>
            </w:r>
          </w:p>
        </w:tc>
        <w:tc>
          <w:tcPr>
            <w:tcW w:type="dxa" w:w="3120"/>
          </w:tcPr>
          <w:p>
            <w:pPr>
              <w:spacing w:line="240" w:lineRule="auto" w:after="0"/>
            </w:pPr>
            <w:r>
              <w:rPr>
                <w:rFonts w:ascii="Times New Roman" w:hAnsi="Times New Roman"/>
                <w:sz w:val="15"/>
              </w:rPr>
            </w:r>
            <w:r>
              <w:rPr>
                <w:rFonts w:ascii="Times New Roman" w:hAnsi="Times New Roman"/>
                <w:sz w:val="15"/>
              </w:rPr>
              <w:t>10</w:t>
            </w:r>
          </w:p>
        </w:tc>
        <w:tc>
          <w:tcPr>
            <w:tcW w:type="dxa" w:w="3120"/>
          </w:tcPr>
          <w:p>
            <w:pPr>
              <w:spacing w:line="240" w:lineRule="auto" w:after="0"/>
            </w:pPr>
            <w:r>
              <w:rPr>
                <w:rFonts w:ascii="Times New Roman" w:hAnsi="Times New Roman"/>
                <w:sz w:val="15"/>
              </w:rPr>
            </w:r>
            <w:r>
              <w:rPr>
                <w:rFonts w:ascii="Times New Roman" w:hAnsi="Times New Roman"/>
                <w:sz w:val="15"/>
              </w:rPr>
              <w:t>Chen 2025; Fu 2026; Hadipourzadeh 2024; He 2023; Lyu 2023; Peng 2025; Wang 2024; Yan 2023; Yang 2020; Zhang 2021</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overlap bounded</w:t>
            </w:r>
          </w:p>
        </w:tc>
        <w:tc>
          <w:tcPr>
            <w:tcW w:type="dxa" w:w="3120"/>
          </w:tcPr>
          <w:p>
            <w:pPr>
              <w:spacing w:line="240" w:lineRule="auto" w:after="0"/>
            </w:pPr>
            <w:r>
              <w:rPr>
                <w:rFonts w:ascii="Times New Roman" w:hAnsi="Times New Roman"/>
                <w:sz w:val="15"/>
              </w:rPr>
            </w:r>
            <w:r>
              <w:rPr>
                <w:rFonts w:ascii="Times New Roman" w:hAnsi="Times New Roman"/>
                <w:sz w:val="15"/>
              </w:rPr>
              <w:t>0</w:t>
            </w:r>
          </w:p>
        </w:tc>
        <w:tc>
          <w:tcPr>
            <w:tcW w:type="dxa" w:w="3120"/>
          </w:tcPr>
          <w:p>
            <w:pPr>
              <w:spacing w:line="240" w:lineRule="auto" w:after="0"/>
            </w:pPr>
            <w:r>
              <w:rPr>
                <w:rFonts w:ascii="Times New Roman" w:hAnsi="Times New Roman"/>
                <w:sz w:val="15"/>
              </w:rPr>
            </w:r>
            <w:r>
              <w:rPr>
                <w:rFonts w:ascii="Times New Roman" w:hAnsi="Times New Roman"/>
                <w:sz w:val="15"/>
              </w:rPr>
              <w:t>none</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overlap unbounded</w:t>
            </w:r>
          </w:p>
        </w:tc>
        <w:tc>
          <w:tcPr>
            <w:tcW w:type="dxa" w:w="3120"/>
          </w:tcPr>
          <w:p>
            <w:pPr>
              <w:spacing w:line="240" w:lineRule="auto" w:after="0"/>
            </w:pPr>
            <w:r>
              <w:rPr>
                <w:rFonts w:ascii="Times New Roman" w:hAnsi="Times New Roman"/>
                <w:sz w:val="15"/>
              </w:rPr>
            </w:r>
            <w:r>
              <w:rPr>
                <w:rFonts w:ascii="Times New Roman" w:hAnsi="Times New Roman"/>
                <w:sz w:val="15"/>
              </w:rPr>
              <w:t>4</w:t>
            </w:r>
          </w:p>
        </w:tc>
        <w:tc>
          <w:tcPr>
            <w:tcW w:type="dxa" w:w="3120"/>
          </w:tcPr>
          <w:p>
            <w:pPr>
              <w:spacing w:line="240" w:lineRule="auto" w:after="0"/>
            </w:pPr>
            <w:r>
              <w:rPr>
                <w:rFonts w:ascii="Times New Roman" w:hAnsi="Times New Roman"/>
                <w:sz w:val="15"/>
              </w:rPr>
            </w:r>
            <w:r>
              <w:rPr>
                <w:rFonts w:ascii="Times New Roman" w:hAnsi="Times New Roman"/>
                <w:sz w:val="15"/>
              </w:rPr>
              <w:t>Marianello 2026; Tang 2026; Wang 2022; Wang 2025b</w:t>
            </w:r>
          </w:p>
        </w:tc>
      </w:tr>
      <w:tr>
        <w:trPr>
          <w:cantSplit/>
        </w:trPr>
        <w:tc>
          <w:tcPr>
            <w:tcW w:type="dxa" w:w="3120"/>
          </w:tcPr>
          <w:p>
            <w:pPr>
              <w:spacing w:line="240" w:lineRule="auto" w:after="0"/>
            </w:pPr>
            <w:r>
              <w:rPr>
                <w:rFonts w:ascii="Times New Roman" w:hAnsi="Times New Roman"/>
                <w:sz w:val="15"/>
              </w:rPr>
            </w:r>
            <w:r>
              <w:rPr>
                <w:rFonts w:ascii="Times New Roman" w:hAnsi="Times New Roman"/>
                <w:sz w:val="15"/>
              </w:rPr>
              <w:t>timing unclassifiable</w:t>
            </w:r>
          </w:p>
        </w:tc>
        <w:tc>
          <w:tcPr>
            <w:tcW w:type="dxa" w:w="3120"/>
          </w:tcPr>
          <w:p>
            <w:pPr>
              <w:spacing w:line="240" w:lineRule="auto" w:after="0"/>
            </w:pPr>
            <w:r>
              <w:rPr>
                <w:rFonts w:ascii="Times New Roman" w:hAnsi="Times New Roman"/>
                <w:sz w:val="15"/>
              </w:rPr>
            </w:r>
            <w:r>
              <w:rPr>
                <w:rFonts w:ascii="Times New Roman" w:hAnsi="Times New Roman"/>
                <w:sz w:val="15"/>
              </w:rPr>
              <w:t>6</w:t>
            </w:r>
          </w:p>
        </w:tc>
        <w:tc>
          <w:tcPr>
            <w:tcW w:type="dxa" w:w="3120"/>
          </w:tcPr>
          <w:p>
            <w:pPr>
              <w:spacing w:line="240" w:lineRule="auto" w:after="0"/>
            </w:pPr>
            <w:r>
              <w:rPr>
                <w:rFonts w:ascii="Times New Roman" w:hAnsi="Times New Roman"/>
                <w:sz w:val="15"/>
              </w:rPr>
            </w:r>
            <w:r>
              <w:rPr>
                <w:rFonts w:ascii="Times New Roman" w:hAnsi="Times New Roman"/>
                <w:sz w:val="15"/>
              </w:rPr>
              <w:t>Flores-Salinas 2024; Lopez-Delgado 2013; Radovic 2019; Wang 2025a; Yu 2023; Zhang 2015</w:t>
            </w:r>
          </w:p>
        </w:tc>
      </w:tr>
    </w:tbl>
    <w:p/>
    <w:p>
      <w:pPr>
        <w:jc w:val="left"/>
      </w:pPr>
      <w:r>
        <w:t>Ten studies measured lactate before or during surgery and were rated overlap protected because their exposure closed before postoperative outcome ascertainment began. Ten measured lactate after surgery. None of these 10 was rated protected: four were overlap unbounded and six were timing unclassifiable. This 4 versus 6 split follows the deterministic rating rule and is used consistently in the main manuscript.</w:t>
      </w:r>
    </w:p>
    <w:p>
      <w:pPr>
        <w:pStyle w:val="Heading3"/>
        <w:keepNext/>
        <w:spacing w:line="276" w:lineRule="auto" w:before="200" w:after="80"/>
      </w:pPr>
      <w:r>
        <w:rPr>
          <w:rFonts w:ascii="Times New Roman" w:hAnsi="Times New Roman"/>
          <w:color w:val="000000"/>
        </w:rPr>
        <w:t>5.2 Illustrative reports</w:t>
      </w:r>
    </w:p>
    <w:p>
      <w:pPr>
        <w:jc w:val="left"/>
      </w:pPr>
      <w:r>
        <w:t>Lopez-Delgado 2013 measured creatinine at intensive-care admission and 6, 12 and 24 hours later, while using lactate at 24 hours as an exposure. The reported endpoint end was insufficiently explicit for mechanical rating, so the row is timing unclassifiable even though the published measurement schedule permits concurrent events.</w:t>
      </w:r>
    </w:p>
    <w:p>
      <w:pPr>
        <w:jc w:val="left"/>
      </w:pPr>
      <w:r>
        <w:t>Marianello 2026 reported acute kidney injury within 48 hours of intensive-care admission and used peak lactate at 24 hours. Tang 2026 measured lactate at intensive-care admission and began seven-day renal ascertainment at the same origin. Neither report provided the number of events already meeting renal criteria when its lactate exposure was complete.</w:t>
      </w:r>
    </w:p>
    <w:p>
      <w:pPr>
        <w:jc w:val="left"/>
      </w:pPr>
      <w:r>
        <w:t>Seven studies did not report a usable numerical lactate effect estimate. Two described lactate as an important model feature but provided variable-importance measures rather than an odds ratio, hazard ratio or regression coefficient. Two included reports had null or statistically imprecise findings. These negative and incomplete results are retained in the extraction sheet.</w:t>
      </w:r>
    </w:p>
    <w:p>
      <w:pPr>
        <w:jc w:val="left"/>
      </w:pPr>
      <w:r>
        <w:t>The reported contrasts were too heterogeneous for pooling. They included per-unit changes, transformed lactate load, binary thresholds, tertiles and quintiles, with different outcome definitions and time origins.</w:t>
      </w:r>
    </w:p>
    <w:p>
      <w:pPr>
        <w:pStyle w:val="Heading2"/>
        <w:keepNext/>
        <w:spacing w:line="276" w:lineRule="auto" w:before="200" w:after="80"/>
      </w:pPr>
      <w:r>
        <w:rPr>
          <w:rFonts w:ascii="Times New Roman" w:hAnsi="Times New Roman"/>
          <w:color w:val="000000"/>
        </w:rPr>
        <w:t>6. Design-grid analysis in INSPIRE</w:t>
      </w:r>
    </w:p>
    <w:p>
      <w:pPr>
        <w:jc w:val="left"/>
      </w:pPr>
      <w:r>
        <w:t>The design grid varied the end of the lactate exposure window while holding the renal definition fixed. A case was concurrent when the first qualifying creatinine was recorded at or before the exposure window closed.</w:t>
      </w:r>
    </w:p>
    <w:tbl>
      <w:tblPr>
        <w:tblStyle w:val="TableGrid"/>
        <w:tblW w:type="auto" w:w="0"/>
        <w:jc w:val="center"/>
        <w:tblLook w:firstColumn="1" w:firstRow="1" w:lastColumn="0" w:lastRow="0" w:noHBand="0" w:noVBand="1" w:val="04A0"/>
      </w:tblPr>
      <w:tblGrid>
        <w:gridCol w:w="1872"/>
        <w:gridCol w:w="1872"/>
        <w:gridCol w:w="1872"/>
        <w:gridCol w:w="1872"/>
        <w:gridCol w:w="1872"/>
      </w:tblGrid>
      <w:tr>
        <w:trPr>
          <w:tblHeader w:val="true"/>
          <w:cantSplit/>
        </w:trPr>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Exposure window end</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Patients meeting the renal criterion</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Concurrent cases</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Concurrent fraction, %</w:t>
            </w:r>
          </w:p>
        </w:tc>
        <w:tc>
          <w:tcPr>
            <w:tcW w:type="dxa" w:w="1872"/>
            <w:shd w:val="clear" w:fill="E8E8E8"/>
          </w:tcPr>
          <w:p>
            <w:pPr>
              <w:spacing w:line="240" w:lineRule="auto" w:after="0"/>
            </w:pPr>
            <w:r>
              <w:rPr>
                <w:rFonts w:ascii="Times New Roman" w:hAnsi="Times New Roman"/>
                <w:b/>
                <w:sz w:val="15"/>
              </w:rPr>
            </w:r>
            <w:r>
              <w:rPr>
                <w:rFonts w:ascii="Times New Roman" w:hAnsi="Times New Roman"/>
                <w:b/>
                <w:sz w:val="15"/>
              </w:rPr>
              <w:t>First detected afterwards</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6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49</w:t>
            </w:r>
          </w:p>
        </w:tc>
        <w:tc>
          <w:tcPr>
            <w:tcW w:type="dxa" w:w="1872"/>
          </w:tcPr>
          <w:p>
            <w:pPr>
              <w:spacing w:line="240" w:lineRule="auto" w:after="0"/>
            </w:pPr>
            <w:r>
              <w:rPr>
                <w:rFonts w:ascii="Times New Roman" w:hAnsi="Times New Roman"/>
                <w:sz w:val="15"/>
              </w:rPr>
            </w:r>
            <w:r>
              <w:rPr>
                <w:rFonts w:ascii="Times New Roman" w:hAnsi="Times New Roman"/>
                <w:sz w:val="15"/>
              </w:rPr>
              <w:t>6.7</w:t>
            </w:r>
          </w:p>
        </w:tc>
        <w:tc>
          <w:tcPr>
            <w:tcW w:type="dxa" w:w="1872"/>
          </w:tcPr>
          <w:p>
            <w:pPr>
              <w:spacing w:line="240" w:lineRule="auto" w:after="0"/>
            </w:pPr>
            <w:r>
              <w:rPr>
                <w:rFonts w:ascii="Times New Roman" w:hAnsi="Times New Roman"/>
                <w:sz w:val="15"/>
              </w:rPr>
            </w:r>
            <w:r>
              <w:rPr>
                <w:rFonts w:ascii="Times New Roman" w:hAnsi="Times New Roman"/>
                <w:sz w:val="15"/>
              </w:rPr>
              <w:t>678</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12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248</w:t>
            </w:r>
          </w:p>
        </w:tc>
        <w:tc>
          <w:tcPr>
            <w:tcW w:type="dxa" w:w="1872"/>
          </w:tcPr>
          <w:p>
            <w:pPr>
              <w:spacing w:line="240" w:lineRule="auto" w:after="0"/>
            </w:pPr>
            <w:r>
              <w:rPr>
                <w:rFonts w:ascii="Times New Roman" w:hAnsi="Times New Roman"/>
                <w:sz w:val="15"/>
              </w:rPr>
            </w:r>
            <w:r>
              <w:rPr>
                <w:rFonts w:ascii="Times New Roman" w:hAnsi="Times New Roman"/>
                <w:sz w:val="15"/>
              </w:rPr>
              <w:t>34.1</w:t>
            </w:r>
          </w:p>
        </w:tc>
        <w:tc>
          <w:tcPr>
            <w:tcW w:type="dxa" w:w="1872"/>
          </w:tcPr>
          <w:p>
            <w:pPr>
              <w:spacing w:line="240" w:lineRule="auto" w:after="0"/>
            </w:pPr>
            <w:r>
              <w:rPr>
                <w:rFonts w:ascii="Times New Roman" w:hAnsi="Times New Roman"/>
                <w:sz w:val="15"/>
              </w:rPr>
            </w:r>
            <w:r>
              <w:rPr>
                <w:rFonts w:ascii="Times New Roman" w:hAnsi="Times New Roman"/>
                <w:sz w:val="15"/>
              </w:rPr>
              <w:t>479</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18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454</w:t>
            </w:r>
          </w:p>
        </w:tc>
        <w:tc>
          <w:tcPr>
            <w:tcW w:type="dxa" w:w="1872"/>
          </w:tcPr>
          <w:p>
            <w:pPr>
              <w:spacing w:line="240" w:lineRule="auto" w:after="0"/>
            </w:pPr>
            <w:r>
              <w:rPr>
                <w:rFonts w:ascii="Times New Roman" w:hAnsi="Times New Roman"/>
                <w:sz w:val="15"/>
              </w:rPr>
            </w:r>
            <w:r>
              <w:rPr>
                <w:rFonts w:ascii="Times New Roman" w:hAnsi="Times New Roman"/>
                <w:sz w:val="15"/>
              </w:rPr>
              <w:t>62.4</w:t>
            </w:r>
          </w:p>
        </w:tc>
        <w:tc>
          <w:tcPr>
            <w:tcW w:type="dxa" w:w="1872"/>
          </w:tcPr>
          <w:p>
            <w:pPr>
              <w:spacing w:line="240" w:lineRule="auto" w:after="0"/>
            </w:pPr>
            <w:r>
              <w:rPr>
                <w:rFonts w:ascii="Times New Roman" w:hAnsi="Times New Roman"/>
                <w:sz w:val="15"/>
              </w:rPr>
            </w:r>
            <w:r>
              <w:rPr>
                <w:rFonts w:ascii="Times New Roman" w:hAnsi="Times New Roman"/>
                <w:sz w:val="15"/>
              </w:rPr>
              <w:t>273</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24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531</w:t>
            </w:r>
          </w:p>
        </w:tc>
        <w:tc>
          <w:tcPr>
            <w:tcW w:type="dxa" w:w="1872"/>
          </w:tcPr>
          <w:p>
            <w:pPr>
              <w:spacing w:line="240" w:lineRule="auto" w:after="0"/>
            </w:pPr>
            <w:r>
              <w:rPr>
                <w:rFonts w:ascii="Times New Roman" w:hAnsi="Times New Roman"/>
                <w:sz w:val="15"/>
              </w:rPr>
            </w:r>
            <w:r>
              <w:rPr>
                <w:rFonts w:ascii="Times New Roman" w:hAnsi="Times New Roman"/>
                <w:sz w:val="15"/>
              </w:rPr>
              <w:t>73.0</w:t>
            </w:r>
          </w:p>
        </w:tc>
        <w:tc>
          <w:tcPr>
            <w:tcW w:type="dxa" w:w="1872"/>
          </w:tcPr>
          <w:p>
            <w:pPr>
              <w:spacing w:line="240" w:lineRule="auto" w:after="0"/>
            </w:pPr>
            <w:r>
              <w:rPr>
                <w:rFonts w:ascii="Times New Roman" w:hAnsi="Times New Roman"/>
                <w:sz w:val="15"/>
              </w:rPr>
            </w:r>
            <w:r>
              <w:rPr>
                <w:rFonts w:ascii="Times New Roman" w:hAnsi="Times New Roman"/>
                <w:sz w:val="15"/>
              </w:rPr>
              <w:t>196</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36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596</w:t>
            </w:r>
          </w:p>
        </w:tc>
        <w:tc>
          <w:tcPr>
            <w:tcW w:type="dxa" w:w="1872"/>
          </w:tcPr>
          <w:p>
            <w:pPr>
              <w:spacing w:line="240" w:lineRule="auto" w:after="0"/>
            </w:pPr>
            <w:r>
              <w:rPr>
                <w:rFonts w:ascii="Times New Roman" w:hAnsi="Times New Roman"/>
                <w:sz w:val="15"/>
              </w:rPr>
            </w:r>
            <w:r>
              <w:rPr>
                <w:rFonts w:ascii="Times New Roman" w:hAnsi="Times New Roman"/>
                <w:sz w:val="15"/>
              </w:rPr>
              <w:t>82.0</w:t>
            </w:r>
          </w:p>
        </w:tc>
        <w:tc>
          <w:tcPr>
            <w:tcW w:type="dxa" w:w="1872"/>
          </w:tcPr>
          <w:p>
            <w:pPr>
              <w:spacing w:line="240" w:lineRule="auto" w:after="0"/>
            </w:pPr>
            <w:r>
              <w:rPr>
                <w:rFonts w:ascii="Times New Roman" w:hAnsi="Times New Roman"/>
                <w:sz w:val="15"/>
              </w:rPr>
            </w:r>
            <w:r>
              <w:rPr>
                <w:rFonts w:ascii="Times New Roman" w:hAnsi="Times New Roman"/>
                <w:sz w:val="15"/>
              </w:rPr>
              <w:t>131</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48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665</w:t>
            </w:r>
          </w:p>
        </w:tc>
        <w:tc>
          <w:tcPr>
            <w:tcW w:type="dxa" w:w="1872"/>
          </w:tcPr>
          <w:p>
            <w:pPr>
              <w:spacing w:line="240" w:lineRule="auto" w:after="0"/>
            </w:pPr>
            <w:r>
              <w:rPr>
                <w:rFonts w:ascii="Times New Roman" w:hAnsi="Times New Roman"/>
                <w:sz w:val="15"/>
              </w:rPr>
            </w:r>
            <w:r>
              <w:rPr>
                <w:rFonts w:ascii="Times New Roman" w:hAnsi="Times New Roman"/>
                <w:sz w:val="15"/>
              </w:rPr>
              <w:t>91.5</w:t>
            </w:r>
          </w:p>
        </w:tc>
        <w:tc>
          <w:tcPr>
            <w:tcW w:type="dxa" w:w="1872"/>
          </w:tcPr>
          <w:p>
            <w:pPr>
              <w:spacing w:line="240" w:lineRule="auto" w:after="0"/>
            </w:pPr>
            <w:r>
              <w:rPr>
                <w:rFonts w:ascii="Times New Roman" w:hAnsi="Times New Roman"/>
                <w:sz w:val="15"/>
              </w:rPr>
            </w:r>
            <w:r>
              <w:rPr>
                <w:rFonts w:ascii="Times New Roman" w:hAnsi="Times New Roman"/>
                <w:sz w:val="15"/>
              </w:rPr>
              <w:t>62</w:t>
            </w:r>
          </w:p>
        </w:tc>
      </w:tr>
      <w:tr>
        <w:trPr>
          <w:cantSplit/>
        </w:trPr>
        <w:tc>
          <w:tcPr>
            <w:tcW w:type="dxa" w:w="1872"/>
          </w:tcPr>
          <w:p>
            <w:pPr>
              <w:spacing w:line="240" w:lineRule="auto" w:after="0"/>
            </w:pPr>
            <w:r>
              <w:rPr>
                <w:rFonts w:ascii="Times New Roman" w:hAnsi="Times New Roman"/>
                <w:sz w:val="15"/>
              </w:rPr>
            </w:r>
            <w:r>
              <w:rPr>
                <w:rFonts w:ascii="Times New Roman" w:hAnsi="Times New Roman"/>
                <w:sz w:val="15"/>
              </w:rPr>
              <w:t>72 h</w:t>
            </w:r>
          </w:p>
        </w:tc>
        <w:tc>
          <w:tcPr>
            <w:tcW w:type="dxa" w:w="1872"/>
          </w:tcPr>
          <w:p>
            <w:pPr>
              <w:spacing w:line="240" w:lineRule="auto" w:after="0"/>
            </w:pPr>
            <w:r>
              <w:rPr>
                <w:rFonts w:ascii="Times New Roman" w:hAnsi="Times New Roman"/>
                <w:sz w:val="15"/>
              </w:rPr>
            </w:r>
            <w:r>
              <w:rPr>
                <w:rFonts w:ascii="Times New Roman" w:hAnsi="Times New Roman"/>
                <w:sz w:val="15"/>
              </w:rPr>
              <w:t>727</w:t>
            </w:r>
          </w:p>
        </w:tc>
        <w:tc>
          <w:tcPr>
            <w:tcW w:type="dxa" w:w="1872"/>
          </w:tcPr>
          <w:p>
            <w:pPr>
              <w:spacing w:line="240" w:lineRule="auto" w:after="0"/>
            </w:pPr>
            <w:r>
              <w:rPr>
                <w:rFonts w:ascii="Times New Roman" w:hAnsi="Times New Roman"/>
                <w:sz w:val="15"/>
              </w:rPr>
            </w:r>
            <w:r>
              <w:rPr>
                <w:rFonts w:ascii="Times New Roman" w:hAnsi="Times New Roman"/>
                <w:sz w:val="15"/>
              </w:rPr>
              <w:t>693</w:t>
            </w:r>
          </w:p>
        </w:tc>
        <w:tc>
          <w:tcPr>
            <w:tcW w:type="dxa" w:w="1872"/>
          </w:tcPr>
          <w:p>
            <w:pPr>
              <w:spacing w:line="240" w:lineRule="auto" w:after="0"/>
            </w:pPr>
            <w:r>
              <w:rPr>
                <w:rFonts w:ascii="Times New Roman" w:hAnsi="Times New Roman"/>
                <w:sz w:val="15"/>
              </w:rPr>
            </w:r>
            <w:r>
              <w:rPr>
                <w:rFonts w:ascii="Times New Roman" w:hAnsi="Times New Roman"/>
                <w:sz w:val="15"/>
              </w:rPr>
              <w:t>95.3</w:t>
            </w:r>
          </w:p>
        </w:tc>
        <w:tc>
          <w:tcPr>
            <w:tcW w:type="dxa" w:w="1872"/>
          </w:tcPr>
          <w:p>
            <w:pPr>
              <w:spacing w:line="240" w:lineRule="auto" w:after="0"/>
            </w:pPr>
            <w:r>
              <w:rPr>
                <w:rFonts w:ascii="Times New Roman" w:hAnsi="Times New Roman"/>
                <w:sz w:val="15"/>
              </w:rPr>
            </w:r>
            <w:r>
              <w:rPr>
                <w:rFonts w:ascii="Times New Roman" w:hAnsi="Times New Roman"/>
                <w:sz w:val="15"/>
              </w:rPr>
              <w:t>34</w:t>
            </w:r>
          </w:p>
        </w:tc>
      </w:tr>
    </w:tbl>
    <w:p/>
    <w:p>
      <w:pPr>
        <w:jc w:val="left"/>
      </w:pPr>
      <w:r>
        <w:t>At 24 hours, the concurrent fraction was 62.0% in the lowest peak-lactate stratum and 87.5% in the highest. Window length therefore changed both the size and the exposure distribution of the concurrent group.</w:t>
      </w:r>
    </w:p>
    <w:p>
      <w:pPr>
        <w:pStyle w:val="Heading3"/>
        <w:keepNext/>
        <w:spacing w:line="276" w:lineRule="auto" w:before="200" w:after="80"/>
      </w:pPr>
      <w:r>
        <w:rPr>
          <w:rFonts w:ascii="Times New Roman" w:hAnsi="Times New Roman"/>
          <w:color w:val="000000"/>
        </w:rPr>
        <w:t>6.1 Effect-estimate comparison within INSPIRE</w:t>
      </w:r>
    </w:p>
    <w:tbl>
      <w:tblPr>
        <w:tblStyle w:val="TableGrid"/>
        <w:tblW w:type="auto" w:w="0"/>
        <w:jc w:val="center"/>
        <w:tblLook w:firstColumn="1" w:firstRow="1" w:lastColumn="0" w:lastRow="0" w:noHBand="0" w:noVBand="1" w:val="04A0"/>
      </w:tblPr>
      <w:tblGrid>
        <w:gridCol w:w="2340"/>
        <w:gridCol w:w="2340"/>
        <w:gridCol w:w="2340"/>
        <w:gridCol w:w="2340"/>
      </w:tblGrid>
      <w:tr>
        <w:trPr>
          <w:tblHeader w:val="true"/>
          <w:cantSplit/>
        </w:trPr>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Exposure window end</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All events counted, adjusted OR</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Landmark at window close, adjusted OR</w:t>
            </w:r>
          </w:p>
        </w:tc>
        <w:tc>
          <w:tcPr>
            <w:tcW w:type="dxa" w:w="2340"/>
            <w:shd w:val="clear" w:fill="E8E8E8"/>
          </w:tcPr>
          <w:p>
            <w:pPr>
              <w:spacing w:line="240" w:lineRule="auto" w:after="0"/>
            </w:pPr>
            <w:r>
              <w:rPr>
                <w:rFonts w:ascii="Times New Roman" w:hAnsi="Times New Roman"/>
                <w:b/>
                <w:sz w:val="15"/>
              </w:rPr>
            </w:r>
            <w:r>
              <w:rPr>
                <w:rFonts w:ascii="Times New Roman" w:hAnsi="Times New Roman"/>
                <w:b/>
                <w:sz w:val="15"/>
              </w:rPr>
              <w:t>Ratio of odds ratios</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12 h</w:t>
            </w:r>
          </w:p>
        </w:tc>
        <w:tc>
          <w:tcPr>
            <w:tcW w:type="dxa" w:w="2340"/>
          </w:tcPr>
          <w:p>
            <w:pPr>
              <w:spacing w:line="240" w:lineRule="auto" w:after="0"/>
            </w:pPr>
            <w:r>
              <w:rPr>
                <w:rFonts w:ascii="Times New Roman" w:hAnsi="Times New Roman"/>
                <w:sz w:val="15"/>
              </w:rPr>
            </w:r>
            <w:r>
              <w:rPr>
                <w:rFonts w:ascii="Times New Roman" w:hAnsi="Times New Roman"/>
                <w:sz w:val="15"/>
              </w:rPr>
              <w:t>6.31 (95% CI 4.46 to 8.93)</w:t>
            </w:r>
          </w:p>
        </w:tc>
        <w:tc>
          <w:tcPr>
            <w:tcW w:type="dxa" w:w="2340"/>
          </w:tcPr>
          <w:p>
            <w:pPr>
              <w:spacing w:line="240" w:lineRule="auto" w:after="0"/>
            </w:pPr>
            <w:r>
              <w:rPr>
                <w:rFonts w:ascii="Times New Roman" w:hAnsi="Times New Roman"/>
                <w:sz w:val="15"/>
              </w:rPr>
            </w:r>
            <w:r>
              <w:rPr>
                <w:rFonts w:ascii="Times New Roman" w:hAnsi="Times New Roman"/>
                <w:sz w:val="15"/>
              </w:rPr>
              <w:t>5.19 (3.49 to 7.72)</w:t>
            </w:r>
          </w:p>
        </w:tc>
        <w:tc>
          <w:tcPr>
            <w:tcW w:type="dxa" w:w="2340"/>
          </w:tcPr>
          <w:p>
            <w:pPr>
              <w:spacing w:line="240" w:lineRule="auto" w:after="0"/>
            </w:pPr>
            <w:r>
              <w:rPr>
                <w:rFonts w:ascii="Times New Roman" w:hAnsi="Times New Roman"/>
                <w:sz w:val="15"/>
              </w:rPr>
            </w:r>
            <w:r>
              <w:rPr>
                <w:rFonts w:ascii="Times New Roman" w:hAnsi="Times New Roman"/>
                <w:sz w:val="15"/>
              </w:rPr>
              <w:t>1.22</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24 h</w:t>
            </w:r>
          </w:p>
        </w:tc>
        <w:tc>
          <w:tcPr>
            <w:tcW w:type="dxa" w:w="2340"/>
          </w:tcPr>
          <w:p>
            <w:pPr>
              <w:spacing w:line="240" w:lineRule="auto" w:after="0"/>
            </w:pPr>
            <w:r>
              <w:rPr>
                <w:rFonts w:ascii="Times New Roman" w:hAnsi="Times New Roman"/>
                <w:sz w:val="15"/>
              </w:rPr>
            </w:r>
            <w:r>
              <w:rPr>
                <w:rFonts w:ascii="Times New Roman" w:hAnsi="Times New Roman"/>
                <w:sz w:val="15"/>
              </w:rPr>
              <w:t>6.31 (4.46 to 8.93)</w:t>
            </w:r>
          </w:p>
        </w:tc>
        <w:tc>
          <w:tcPr>
            <w:tcW w:type="dxa" w:w="2340"/>
          </w:tcPr>
          <w:p>
            <w:pPr>
              <w:spacing w:line="240" w:lineRule="auto" w:after="0"/>
            </w:pPr>
            <w:r>
              <w:rPr>
                <w:rFonts w:ascii="Times New Roman" w:hAnsi="Times New Roman"/>
                <w:sz w:val="15"/>
              </w:rPr>
            </w:r>
            <w:r>
              <w:rPr>
                <w:rFonts w:ascii="Times New Roman" w:hAnsi="Times New Roman"/>
                <w:sz w:val="15"/>
              </w:rPr>
              <w:t>2.18 (1.16 to 4.07)</w:t>
            </w:r>
          </w:p>
        </w:tc>
        <w:tc>
          <w:tcPr>
            <w:tcW w:type="dxa" w:w="2340"/>
          </w:tcPr>
          <w:p>
            <w:pPr>
              <w:spacing w:line="240" w:lineRule="auto" w:after="0"/>
            </w:pPr>
            <w:r>
              <w:rPr>
                <w:rFonts w:ascii="Times New Roman" w:hAnsi="Times New Roman"/>
                <w:sz w:val="15"/>
              </w:rPr>
            </w:r>
            <w:r>
              <w:rPr>
                <w:rFonts w:ascii="Times New Roman" w:hAnsi="Times New Roman"/>
                <w:sz w:val="15"/>
              </w:rPr>
              <w:t>2.90</w:t>
            </w:r>
          </w:p>
        </w:tc>
      </w:tr>
      <w:tr>
        <w:trPr>
          <w:cantSplit/>
        </w:trPr>
        <w:tc>
          <w:tcPr>
            <w:tcW w:type="dxa" w:w="2340"/>
          </w:tcPr>
          <w:p>
            <w:pPr>
              <w:spacing w:line="240" w:lineRule="auto" w:after="0"/>
            </w:pPr>
            <w:r>
              <w:rPr>
                <w:rFonts w:ascii="Times New Roman" w:hAnsi="Times New Roman"/>
                <w:sz w:val="15"/>
              </w:rPr>
            </w:r>
            <w:r>
              <w:rPr>
                <w:rFonts w:ascii="Times New Roman" w:hAnsi="Times New Roman"/>
                <w:sz w:val="15"/>
              </w:rPr>
              <w:t>48 h</w:t>
            </w:r>
          </w:p>
        </w:tc>
        <w:tc>
          <w:tcPr>
            <w:tcW w:type="dxa" w:w="2340"/>
          </w:tcPr>
          <w:p>
            <w:pPr>
              <w:spacing w:line="240" w:lineRule="auto" w:after="0"/>
            </w:pPr>
            <w:r>
              <w:rPr>
                <w:rFonts w:ascii="Times New Roman" w:hAnsi="Times New Roman"/>
                <w:sz w:val="15"/>
              </w:rPr>
            </w:r>
            <w:r>
              <w:rPr>
                <w:rFonts w:ascii="Times New Roman" w:hAnsi="Times New Roman"/>
                <w:sz w:val="15"/>
              </w:rPr>
              <w:t>6.31 (4.46 to 8.93)</w:t>
            </w:r>
          </w:p>
        </w:tc>
        <w:tc>
          <w:tcPr>
            <w:tcW w:type="dxa" w:w="2340"/>
          </w:tcPr>
          <w:p>
            <w:pPr>
              <w:spacing w:line="240" w:lineRule="auto" w:after="0"/>
            </w:pPr>
            <w:r>
              <w:rPr>
                <w:rFonts w:ascii="Times New Roman" w:hAnsi="Times New Roman"/>
                <w:sz w:val="15"/>
              </w:rPr>
            </w:r>
            <w:r>
              <w:rPr>
                <w:rFonts w:ascii="Times New Roman" w:hAnsi="Times New Roman"/>
                <w:sz w:val="15"/>
              </w:rPr>
              <w:t>0.59 (0.13 to 2.64)</w:t>
            </w:r>
          </w:p>
        </w:tc>
        <w:tc>
          <w:tcPr>
            <w:tcW w:type="dxa" w:w="2340"/>
          </w:tcPr>
          <w:p>
            <w:pPr>
              <w:spacing w:line="240" w:lineRule="auto" w:after="0"/>
            </w:pPr>
            <w:r>
              <w:rPr>
                <w:rFonts w:ascii="Times New Roman" w:hAnsi="Times New Roman"/>
                <w:sz w:val="15"/>
              </w:rPr>
            </w:r>
            <w:r>
              <w:rPr>
                <w:rFonts w:ascii="Times New Roman" w:hAnsi="Times New Roman"/>
                <w:sz w:val="15"/>
              </w:rPr>
              <w:t>10.68</w:t>
            </w:r>
          </w:p>
        </w:tc>
      </w:tr>
    </w:tbl>
    <w:p/>
    <w:p>
      <w:pPr>
        <w:jc w:val="left"/>
      </w:pPr>
      <w:r>
        <w:t>These are design contrasts within one cohort, not correction factors for other studies. The 48-hour landmark estimate was based on 62 events and was imprecise. Its point estimate below one is not evidence of a reversed association.</w:t>
      </w:r>
    </w:p>
    <w:p>
      <w:pPr>
        <w:pStyle w:val="Heading2"/>
        <w:keepNext/>
        <w:spacing w:line="276" w:lineRule="auto" w:before="200" w:after="80"/>
      </w:pPr>
      <w:r>
        <w:rPr>
          <w:rFonts w:ascii="Times New Roman" w:hAnsi="Times New Roman"/>
          <w:color w:val="000000"/>
        </w:rPr>
        <w:t>7. Reference row for the present study</w:t>
      </w:r>
    </w:p>
    <w:p>
      <w:pPr>
        <w:jc w:val="left"/>
      </w:pPr>
      <w:r>
        <w:t>The present analysis appears as a reference row in Additional files 8 and 9. Exposure and outcome share cardiopulmonary-bypass separation as their time origin. The 24-hour lactate window overlaps the 48-hour absolute-rise limb and the seven-day ratio limb. A landmark at 24 hours excludes 531 concurrent cases and retains 1,834 patients at risk. The design is therefore rated overlap protected because concurrent cases are excluded and reported, not because the original windows do not overlap.</w:t>
      </w:r>
    </w:p>
    <w:p>
      <w:pPr>
        <w:pStyle w:val="Heading2"/>
        <w:keepNext/>
        <w:spacing w:line="276" w:lineRule="auto" w:before="200" w:after="80"/>
      </w:pPr>
      <w:r>
        <w:rPr>
          <w:rFonts w:ascii="Times New Roman" w:hAnsi="Times New Roman"/>
          <w:color w:val="000000"/>
        </w:rPr>
        <w:t>8. Limitations</w:t>
      </w:r>
    </w:p>
    <w:p>
      <w:pPr>
        <w:jc w:val="left"/>
      </w:pPr>
      <w:r>
        <w:t>The audit is purposive, restricted to accessible full text and partly verified by one author. It cannot support a prevalence estimate for the literature. Some reports may have handled concurrent events without describing the step. The rating captures reported design information, not all sources of bias. No external patient-level dataset was re-analysed, and no published effect estimate was corrected.</w:t>
      </w:r>
    </w:p>
    <w:p>
      <w:pPr>
        <w:pStyle w:val="Heading2"/>
        <w:keepNext/>
        <w:spacing w:line="276" w:lineRule="auto" w:before="200" w:after="80"/>
      </w:pPr>
      <w:r>
        <w:rPr>
          <w:rFonts w:ascii="Times New Roman" w:hAnsi="Times New Roman"/>
          <w:color w:val="000000"/>
        </w:rPr>
        <w:t>9. Reproduction</w:t>
      </w:r>
    </w:p>
    <w:p>
      <w:pPr>
        <w:jc w:val="left"/>
      </w:pPr>
      <w:r>
        <w:rPr>
          <w:rFonts w:ascii="Consolas" w:hAnsi="Consolas"/>
          <w:sz w:val="18"/>
        </w:rPr>
        <w:t>gate13_window_overlap_calculator.py</w:t>
      </w:r>
      <w:r>
        <w:t xml:space="preserve"> derives the ratings from Additional file 8 and checks internal consistency. </w:t>
      </w:r>
      <w:r>
        <w:rPr>
          <w:rFonts w:ascii="Consolas" w:hAnsi="Consolas"/>
          <w:sz w:val="18"/>
        </w:rPr>
        <w:t>gate12_design_grid_simulation.py</w:t>
      </w:r>
      <w:r>
        <w:t xml:space="preserve"> produces the INSPIRE design-grid results. The submission-version scripts and aggregate outputs are included in Additional file 12.</w:t>
      </w:r>
    </w:p>
    <w:sectPr w:rsidR="00FC693F" w:rsidRPr="0006063C" w:rsidSect="00034616">
      <w:footerReference w:type="default" r:id="rId9"/>
      <w:pgSz w:w="12240" w:h="15840"/>
      <w:pgMar w:top="1440" w:right="1440" w:bottom="1440" w:left="1440" w:header="720" w:footer="720" w:gutter="0"/>
      <w:cols w:space="720"/>
      <w:docGrid w:linePitch="360"/>
      <w:lnNumType w:countBy="5" w:start="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separate"/>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48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5: window-overlap audit</dc:title>
  <dc:subject>Deeply revised manuscript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